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1D5025">
      <w:pPr>
        <w:jc w:val="right"/>
        <w:rPr>
          <w:rFonts w:hint="eastAsia" w:ascii="黑体" w:hAnsi="黑体" w:eastAsia="黑体" w:cs="黑体"/>
          <w:color w:val="auto"/>
          <w:sz w:val="30"/>
          <w:szCs w:val="30"/>
          <w:lang w:val="en-US" w:eastAsia="zh-CN"/>
        </w:rPr>
      </w:pPr>
      <w:r>
        <w:rPr>
          <w:rFonts w:hint="eastAsia" w:ascii="黑体" w:hAnsi="黑体" w:eastAsia="黑体" w:cs="黑体"/>
          <w:color w:val="auto"/>
          <w:sz w:val="30"/>
          <w:szCs w:val="30"/>
          <w:lang w:val="en-US" w:eastAsia="zh-CN"/>
        </w:rPr>
        <w:t>送审版</w:t>
      </w:r>
    </w:p>
    <w:p w14:paraId="1680BCEC">
      <w:pPr>
        <w:rPr>
          <w:rFonts w:hint="eastAsia" w:ascii="黑体" w:hAnsi="黑体" w:eastAsia="黑体" w:cs="黑体"/>
          <w:color w:val="auto"/>
          <w:sz w:val="36"/>
          <w:szCs w:val="36"/>
        </w:rPr>
      </w:pPr>
    </w:p>
    <w:p w14:paraId="1378BFEB">
      <w:pPr>
        <w:rPr>
          <w:rFonts w:hint="eastAsia" w:ascii="黑体" w:hAnsi="黑体" w:eastAsia="黑体" w:cs="黑体"/>
          <w:color w:val="auto"/>
          <w:sz w:val="36"/>
          <w:szCs w:val="36"/>
        </w:rPr>
      </w:pPr>
    </w:p>
    <w:p w14:paraId="1E75CBC2">
      <w:pPr>
        <w:rPr>
          <w:rFonts w:hint="eastAsia" w:ascii="黑体" w:hAnsi="黑体" w:eastAsia="黑体" w:cs="黑体"/>
          <w:color w:val="auto"/>
          <w:sz w:val="36"/>
          <w:szCs w:val="36"/>
        </w:rPr>
      </w:pPr>
    </w:p>
    <w:p w14:paraId="1E301B77">
      <w:pPr>
        <w:pStyle w:val="2"/>
        <w:rPr>
          <w:rFonts w:hint="eastAsia" w:ascii="黑体" w:hAnsi="黑体" w:eastAsia="黑体" w:cs="黑体"/>
          <w:color w:val="auto"/>
        </w:rPr>
      </w:pPr>
    </w:p>
    <w:p w14:paraId="6094362C">
      <w:pPr>
        <w:rPr>
          <w:rFonts w:hint="eastAsia" w:ascii="黑体" w:hAnsi="黑体" w:eastAsia="黑体" w:cs="黑体"/>
          <w:color w:val="auto"/>
          <w:sz w:val="36"/>
          <w:szCs w:val="36"/>
        </w:rPr>
      </w:pPr>
    </w:p>
    <w:p w14:paraId="6E66BA6E">
      <w:pPr>
        <w:adjustRightInd w:val="0"/>
        <w:snapToGrid w:val="0"/>
        <w:jc w:val="center"/>
        <w:outlineLvl w:val="0"/>
        <w:rPr>
          <w:rFonts w:hint="eastAsia" w:ascii="黑体" w:hAnsi="黑体" w:eastAsia="黑体" w:cs="黑体"/>
          <w:color w:val="auto"/>
          <w:sz w:val="72"/>
          <w:szCs w:val="72"/>
        </w:rPr>
      </w:pPr>
      <w:bookmarkStart w:id="338" w:name="_GoBack"/>
      <w:bookmarkEnd w:id="338"/>
      <w:bookmarkStart w:id="0" w:name="_Toc2107"/>
      <w:bookmarkStart w:id="1" w:name="_Toc15882"/>
      <w:bookmarkStart w:id="2" w:name="_Toc8053"/>
      <w:r>
        <w:rPr>
          <w:rFonts w:hint="eastAsia" w:ascii="黑体" w:hAnsi="黑体" w:eastAsia="黑体" w:cs="黑体"/>
          <w:color w:val="auto"/>
          <w:sz w:val="72"/>
          <w:szCs w:val="72"/>
        </w:rPr>
        <w:t>建设项目环境影响报告表</w:t>
      </w:r>
      <w:bookmarkEnd w:id="0"/>
      <w:bookmarkEnd w:id="1"/>
      <w:bookmarkEnd w:id="2"/>
    </w:p>
    <w:p w14:paraId="0EBAAF75">
      <w:pPr>
        <w:adjustRightInd w:val="0"/>
        <w:snapToGrid w:val="0"/>
        <w:spacing w:before="192" w:beforeLines="80"/>
        <w:jc w:val="center"/>
        <w:rPr>
          <w:rFonts w:hint="eastAsia" w:ascii="黑体" w:hAnsi="黑体" w:eastAsia="黑体" w:cs="黑体"/>
          <w:color w:val="auto"/>
          <w:sz w:val="48"/>
          <w:szCs w:val="48"/>
        </w:rPr>
      </w:pPr>
      <w:r>
        <w:rPr>
          <w:rFonts w:hint="eastAsia" w:ascii="黑体" w:hAnsi="黑体" w:eastAsia="黑体" w:cs="黑体"/>
          <w:color w:val="auto"/>
          <w:sz w:val="48"/>
          <w:szCs w:val="48"/>
        </w:rPr>
        <w:t>（污染影响类）</w:t>
      </w:r>
    </w:p>
    <w:p w14:paraId="528BD60E">
      <w:pPr>
        <w:adjustRightInd w:val="0"/>
        <w:snapToGrid w:val="0"/>
        <w:spacing w:line="288" w:lineRule="auto"/>
        <w:jc w:val="center"/>
        <w:rPr>
          <w:rFonts w:hint="eastAsia" w:ascii="黑体" w:hAnsi="黑体" w:eastAsia="黑体" w:cs="黑体"/>
          <w:color w:val="auto"/>
          <w:kern w:val="44"/>
          <w:sz w:val="44"/>
          <w:szCs w:val="44"/>
        </w:rPr>
      </w:pPr>
    </w:p>
    <w:p w14:paraId="4E9DAE77">
      <w:pPr>
        <w:jc w:val="center"/>
        <w:rPr>
          <w:rFonts w:hint="eastAsia" w:ascii="黑体" w:hAnsi="黑体" w:eastAsia="黑体" w:cs="黑体"/>
          <w:color w:val="auto"/>
          <w:sz w:val="52"/>
          <w:szCs w:val="52"/>
        </w:rPr>
      </w:pPr>
    </w:p>
    <w:p w14:paraId="6D266528">
      <w:pPr>
        <w:ind w:firstLine="1040"/>
        <w:rPr>
          <w:rFonts w:hint="eastAsia" w:ascii="黑体" w:hAnsi="黑体" w:eastAsia="黑体" w:cs="黑体"/>
          <w:color w:val="auto"/>
          <w:sz w:val="44"/>
          <w:szCs w:val="44"/>
        </w:rPr>
      </w:pPr>
    </w:p>
    <w:p w14:paraId="228AA29F">
      <w:pPr>
        <w:ind w:firstLine="1040"/>
        <w:rPr>
          <w:rFonts w:hint="eastAsia" w:ascii="黑体" w:hAnsi="黑体" w:eastAsia="黑体" w:cs="黑体"/>
          <w:color w:val="auto"/>
          <w:sz w:val="44"/>
          <w:szCs w:val="44"/>
        </w:rPr>
      </w:pPr>
    </w:p>
    <w:p w14:paraId="5654B464">
      <w:pPr>
        <w:ind w:firstLine="1040"/>
        <w:rPr>
          <w:rFonts w:hint="eastAsia" w:ascii="黑体" w:hAnsi="黑体" w:eastAsia="黑体" w:cs="黑体"/>
          <w:color w:val="auto"/>
          <w:sz w:val="44"/>
          <w:szCs w:val="44"/>
        </w:rPr>
      </w:pPr>
      <w:bookmarkStart w:id="3" w:name="_Hlk57884087"/>
    </w:p>
    <w:p w14:paraId="3D44B30A">
      <w:pPr>
        <w:adjustRightInd w:val="0"/>
        <w:snapToGrid w:val="0"/>
        <w:spacing w:line="288" w:lineRule="auto"/>
        <w:jc w:val="left"/>
        <w:rPr>
          <w:rFonts w:hint="eastAsia" w:ascii="黑体" w:hAnsi="黑体" w:eastAsia="黑体" w:cs="黑体"/>
          <w:color w:val="auto"/>
          <w:sz w:val="32"/>
          <w:szCs w:val="32"/>
          <w:u w:val="single"/>
        </w:rPr>
      </w:pPr>
      <w:r>
        <w:rPr>
          <w:rFonts w:hint="eastAsia" w:ascii="黑体" w:hAnsi="黑体" w:eastAsia="黑体" w:cs="黑体"/>
          <w:color w:val="auto"/>
          <w:sz w:val="32"/>
          <w:szCs w:val="32"/>
        </w:rPr>
        <w:t>项目名称：</w:t>
      </w:r>
      <w:r>
        <w:rPr>
          <w:rFonts w:hint="eastAsia" w:ascii="黑体" w:hAnsi="黑体" w:eastAsia="黑体" w:cs="黑体"/>
          <w:color w:val="auto"/>
          <w:sz w:val="32"/>
          <w:szCs w:val="32"/>
          <w:u w:val="single"/>
          <w:lang w:eastAsia="zh-CN"/>
        </w:rPr>
        <w:t>年产36000吨新能源电池用高纯晶体纳米新材料项目</w:t>
      </w:r>
      <w:r>
        <w:rPr>
          <w:rFonts w:hint="eastAsia" w:ascii="黑体" w:hAnsi="黑体" w:eastAsia="黑体" w:cs="黑体"/>
          <w:color w:val="auto"/>
          <w:sz w:val="32"/>
          <w:szCs w:val="32"/>
          <w:u w:val="single"/>
        </w:rPr>
        <w:t xml:space="preserve"> </w:t>
      </w:r>
    </w:p>
    <w:p w14:paraId="5A965275">
      <w:pPr>
        <w:adjustRightInd w:val="0"/>
        <w:snapToGrid w:val="0"/>
        <w:spacing w:line="288" w:lineRule="auto"/>
        <w:jc w:val="left"/>
        <w:rPr>
          <w:rFonts w:hint="eastAsia" w:ascii="黑体" w:hAnsi="黑体" w:eastAsia="黑体" w:cs="黑体"/>
          <w:color w:val="auto"/>
          <w:sz w:val="32"/>
          <w:szCs w:val="32"/>
          <w:u w:val="single"/>
        </w:rPr>
      </w:pPr>
      <w:r>
        <w:rPr>
          <w:rFonts w:hint="eastAsia" w:ascii="黑体" w:hAnsi="黑体" w:eastAsia="黑体" w:cs="黑体"/>
          <w:color w:val="auto"/>
          <w:sz w:val="32"/>
          <w:szCs w:val="32"/>
        </w:rPr>
        <w:t>建设单位</w:t>
      </w:r>
      <w:r>
        <w:rPr>
          <w:rFonts w:hint="eastAsia" w:ascii="黑体" w:hAnsi="黑体" w:eastAsia="黑体" w:cs="黑体"/>
          <w:color w:val="auto"/>
          <w:sz w:val="16"/>
          <w:szCs w:val="16"/>
        </w:rPr>
        <w:t>（盖章）</w:t>
      </w:r>
      <w:r>
        <w:rPr>
          <w:rFonts w:hint="eastAsia" w:ascii="黑体" w:hAnsi="黑体" w:eastAsia="黑体" w:cs="黑体"/>
          <w:color w:val="auto"/>
          <w:sz w:val="32"/>
          <w:szCs w:val="32"/>
        </w:rPr>
        <w:t>：</w:t>
      </w:r>
      <w:r>
        <w:rPr>
          <w:rFonts w:hint="eastAsia" w:ascii="黑体" w:hAnsi="黑体" w:eastAsia="黑体" w:cs="黑体"/>
          <w:color w:val="auto"/>
          <w:sz w:val="32"/>
          <w:szCs w:val="32"/>
          <w:u w:val="single"/>
        </w:rPr>
        <w:t xml:space="preserve">      </w:t>
      </w:r>
      <w:r>
        <w:rPr>
          <w:rFonts w:hint="eastAsia" w:ascii="黑体" w:hAnsi="黑体" w:eastAsia="黑体" w:cs="黑体"/>
          <w:color w:val="auto"/>
          <w:sz w:val="32"/>
          <w:szCs w:val="32"/>
          <w:u w:val="single"/>
          <w:lang w:eastAsia="zh-CN"/>
        </w:rPr>
        <w:t>淄博鸿安铝业有限公司</w:t>
      </w:r>
      <w:r>
        <w:rPr>
          <w:rFonts w:hint="eastAsia" w:ascii="黑体" w:hAnsi="黑体" w:eastAsia="黑体" w:cs="黑体"/>
          <w:color w:val="auto"/>
          <w:sz w:val="32"/>
          <w:szCs w:val="32"/>
          <w:u w:val="single"/>
        </w:rPr>
        <w:t xml:space="preserve">   </w:t>
      </w:r>
      <w:r>
        <w:rPr>
          <w:rFonts w:hint="eastAsia" w:ascii="黑体" w:hAnsi="黑体" w:eastAsia="黑体" w:cs="黑体"/>
          <w:color w:val="auto"/>
          <w:sz w:val="32"/>
          <w:szCs w:val="32"/>
          <w:u w:val="single"/>
          <w:lang w:val="en-US" w:eastAsia="zh-CN"/>
        </w:rPr>
        <w:t xml:space="preserve">           </w:t>
      </w:r>
      <w:r>
        <w:rPr>
          <w:rFonts w:hint="eastAsia" w:ascii="黑体" w:hAnsi="黑体" w:eastAsia="黑体" w:cs="黑体"/>
          <w:color w:val="auto"/>
          <w:sz w:val="32"/>
          <w:szCs w:val="32"/>
          <w:u w:val="single"/>
        </w:rPr>
        <w:t xml:space="preserve">   </w:t>
      </w:r>
    </w:p>
    <w:p w14:paraId="704A53D6">
      <w:pPr>
        <w:adjustRightInd w:val="0"/>
        <w:snapToGrid w:val="0"/>
        <w:spacing w:line="288" w:lineRule="auto"/>
        <w:jc w:val="left"/>
        <w:rPr>
          <w:rFonts w:hint="eastAsia" w:ascii="黑体" w:hAnsi="黑体" w:eastAsia="黑体" w:cs="黑体"/>
          <w:color w:val="auto"/>
          <w:sz w:val="32"/>
          <w:szCs w:val="32"/>
          <w:u w:val="single"/>
          <w:lang w:val="en-US" w:eastAsia="zh-CN"/>
        </w:rPr>
      </w:pPr>
      <w:r>
        <w:rPr>
          <w:rFonts w:hint="eastAsia" w:ascii="黑体" w:hAnsi="黑体" w:eastAsia="黑体" w:cs="黑体"/>
          <w:color w:val="auto"/>
          <w:sz w:val="32"/>
          <w:szCs w:val="32"/>
        </w:rPr>
        <w:t>编制日期：</w:t>
      </w:r>
      <w:r>
        <w:rPr>
          <w:rFonts w:hint="eastAsia" w:ascii="黑体" w:hAnsi="黑体" w:eastAsia="黑体" w:cs="黑体"/>
          <w:color w:val="auto"/>
          <w:sz w:val="32"/>
          <w:szCs w:val="32"/>
          <w:u w:val="single"/>
        </w:rPr>
        <w:t xml:space="preserve">                 202</w:t>
      </w:r>
      <w:r>
        <w:rPr>
          <w:rFonts w:hint="eastAsia" w:ascii="黑体" w:hAnsi="黑体" w:eastAsia="黑体" w:cs="黑体"/>
          <w:color w:val="auto"/>
          <w:sz w:val="32"/>
          <w:szCs w:val="32"/>
          <w:u w:val="single"/>
          <w:lang w:val="en-US" w:eastAsia="zh-CN"/>
        </w:rPr>
        <w:t>5</w:t>
      </w:r>
      <w:r>
        <w:rPr>
          <w:rFonts w:hint="eastAsia" w:ascii="黑体" w:hAnsi="黑体" w:eastAsia="黑体" w:cs="黑体"/>
          <w:color w:val="auto"/>
          <w:sz w:val="32"/>
          <w:szCs w:val="32"/>
          <w:u w:val="single"/>
        </w:rPr>
        <w:t>年</w:t>
      </w:r>
      <w:r>
        <w:rPr>
          <w:rFonts w:hint="eastAsia" w:ascii="黑体" w:hAnsi="黑体" w:eastAsia="黑体" w:cs="黑体"/>
          <w:color w:val="auto"/>
          <w:sz w:val="32"/>
          <w:szCs w:val="32"/>
          <w:u w:val="single"/>
          <w:lang w:val="en-US" w:eastAsia="zh-CN"/>
        </w:rPr>
        <w:t>8</w:t>
      </w:r>
      <w:r>
        <w:rPr>
          <w:rFonts w:hint="eastAsia" w:ascii="黑体" w:hAnsi="黑体" w:eastAsia="黑体" w:cs="黑体"/>
          <w:color w:val="auto"/>
          <w:sz w:val="32"/>
          <w:szCs w:val="32"/>
          <w:u w:val="single"/>
        </w:rPr>
        <w:t xml:space="preserve">月       </w:t>
      </w:r>
      <w:r>
        <w:rPr>
          <w:rFonts w:hint="eastAsia" w:ascii="黑体" w:hAnsi="黑体" w:eastAsia="黑体" w:cs="黑体"/>
          <w:color w:val="auto"/>
          <w:sz w:val="32"/>
          <w:szCs w:val="32"/>
          <w:u w:val="single"/>
          <w:lang w:val="en-US" w:eastAsia="zh-CN"/>
        </w:rPr>
        <w:t xml:space="preserve">         </w:t>
      </w:r>
      <w:r>
        <w:rPr>
          <w:rFonts w:hint="eastAsia" w:ascii="黑体" w:hAnsi="黑体" w:eastAsia="黑体" w:cs="黑体"/>
          <w:color w:val="auto"/>
          <w:sz w:val="32"/>
          <w:szCs w:val="32"/>
          <w:u w:val="single"/>
        </w:rPr>
        <w:t xml:space="preserve">   </w:t>
      </w:r>
      <w:r>
        <w:rPr>
          <w:rFonts w:hint="eastAsia" w:ascii="黑体" w:hAnsi="黑体" w:eastAsia="黑体" w:cs="黑体"/>
          <w:color w:val="auto"/>
          <w:sz w:val="32"/>
          <w:szCs w:val="32"/>
          <w:u w:val="single"/>
          <w:lang w:val="en-US" w:eastAsia="zh-CN"/>
        </w:rPr>
        <w:t xml:space="preserve"> </w:t>
      </w:r>
    </w:p>
    <w:p w14:paraId="6D0C6E29">
      <w:pPr>
        <w:adjustRightInd w:val="0"/>
        <w:snapToGrid w:val="0"/>
        <w:spacing w:line="288" w:lineRule="auto"/>
        <w:rPr>
          <w:rFonts w:hint="eastAsia" w:ascii="黑体" w:hAnsi="黑体" w:eastAsia="黑体" w:cs="黑体"/>
          <w:color w:val="auto"/>
          <w:sz w:val="36"/>
          <w:szCs w:val="36"/>
          <w:lang w:val="en-US" w:eastAsia="zh-CN"/>
        </w:rPr>
      </w:pPr>
      <w:r>
        <w:rPr>
          <w:rFonts w:hint="eastAsia" w:ascii="黑体" w:hAnsi="黑体" w:eastAsia="黑体" w:cs="黑体"/>
          <w:color w:val="auto"/>
          <w:sz w:val="36"/>
          <w:szCs w:val="36"/>
          <w:lang w:val="en-US" w:eastAsia="zh-CN"/>
        </w:rPr>
        <w:t xml:space="preserve"> </w:t>
      </w:r>
    </w:p>
    <w:p w14:paraId="618C1AB4">
      <w:pPr>
        <w:pStyle w:val="2"/>
        <w:ind w:firstLine="720"/>
        <w:rPr>
          <w:rFonts w:hint="eastAsia" w:ascii="黑体" w:hAnsi="黑体" w:eastAsia="黑体" w:cs="黑体"/>
          <w:color w:val="auto"/>
          <w:sz w:val="36"/>
          <w:szCs w:val="36"/>
        </w:rPr>
      </w:pPr>
    </w:p>
    <w:p w14:paraId="7CB28925">
      <w:pPr>
        <w:rPr>
          <w:rFonts w:hint="eastAsia" w:ascii="黑体" w:hAnsi="黑体" w:eastAsia="黑体" w:cs="黑体"/>
          <w:color w:val="auto"/>
        </w:rPr>
      </w:pPr>
    </w:p>
    <w:p w14:paraId="35AFE535">
      <w:pPr>
        <w:rPr>
          <w:rFonts w:hint="eastAsia" w:ascii="黑体" w:hAnsi="黑体" w:eastAsia="黑体" w:cs="黑体"/>
          <w:color w:val="auto"/>
        </w:rPr>
      </w:pPr>
    </w:p>
    <w:p w14:paraId="46BB5ECD">
      <w:pPr>
        <w:pStyle w:val="2"/>
        <w:rPr>
          <w:rFonts w:hint="eastAsia" w:ascii="黑体" w:hAnsi="黑体" w:eastAsia="黑体" w:cs="黑体"/>
          <w:color w:val="auto"/>
        </w:rPr>
      </w:pPr>
    </w:p>
    <w:p w14:paraId="18BD1F60">
      <w:pPr>
        <w:rPr>
          <w:rFonts w:hint="eastAsia" w:ascii="黑体" w:hAnsi="黑体" w:eastAsia="黑体" w:cs="黑体"/>
        </w:rPr>
      </w:pPr>
    </w:p>
    <w:p w14:paraId="2D5460DA">
      <w:pPr>
        <w:rPr>
          <w:rFonts w:hint="eastAsia" w:ascii="黑体" w:hAnsi="黑体" w:eastAsia="黑体" w:cs="黑体"/>
          <w:color w:val="auto"/>
        </w:rPr>
      </w:pPr>
    </w:p>
    <w:p w14:paraId="0EBFA819">
      <w:pPr>
        <w:adjustRightInd w:val="0"/>
        <w:snapToGrid w:val="0"/>
        <w:spacing w:line="288" w:lineRule="auto"/>
        <w:rPr>
          <w:rFonts w:hint="eastAsia" w:ascii="黑体" w:hAnsi="黑体" w:eastAsia="黑体" w:cs="黑体"/>
          <w:color w:val="auto"/>
          <w:sz w:val="36"/>
          <w:szCs w:val="36"/>
        </w:rPr>
      </w:pPr>
    </w:p>
    <w:bookmarkEnd w:id="3"/>
    <w:p w14:paraId="07C36EFF">
      <w:pPr>
        <w:adjustRightInd w:val="0"/>
        <w:snapToGrid w:val="0"/>
        <w:spacing w:line="288" w:lineRule="auto"/>
        <w:jc w:val="center"/>
        <w:rPr>
          <w:rFonts w:hint="eastAsia" w:ascii="黑体" w:hAnsi="黑体" w:eastAsia="黑体" w:cs="黑体"/>
          <w:color w:val="auto"/>
          <w:sz w:val="36"/>
          <w:szCs w:val="36"/>
        </w:rPr>
      </w:pPr>
      <w:r>
        <w:rPr>
          <w:rFonts w:hint="eastAsia" w:ascii="黑体" w:hAnsi="黑体" w:eastAsia="黑体" w:cs="黑体"/>
          <w:color w:val="auto"/>
          <w:sz w:val="36"/>
          <w:szCs w:val="36"/>
        </w:rPr>
        <w:t>中华人民共和国生态环境部制</w:t>
      </w:r>
    </w:p>
    <w:p w14:paraId="0050A9A8">
      <w:pPr>
        <w:pStyle w:val="15"/>
        <w:rPr>
          <w:rFonts w:hint="eastAsia" w:ascii="黑体" w:hAnsi="黑体" w:eastAsia="黑体" w:cs="黑体"/>
          <w:color w:val="auto"/>
          <w:sz w:val="36"/>
          <w:szCs w:val="36"/>
        </w:rPr>
      </w:pPr>
    </w:p>
    <w:p w14:paraId="28962700">
      <w:pPr>
        <w:rPr>
          <w:rFonts w:hint="eastAsia" w:ascii="黑体" w:hAnsi="黑体" w:eastAsia="黑体" w:cs="黑体"/>
          <w:color w:val="auto"/>
        </w:rPr>
      </w:pPr>
    </w:p>
    <w:p w14:paraId="70BC6ED4">
      <w:pPr>
        <w:pStyle w:val="2"/>
        <w:ind w:firstLine="720"/>
        <w:rPr>
          <w:rFonts w:hint="eastAsia" w:ascii="黑体" w:hAnsi="黑体" w:eastAsia="黑体" w:cs="黑体"/>
          <w:color w:val="auto"/>
          <w:sz w:val="36"/>
          <w:szCs w:val="36"/>
        </w:rPr>
      </w:pPr>
    </w:p>
    <w:p w14:paraId="1FAC5F0A">
      <w:pPr>
        <w:pStyle w:val="2"/>
        <w:rPr>
          <w:rFonts w:hint="eastAsia" w:ascii="黑体" w:hAnsi="黑体" w:eastAsia="黑体" w:cs="黑体"/>
          <w:color w:val="auto"/>
        </w:rPr>
      </w:pPr>
    </w:p>
    <w:p w14:paraId="67964980">
      <w:pPr>
        <w:rPr>
          <w:rFonts w:hint="default" w:ascii="Times New Roman" w:hAnsi="Times New Roman" w:cs="Times New Roman"/>
          <w:color w:val="auto"/>
        </w:rPr>
      </w:pPr>
    </w:p>
    <w:p w14:paraId="474E339F">
      <w:pPr>
        <w:pStyle w:val="2"/>
        <w:rPr>
          <w:rFonts w:hint="default" w:ascii="Times New Roman" w:hAnsi="Times New Roman" w:cs="Times New Roman"/>
          <w:color w:val="auto"/>
        </w:rPr>
      </w:pPr>
    </w:p>
    <w:p w14:paraId="56CFEEAE">
      <w:pPr>
        <w:rPr>
          <w:rFonts w:hint="default" w:ascii="Times New Roman" w:hAnsi="Times New Roman" w:cs="Times New Roman"/>
          <w:color w:val="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p>
    <w:p w14:paraId="6D4A9FF2">
      <w:pPr>
        <w:pStyle w:val="28"/>
        <w:keepNext w:val="0"/>
        <w:keepLines w:val="0"/>
        <w:pageBreakBefore w:val="0"/>
        <w:widowControl/>
        <w:kinsoku/>
        <w:wordWrap/>
        <w:overflowPunct/>
        <w:topLinePunct w:val="0"/>
        <w:autoSpaceDE/>
        <w:autoSpaceDN/>
        <w:bidi w:val="0"/>
        <w:adjustRightInd w:val="0"/>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bookmarkStart w:id="4" w:name="_Toc10078"/>
      <w:bookmarkStart w:id="5" w:name="_Toc13751"/>
      <w:bookmarkStart w:id="6" w:name="_Toc30117"/>
      <w:r>
        <w:rPr>
          <w:rFonts w:hint="default" w:ascii="Times New Roman" w:hAnsi="Times New Roman" w:eastAsia="黑体" w:cs="Times New Roman"/>
          <w:snapToGrid w:val="0"/>
          <w:color w:val="auto"/>
          <w:sz w:val="30"/>
          <w:szCs w:val="30"/>
          <w:highlight w:val="none"/>
        </w:rPr>
        <w:t>一、建设项目基本情况</w:t>
      </w:r>
      <w:bookmarkEnd w:id="4"/>
      <w:bookmarkEnd w:id="5"/>
      <w:bookmarkEnd w:id="6"/>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66"/>
        <w:gridCol w:w="2357"/>
        <w:gridCol w:w="2099"/>
        <w:gridCol w:w="3241"/>
      </w:tblGrid>
      <w:tr w14:paraId="4F7179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087EB1D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7612" w:type="dxa"/>
            <w:gridSpan w:val="3"/>
            <w:noWrap w:val="0"/>
            <w:vAlign w:val="center"/>
          </w:tcPr>
          <w:p w14:paraId="4FFE6CE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年产36000吨新能源电池用高纯晶体纳米新材料项目</w:t>
            </w:r>
          </w:p>
        </w:tc>
      </w:tr>
      <w:tr w14:paraId="01FADA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30ECE56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7612" w:type="dxa"/>
            <w:gridSpan w:val="3"/>
            <w:noWrap w:val="0"/>
            <w:vAlign w:val="center"/>
          </w:tcPr>
          <w:p w14:paraId="024E871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2507-370302-89-03-511785</w:t>
            </w:r>
          </w:p>
        </w:tc>
      </w:tr>
      <w:tr w14:paraId="4D79D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7BA87B8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建设单位联系人</w:t>
            </w:r>
          </w:p>
        </w:tc>
        <w:tc>
          <w:tcPr>
            <w:tcW w:w="2331" w:type="dxa"/>
            <w:noWrap w:val="0"/>
            <w:vAlign w:val="center"/>
          </w:tcPr>
          <w:p w14:paraId="0C9982F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殷敬波</w:t>
            </w:r>
          </w:p>
        </w:tc>
        <w:tc>
          <w:tcPr>
            <w:tcW w:w="2076" w:type="dxa"/>
            <w:noWrap w:val="0"/>
            <w:vAlign w:val="center"/>
          </w:tcPr>
          <w:p w14:paraId="2E696A2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联系方式</w:t>
            </w:r>
          </w:p>
        </w:tc>
        <w:tc>
          <w:tcPr>
            <w:tcW w:w="3205" w:type="dxa"/>
            <w:noWrap w:val="0"/>
            <w:vAlign w:val="center"/>
          </w:tcPr>
          <w:p w14:paraId="22BA5A5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p>
        </w:tc>
      </w:tr>
      <w:tr w14:paraId="0CC2ED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1A8831A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7612" w:type="dxa"/>
            <w:gridSpan w:val="3"/>
            <w:noWrap w:val="0"/>
            <w:vAlign w:val="center"/>
          </w:tcPr>
          <w:p w14:paraId="160DC80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 w:val="24"/>
                <w:highlight w:val="none"/>
                <w:lang w:val="en-US" w:eastAsia="zh-CN"/>
              </w:rPr>
              <w:t>山东省淄博市淄川区双杨镇小庄村沿河路东部现有厂房</w:t>
            </w:r>
          </w:p>
        </w:tc>
      </w:tr>
      <w:tr w14:paraId="3B7960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1F8A893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7612" w:type="dxa"/>
            <w:gridSpan w:val="3"/>
            <w:noWrap w:val="0"/>
            <w:vAlign w:val="center"/>
          </w:tcPr>
          <w:p w14:paraId="7491A78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u w:val="single"/>
              </w:rPr>
              <w:t>11</w:t>
            </w:r>
            <w:r>
              <w:rPr>
                <w:rFonts w:hint="default" w:ascii="Times New Roman" w:hAnsi="Times New Roman" w:cs="Times New Roman"/>
                <w:color w:val="auto"/>
                <w:sz w:val="24"/>
                <w:highlight w:val="none"/>
                <w:u w:val="single"/>
                <w:lang w:val="en-US" w:eastAsia="zh-CN"/>
              </w:rPr>
              <w:t>7</w:t>
            </w:r>
            <w:r>
              <w:rPr>
                <w:rFonts w:hint="default" w:ascii="Times New Roman" w:hAnsi="Times New Roman" w:cs="Times New Roman"/>
                <w:color w:val="auto"/>
                <w:sz w:val="24"/>
                <w:highlight w:val="none"/>
              </w:rPr>
              <w:t>度</w:t>
            </w:r>
            <w:r>
              <w:rPr>
                <w:rFonts w:hint="default" w:ascii="Times New Roman" w:hAnsi="Times New Roman" w:cs="Times New Roman"/>
                <w:color w:val="auto"/>
                <w:sz w:val="24"/>
                <w:highlight w:val="none"/>
                <w:u w:val="single"/>
                <w:lang w:val="en-US" w:eastAsia="zh-CN"/>
              </w:rPr>
              <w:t>59</w:t>
            </w:r>
            <w:r>
              <w:rPr>
                <w:rFonts w:hint="default" w:ascii="Times New Roman" w:hAnsi="Times New Roman" w:cs="Times New Roman"/>
                <w:color w:val="auto"/>
                <w:sz w:val="24"/>
                <w:highlight w:val="none"/>
              </w:rPr>
              <w:t>分</w:t>
            </w:r>
            <w:r>
              <w:rPr>
                <w:rFonts w:hint="eastAsia" w:ascii="Times New Roman" w:hAnsi="Times New Roman" w:cs="Times New Roman"/>
                <w:color w:val="auto"/>
                <w:sz w:val="24"/>
                <w:highlight w:val="none"/>
                <w:u w:val="single"/>
                <w:lang w:val="en-US" w:eastAsia="zh-CN"/>
              </w:rPr>
              <w:t>7.773</w:t>
            </w:r>
            <w:r>
              <w:rPr>
                <w:rFonts w:hint="default" w:ascii="Times New Roman" w:hAnsi="Times New Roman" w:cs="Times New Roman"/>
                <w:color w:val="auto"/>
                <w:sz w:val="24"/>
                <w:highlight w:val="none"/>
              </w:rPr>
              <w:t>秒，</w:t>
            </w:r>
            <w:r>
              <w:rPr>
                <w:rFonts w:hint="default" w:ascii="Times New Roman" w:hAnsi="Times New Roman" w:cs="Times New Roman"/>
                <w:color w:val="auto"/>
                <w:sz w:val="24"/>
                <w:highlight w:val="none"/>
                <w:u w:val="single"/>
              </w:rPr>
              <w:t>36</w:t>
            </w:r>
            <w:r>
              <w:rPr>
                <w:rFonts w:hint="default" w:ascii="Times New Roman" w:hAnsi="Times New Roman" w:cs="Times New Roman"/>
                <w:color w:val="auto"/>
                <w:sz w:val="24"/>
                <w:highlight w:val="none"/>
              </w:rPr>
              <w:t>度</w:t>
            </w:r>
            <w:r>
              <w:rPr>
                <w:rFonts w:hint="default" w:ascii="Times New Roman" w:hAnsi="Times New Roman" w:cs="Times New Roman"/>
                <w:color w:val="auto"/>
                <w:sz w:val="24"/>
                <w:highlight w:val="none"/>
                <w:u w:val="single"/>
                <w:lang w:val="en-US" w:eastAsia="zh-CN"/>
              </w:rPr>
              <w:t>41</w:t>
            </w:r>
            <w:r>
              <w:rPr>
                <w:rFonts w:hint="default" w:ascii="Times New Roman" w:hAnsi="Times New Roman" w:cs="Times New Roman"/>
                <w:color w:val="auto"/>
                <w:sz w:val="24"/>
                <w:highlight w:val="none"/>
              </w:rPr>
              <w:t>分</w:t>
            </w:r>
            <w:r>
              <w:rPr>
                <w:rFonts w:hint="eastAsia" w:ascii="Times New Roman" w:hAnsi="Times New Roman" w:cs="Times New Roman"/>
                <w:color w:val="auto"/>
                <w:sz w:val="24"/>
                <w:highlight w:val="none"/>
                <w:u w:val="single"/>
                <w:lang w:val="en-US" w:eastAsia="zh-CN"/>
              </w:rPr>
              <w:t>48.323</w:t>
            </w:r>
            <w:r>
              <w:rPr>
                <w:rFonts w:hint="default" w:ascii="Times New Roman" w:hAnsi="Times New Roman" w:cs="Times New Roman"/>
                <w:color w:val="auto"/>
                <w:sz w:val="24"/>
                <w:highlight w:val="none"/>
              </w:rPr>
              <w:t>秒）</w:t>
            </w:r>
          </w:p>
        </w:tc>
      </w:tr>
      <w:tr w14:paraId="2AE31B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7D161E9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国民经济</w:t>
            </w:r>
          </w:p>
          <w:p w14:paraId="10C9EA5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2331" w:type="dxa"/>
            <w:noWrap w:val="0"/>
            <w:vAlign w:val="center"/>
          </w:tcPr>
          <w:p w14:paraId="394E1C9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szCs w:val="24"/>
                <w:lang w:eastAsia="zh-CN"/>
              </w:rPr>
              <w:t>C3099其他非金属矿物制品制造</w:t>
            </w:r>
          </w:p>
        </w:tc>
        <w:tc>
          <w:tcPr>
            <w:tcW w:w="2076" w:type="dxa"/>
            <w:noWrap w:val="0"/>
            <w:vAlign w:val="center"/>
          </w:tcPr>
          <w:p w14:paraId="0BCF350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bookmarkStart w:id="7" w:name="_Hlk49843745"/>
            <w:r>
              <w:rPr>
                <w:rFonts w:hint="default" w:ascii="Times New Roman" w:hAnsi="Times New Roman" w:eastAsia="宋体" w:cs="Times New Roman"/>
                <w:color w:val="auto"/>
                <w:sz w:val="24"/>
                <w:highlight w:val="none"/>
                <w:lang w:val="en-US" w:eastAsia="zh-CN"/>
              </w:rPr>
              <w:t>建设项目</w:t>
            </w:r>
          </w:p>
          <w:p w14:paraId="28ECFA1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行业类别</w:t>
            </w:r>
            <w:bookmarkEnd w:id="7"/>
          </w:p>
        </w:tc>
        <w:tc>
          <w:tcPr>
            <w:tcW w:w="3205" w:type="dxa"/>
            <w:noWrap w:val="0"/>
            <w:vAlign w:val="center"/>
          </w:tcPr>
          <w:p w14:paraId="56EA71B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二十七、非金属矿物制品业30</w:t>
            </w:r>
            <w:r>
              <w:rPr>
                <w:rFonts w:hint="eastAsia" w:ascii="Times New Roman" w:hAnsi="Times New Roman" w:eastAsia="宋体" w:cs="Times New Roman"/>
                <w:color w:val="auto"/>
                <w:sz w:val="24"/>
                <w:highlight w:val="none"/>
                <w:lang w:val="en-US" w:eastAsia="zh-CN"/>
              </w:rPr>
              <w:t>、60石墨及其他非金属矿物制品制造309、其他</w:t>
            </w:r>
          </w:p>
        </w:tc>
      </w:tr>
      <w:tr w14:paraId="64E415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14485E3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2331" w:type="dxa"/>
            <w:noWrap w:val="0"/>
            <w:vAlign w:val="center"/>
          </w:tcPr>
          <w:p w14:paraId="57F1269E">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sym w:font="Wingdings" w:char="00FE"/>
            </w:r>
            <w:r>
              <w:rPr>
                <w:rFonts w:hint="default" w:ascii="Times New Roman" w:hAnsi="Times New Roman" w:cs="Times New Roman"/>
                <w:color w:val="auto"/>
                <w:szCs w:val="21"/>
              </w:rPr>
              <w:t>新建</w:t>
            </w:r>
            <w:r>
              <w:rPr>
                <w:rFonts w:hint="default" w:ascii="Times New Roman" w:hAnsi="Times New Roman" w:cs="Times New Roman"/>
                <w:color w:val="auto"/>
                <w:szCs w:val="21"/>
                <w:lang w:eastAsia="zh-CN"/>
              </w:rPr>
              <w:t>（迁建）</w:t>
            </w:r>
          </w:p>
          <w:p w14:paraId="0BCB437B">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改建</w:t>
            </w:r>
          </w:p>
          <w:p w14:paraId="57EDD6A1">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扩建</w:t>
            </w:r>
          </w:p>
          <w:p w14:paraId="196049F9">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highlight w:val="none"/>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技术改造</w:t>
            </w:r>
          </w:p>
        </w:tc>
        <w:tc>
          <w:tcPr>
            <w:tcW w:w="2076" w:type="dxa"/>
            <w:noWrap w:val="0"/>
            <w:vAlign w:val="center"/>
          </w:tcPr>
          <w:p w14:paraId="16B601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30FF6F5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3205" w:type="dxa"/>
            <w:noWrap w:val="0"/>
            <w:vAlign w:val="center"/>
          </w:tcPr>
          <w:p w14:paraId="1D81DA88">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w:char="00FE"/>
            </w:r>
            <w:r>
              <w:rPr>
                <w:rFonts w:hint="default" w:ascii="Times New Roman" w:hAnsi="Times New Roman" w:cs="Times New Roman"/>
                <w:color w:val="auto"/>
                <w:szCs w:val="21"/>
              </w:rPr>
              <w:t xml:space="preserve">首次申报项目             </w:t>
            </w:r>
          </w:p>
          <w:p w14:paraId="21D90832">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不予批准后再次申报项目</w:t>
            </w:r>
          </w:p>
          <w:p w14:paraId="23DBBAB1">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 xml:space="preserve">超五年重新审核项目     </w:t>
            </w:r>
          </w:p>
          <w:p w14:paraId="69FDC96A">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highlight w:val="none"/>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重大变动重新报批项目</w:t>
            </w:r>
          </w:p>
        </w:tc>
      </w:tr>
      <w:tr w14:paraId="126CFD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658CA14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34185FC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2331" w:type="dxa"/>
            <w:noWrap w:val="0"/>
            <w:vAlign w:val="center"/>
          </w:tcPr>
          <w:p w14:paraId="110D6304">
            <w:pPr>
              <w:pStyle w:val="16"/>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default" w:ascii="Times New Roman" w:hAnsi="Times New Roman" w:cs="Times New Roman"/>
                <w:color w:val="auto"/>
              </w:rPr>
              <w:t>淄川区行政审批服务局</w:t>
            </w:r>
          </w:p>
        </w:tc>
        <w:tc>
          <w:tcPr>
            <w:tcW w:w="2076" w:type="dxa"/>
            <w:noWrap w:val="0"/>
            <w:vAlign w:val="center"/>
          </w:tcPr>
          <w:p w14:paraId="0008A24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4E575E8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3205" w:type="dxa"/>
            <w:noWrap w:val="0"/>
            <w:vAlign w:val="center"/>
          </w:tcPr>
          <w:p w14:paraId="6191852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w:t>
            </w:r>
          </w:p>
        </w:tc>
      </w:tr>
      <w:tr w14:paraId="44856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0B1D39E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2331" w:type="dxa"/>
            <w:noWrap w:val="0"/>
            <w:vAlign w:val="center"/>
          </w:tcPr>
          <w:p w14:paraId="249E49C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1200</w:t>
            </w:r>
          </w:p>
        </w:tc>
        <w:tc>
          <w:tcPr>
            <w:tcW w:w="2076" w:type="dxa"/>
            <w:noWrap w:val="0"/>
            <w:tcMar>
              <w:top w:w="16" w:type="dxa"/>
              <w:left w:w="16" w:type="dxa"/>
              <w:right w:w="16" w:type="dxa"/>
            </w:tcMar>
            <w:vAlign w:val="center"/>
          </w:tcPr>
          <w:p w14:paraId="691C5F6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3205" w:type="dxa"/>
            <w:noWrap w:val="0"/>
            <w:vAlign w:val="center"/>
          </w:tcPr>
          <w:p w14:paraId="765E84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44</w:t>
            </w:r>
          </w:p>
        </w:tc>
      </w:tr>
      <w:tr w14:paraId="7F2157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3783163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2331" w:type="dxa"/>
            <w:noWrap w:val="0"/>
            <w:vAlign w:val="center"/>
          </w:tcPr>
          <w:p w14:paraId="15E4B0E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3.7</w:t>
            </w:r>
          </w:p>
        </w:tc>
        <w:tc>
          <w:tcPr>
            <w:tcW w:w="2076" w:type="dxa"/>
            <w:noWrap w:val="0"/>
            <w:tcMar>
              <w:top w:w="16" w:type="dxa"/>
              <w:left w:w="16" w:type="dxa"/>
              <w:right w:w="16" w:type="dxa"/>
            </w:tcMar>
            <w:vAlign w:val="center"/>
          </w:tcPr>
          <w:p w14:paraId="6A73B7F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3205" w:type="dxa"/>
            <w:noWrap w:val="0"/>
            <w:vAlign w:val="center"/>
          </w:tcPr>
          <w:p w14:paraId="479A0C1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个月</w:t>
            </w:r>
          </w:p>
        </w:tc>
      </w:tr>
      <w:tr w14:paraId="25DEE4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tcMar>
              <w:top w:w="16" w:type="dxa"/>
              <w:left w:w="16" w:type="dxa"/>
              <w:right w:w="16" w:type="dxa"/>
            </w:tcMar>
            <w:vAlign w:val="center"/>
          </w:tcPr>
          <w:p w14:paraId="794520D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Cs w:val="21"/>
              </w:rPr>
              <w:t>是否开工建设</w:t>
            </w:r>
          </w:p>
        </w:tc>
        <w:tc>
          <w:tcPr>
            <w:tcW w:w="2331" w:type="dxa"/>
            <w:noWrap w:val="0"/>
            <w:vAlign w:val="center"/>
          </w:tcPr>
          <w:p w14:paraId="1F431D06">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sym w:font="Wingdings" w:char="00FE"/>
            </w:r>
            <w:r>
              <w:rPr>
                <w:rFonts w:hint="default" w:ascii="Times New Roman" w:hAnsi="Times New Roman" w:cs="Times New Roman"/>
                <w:color w:val="auto"/>
                <w:szCs w:val="21"/>
              </w:rPr>
              <w:t>否</w:t>
            </w:r>
          </w:p>
          <w:p w14:paraId="61B01524">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 w:val="24"/>
                <w:highlight w:val="none"/>
              </w:rPr>
            </w:pPr>
            <w:r>
              <w:rPr>
                <w:rFonts w:hint="default" w:ascii="Times New Roman" w:hAnsi="Times New Roman" w:cs="Times New Roman"/>
                <w:color w:val="auto"/>
                <w:szCs w:val="21"/>
              </w:rPr>
              <w:sym w:font="Wingdings" w:char="00A8"/>
            </w:r>
            <w:r>
              <w:rPr>
                <w:rFonts w:hint="default" w:ascii="Times New Roman" w:hAnsi="Times New Roman" w:cs="Times New Roman"/>
                <w:color w:val="auto"/>
                <w:szCs w:val="21"/>
              </w:rPr>
              <w:t>是：</w:t>
            </w:r>
            <w:r>
              <w:rPr>
                <w:rFonts w:hint="default" w:ascii="Times New Roman" w:hAnsi="Times New Roman" w:cs="Times New Roman"/>
                <w:color w:val="auto"/>
                <w:szCs w:val="21"/>
                <w:u w:val="single"/>
              </w:rPr>
              <w:t xml:space="preserve">             </w:t>
            </w:r>
          </w:p>
        </w:tc>
        <w:tc>
          <w:tcPr>
            <w:tcW w:w="2076" w:type="dxa"/>
            <w:noWrap w:val="0"/>
            <w:tcMar>
              <w:top w:w="16" w:type="dxa"/>
              <w:left w:w="16" w:type="dxa"/>
              <w:right w:w="16" w:type="dxa"/>
            </w:tcMar>
            <w:vAlign w:val="center"/>
          </w:tcPr>
          <w:p w14:paraId="0213B96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758CE3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3205" w:type="dxa"/>
            <w:noWrap w:val="0"/>
            <w:vAlign w:val="center"/>
          </w:tcPr>
          <w:p w14:paraId="18A35B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lang w:val="en-US"/>
              </w:rPr>
            </w:pPr>
            <w:r>
              <w:rPr>
                <w:rFonts w:hint="eastAsia" w:ascii="Times New Roman" w:hAnsi="Times New Roman" w:cs="Times New Roman"/>
                <w:color w:val="auto"/>
                <w:sz w:val="24"/>
                <w:highlight w:val="none"/>
                <w:lang w:val="en-US" w:eastAsia="zh-CN"/>
              </w:rPr>
              <w:t>5000</w:t>
            </w:r>
          </w:p>
        </w:tc>
      </w:tr>
      <w:tr w14:paraId="3F1314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vAlign w:val="center"/>
          </w:tcPr>
          <w:p w14:paraId="5795466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专项评价设置情况</w:t>
            </w:r>
          </w:p>
        </w:tc>
        <w:tc>
          <w:tcPr>
            <w:tcW w:w="7612" w:type="dxa"/>
            <w:gridSpan w:val="3"/>
            <w:noWrap w:val="0"/>
            <w:vAlign w:val="center"/>
          </w:tcPr>
          <w:p w14:paraId="269B9C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表1-1  专项评价设置情况判定表</w:t>
            </w:r>
          </w:p>
          <w:tbl>
            <w:tblPr>
              <w:tblStyle w:val="32"/>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67"/>
              <w:gridCol w:w="3183"/>
              <w:gridCol w:w="2198"/>
              <w:gridCol w:w="821"/>
            </w:tblGrid>
            <w:tr w14:paraId="626693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267" w:type="dxa"/>
                  <w:tcBorders>
                    <w:tl2br w:val="nil"/>
                    <w:tr2bl w:val="nil"/>
                  </w:tcBorders>
                  <w:noWrap w:val="0"/>
                  <w:vAlign w:val="center"/>
                </w:tcPr>
                <w:p w14:paraId="7AF93A69">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专项评价的类别</w:t>
                  </w:r>
                </w:p>
              </w:tc>
              <w:tc>
                <w:tcPr>
                  <w:tcW w:w="3183" w:type="dxa"/>
                  <w:tcBorders>
                    <w:tl2br w:val="nil"/>
                    <w:tr2bl w:val="nil"/>
                  </w:tcBorders>
                  <w:noWrap w:val="0"/>
                  <w:vAlign w:val="center"/>
                </w:tcPr>
                <w:p w14:paraId="1FB6E4BC">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设置原则</w:t>
                  </w:r>
                </w:p>
              </w:tc>
              <w:tc>
                <w:tcPr>
                  <w:tcW w:w="2198" w:type="dxa"/>
                  <w:tcBorders>
                    <w:tl2br w:val="nil"/>
                    <w:tr2bl w:val="nil"/>
                  </w:tcBorders>
                  <w:noWrap w:val="0"/>
                  <w:vAlign w:val="center"/>
                </w:tcPr>
                <w:p w14:paraId="56A1289E">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项目情况</w:t>
                  </w:r>
                </w:p>
              </w:tc>
              <w:tc>
                <w:tcPr>
                  <w:tcW w:w="821" w:type="dxa"/>
                  <w:tcBorders>
                    <w:tl2br w:val="nil"/>
                    <w:tr2bl w:val="nil"/>
                  </w:tcBorders>
                  <w:noWrap w:val="0"/>
                  <w:vAlign w:val="center"/>
                </w:tcPr>
                <w:p w14:paraId="5AF670FF">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是否设置</w:t>
                  </w:r>
                </w:p>
              </w:tc>
            </w:tr>
            <w:tr w14:paraId="4E9746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267" w:type="dxa"/>
                  <w:tcBorders>
                    <w:tl2br w:val="nil"/>
                    <w:tr2bl w:val="nil"/>
                  </w:tcBorders>
                  <w:noWrap w:val="0"/>
                  <w:vAlign w:val="center"/>
                </w:tcPr>
                <w:p w14:paraId="12A51836">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大气</w:t>
                  </w:r>
                </w:p>
              </w:tc>
              <w:tc>
                <w:tcPr>
                  <w:tcW w:w="3183" w:type="dxa"/>
                  <w:tcBorders>
                    <w:tl2br w:val="nil"/>
                    <w:tr2bl w:val="nil"/>
                  </w:tcBorders>
                  <w:noWrap w:val="0"/>
                  <w:vAlign w:val="center"/>
                </w:tcPr>
                <w:p w14:paraId="293A3FBB">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排放废气含有毒有害污染物、二噁英、苯并[a]芘、氰化物、</w:t>
                  </w:r>
                  <w:r>
                    <w:rPr>
                      <w:rFonts w:hint="default" w:ascii="Times New Roman" w:hAnsi="Times New Roman" w:cs="Times New Roman"/>
                      <w:bCs/>
                      <w:color w:val="auto"/>
                      <w:szCs w:val="21"/>
                      <w:highlight w:val="none"/>
                      <w:lang w:val="en-US" w:eastAsia="zh-CN"/>
                    </w:rPr>
                    <w:t>氯气</w:t>
                  </w:r>
                  <w:r>
                    <w:rPr>
                      <w:rFonts w:hint="default" w:ascii="Times New Roman" w:hAnsi="Times New Roman" w:cs="Times New Roman"/>
                      <w:bCs/>
                      <w:color w:val="auto"/>
                      <w:szCs w:val="21"/>
                      <w:highlight w:val="none"/>
                    </w:rPr>
                    <w:t>且厂界外500米范围内有环境空气保护目标的建设项目</w:t>
                  </w:r>
                </w:p>
              </w:tc>
              <w:tc>
                <w:tcPr>
                  <w:tcW w:w="2198" w:type="dxa"/>
                  <w:tcBorders>
                    <w:tl2br w:val="nil"/>
                    <w:tr2bl w:val="nil"/>
                  </w:tcBorders>
                  <w:noWrap w:val="0"/>
                  <w:vAlign w:val="center"/>
                </w:tcPr>
                <w:p w14:paraId="0891E19F">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本项目不存在所提及情况</w:t>
                  </w:r>
                </w:p>
              </w:tc>
              <w:tc>
                <w:tcPr>
                  <w:tcW w:w="821" w:type="dxa"/>
                  <w:tcBorders>
                    <w:tl2br w:val="nil"/>
                    <w:tr2bl w:val="nil"/>
                  </w:tcBorders>
                  <w:noWrap w:val="0"/>
                  <w:vAlign w:val="center"/>
                </w:tcPr>
                <w:p w14:paraId="63C3DFE4">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rPr>
                    <w:t>否</w:t>
                  </w:r>
                </w:p>
              </w:tc>
            </w:tr>
            <w:tr w14:paraId="118F21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267" w:type="dxa"/>
                  <w:tcBorders>
                    <w:tl2br w:val="nil"/>
                    <w:tr2bl w:val="nil"/>
                  </w:tcBorders>
                  <w:noWrap w:val="0"/>
                  <w:vAlign w:val="center"/>
                </w:tcPr>
                <w:p w14:paraId="41F35FBE">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地表水</w:t>
                  </w:r>
                </w:p>
              </w:tc>
              <w:tc>
                <w:tcPr>
                  <w:tcW w:w="3183" w:type="dxa"/>
                  <w:tcBorders>
                    <w:tl2br w:val="nil"/>
                    <w:tr2bl w:val="nil"/>
                  </w:tcBorders>
                  <w:noWrap w:val="0"/>
                  <w:vAlign w:val="center"/>
                </w:tcPr>
                <w:p w14:paraId="1D850EDF">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新增工业废水直排建设项目（槽罐车外送污水处理厂的除外）；新增废水直排的污水集中处理厂</w:t>
                  </w:r>
                </w:p>
              </w:tc>
              <w:tc>
                <w:tcPr>
                  <w:tcW w:w="2198" w:type="dxa"/>
                  <w:tcBorders>
                    <w:tl2br w:val="nil"/>
                    <w:tr2bl w:val="nil"/>
                  </w:tcBorders>
                  <w:noWrap w:val="0"/>
                  <w:vAlign w:val="center"/>
                </w:tcPr>
                <w:p w14:paraId="0806B402">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本项目不存在所提及情况</w:t>
                  </w:r>
                </w:p>
              </w:tc>
              <w:tc>
                <w:tcPr>
                  <w:tcW w:w="821" w:type="dxa"/>
                  <w:tcBorders>
                    <w:tl2br w:val="nil"/>
                    <w:tr2bl w:val="nil"/>
                  </w:tcBorders>
                  <w:noWrap w:val="0"/>
                  <w:vAlign w:val="center"/>
                </w:tcPr>
                <w:p w14:paraId="6CB334C3">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否</w:t>
                  </w:r>
                </w:p>
              </w:tc>
            </w:tr>
            <w:tr w14:paraId="3AA3CC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267" w:type="dxa"/>
                  <w:tcBorders>
                    <w:tl2br w:val="nil"/>
                    <w:tr2bl w:val="nil"/>
                  </w:tcBorders>
                  <w:noWrap w:val="0"/>
                  <w:vAlign w:val="center"/>
                </w:tcPr>
                <w:p w14:paraId="367D87B0">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环境风险</w:t>
                  </w:r>
                </w:p>
              </w:tc>
              <w:tc>
                <w:tcPr>
                  <w:tcW w:w="3183" w:type="dxa"/>
                  <w:tcBorders>
                    <w:tl2br w:val="nil"/>
                    <w:tr2bl w:val="nil"/>
                  </w:tcBorders>
                  <w:noWrap w:val="0"/>
                  <w:vAlign w:val="center"/>
                </w:tcPr>
                <w:p w14:paraId="6A539138">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有毒有害和易燃易爆危险物质存储量超过临界量的建设项目</w:t>
                  </w:r>
                </w:p>
              </w:tc>
              <w:tc>
                <w:tcPr>
                  <w:tcW w:w="2198" w:type="dxa"/>
                  <w:tcBorders>
                    <w:tl2br w:val="nil"/>
                    <w:tr2bl w:val="nil"/>
                  </w:tcBorders>
                  <w:shd w:val="clear" w:color="auto" w:fill="auto"/>
                  <w:noWrap w:val="0"/>
                  <w:vAlign w:val="center"/>
                </w:tcPr>
                <w:p w14:paraId="464B315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highlight w:val="none"/>
                      <w:lang w:val="en-US" w:eastAsia="zh-CN" w:bidi="ar-SA"/>
                    </w:rPr>
                  </w:pPr>
                  <w:r>
                    <w:rPr>
                      <w:rFonts w:hint="eastAsia" w:ascii="Times New Roman" w:hAnsi="Times New Roman" w:cs="Times New Roman"/>
                      <w:color w:val="auto"/>
                      <w:sz w:val="21"/>
                      <w:szCs w:val="21"/>
                    </w:rPr>
                    <w:t>本项目所涉及的风险物质为</w:t>
                  </w:r>
                  <w:r>
                    <w:rPr>
                      <w:rFonts w:hint="eastAsia" w:ascii="Times New Roman" w:hAnsi="Times New Roman" w:cs="Times New Roman"/>
                      <w:color w:val="auto"/>
                      <w:sz w:val="21"/>
                      <w:szCs w:val="21"/>
                      <w:highlight w:val="none"/>
                      <w:lang w:val="en-US" w:eastAsia="zh-CN"/>
                    </w:rPr>
                    <w:t>盐酸、天然气（甲烷）</w:t>
                  </w:r>
                  <w:r>
                    <w:rPr>
                      <w:rFonts w:hint="eastAsia" w:ascii="Times New Roman" w:hAnsi="Times New Roman" w:cs="Times New Roman"/>
                      <w:color w:val="auto"/>
                      <w:sz w:val="21"/>
                      <w:szCs w:val="21"/>
                    </w:rPr>
                    <w:t>，Q值&gt;1，需要做环境风险专项评价</w:t>
                  </w:r>
                </w:p>
              </w:tc>
              <w:tc>
                <w:tcPr>
                  <w:tcW w:w="821" w:type="dxa"/>
                  <w:tcBorders>
                    <w:tl2br w:val="nil"/>
                    <w:tr2bl w:val="nil"/>
                  </w:tcBorders>
                  <w:shd w:val="clear" w:color="auto" w:fill="auto"/>
                  <w:noWrap w:val="0"/>
                  <w:vAlign w:val="center"/>
                </w:tcPr>
                <w:p w14:paraId="223121B4">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pacing w:val="-6"/>
                      <w:szCs w:val="21"/>
                      <w:highlight w:val="none"/>
                      <w:lang w:val="en-US" w:eastAsia="zh-CN"/>
                    </w:rPr>
                    <w:t>是</w:t>
                  </w:r>
                </w:p>
              </w:tc>
            </w:tr>
            <w:tr w14:paraId="5B08A7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267" w:type="dxa"/>
                  <w:tcBorders>
                    <w:tl2br w:val="nil"/>
                    <w:tr2bl w:val="nil"/>
                  </w:tcBorders>
                  <w:noWrap w:val="0"/>
                  <w:vAlign w:val="center"/>
                </w:tcPr>
                <w:p w14:paraId="3BE29267">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生态</w:t>
                  </w:r>
                </w:p>
              </w:tc>
              <w:tc>
                <w:tcPr>
                  <w:tcW w:w="3183" w:type="dxa"/>
                  <w:tcBorders>
                    <w:tl2br w:val="nil"/>
                    <w:tr2bl w:val="nil"/>
                  </w:tcBorders>
                  <w:noWrap w:val="0"/>
                  <w:vAlign w:val="center"/>
                </w:tcPr>
                <w:p w14:paraId="77CB5CEF">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取水口下游500米范围内有重要水生生物的自然产卵场、索饵场、越冬场和洄游通道的新增河道取水的污染类建设项目</w:t>
                  </w:r>
                </w:p>
              </w:tc>
              <w:tc>
                <w:tcPr>
                  <w:tcW w:w="2198" w:type="dxa"/>
                  <w:tcBorders>
                    <w:tl2br w:val="nil"/>
                    <w:tr2bl w:val="nil"/>
                  </w:tcBorders>
                  <w:noWrap w:val="0"/>
                  <w:vAlign w:val="center"/>
                </w:tcPr>
                <w:p w14:paraId="270FA3CE">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本项目不存在所提及情况</w:t>
                  </w:r>
                </w:p>
              </w:tc>
              <w:tc>
                <w:tcPr>
                  <w:tcW w:w="821" w:type="dxa"/>
                  <w:tcBorders>
                    <w:tl2br w:val="nil"/>
                    <w:tr2bl w:val="nil"/>
                  </w:tcBorders>
                  <w:noWrap w:val="0"/>
                  <w:vAlign w:val="center"/>
                </w:tcPr>
                <w:p w14:paraId="5B8E84B3">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否</w:t>
                  </w:r>
                </w:p>
              </w:tc>
            </w:tr>
            <w:tr w14:paraId="5A2EEE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267" w:type="dxa"/>
                  <w:tcBorders>
                    <w:tl2br w:val="nil"/>
                    <w:tr2bl w:val="nil"/>
                  </w:tcBorders>
                  <w:noWrap w:val="0"/>
                  <w:vAlign w:val="center"/>
                </w:tcPr>
                <w:p w14:paraId="2E5D6F60">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海洋</w:t>
                  </w:r>
                </w:p>
              </w:tc>
              <w:tc>
                <w:tcPr>
                  <w:tcW w:w="3183" w:type="dxa"/>
                  <w:tcBorders>
                    <w:tl2br w:val="nil"/>
                    <w:tr2bl w:val="nil"/>
                  </w:tcBorders>
                  <w:noWrap w:val="0"/>
                  <w:vAlign w:val="center"/>
                </w:tcPr>
                <w:p w14:paraId="17135C74">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直接向海排放污染物的海洋工程建设项目</w:t>
                  </w:r>
                </w:p>
              </w:tc>
              <w:tc>
                <w:tcPr>
                  <w:tcW w:w="2198" w:type="dxa"/>
                  <w:tcBorders>
                    <w:tl2br w:val="nil"/>
                    <w:tr2bl w:val="nil"/>
                  </w:tcBorders>
                  <w:noWrap w:val="0"/>
                  <w:vAlign w:val="center"/>
                </w:tcPr>
                <w:p w14:paraId="6FC7EA83">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本项目不向海洋排放污染物</w:t>
                  </w:r>
                </w:p>
              </w:tc>
              <w:tc>
                <w:tcPr>
                  <w:tcW w:w="821" w:type="dxa"/>
                  <w:tcBorders>
                    <w:tl2br w:val="nil"/>
                    <w:tr2bl w:val="nil"/>
                  </w:tcBorders>
                  <w:noWrap w:val="0"/>
                  <w:vAlign w:val="center"/>
                </w:tcPr>
                <w:p w14:paraId="55FD858F">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否</w:t>
                  </w:r>
                </w:p>
              </w:tc>
            </w:tr>
          </w:tbl>
          <w:p w14:paraId="6966F82F">
            <w:pPr>
              <w:keepNext w:val="0"/>
              <w:keepLines w:val="0"/>
              <w:suppressLineNumbers w:val="0"/>
              <w:autoSpaceDE w:val="0"/>
              <w:autoSpaceDN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注：1.废气中有毒有害污染物指纳入《有毒有害大气污染物名录》的污染物（不包括无排放标准的污染物）。</w:t>
            </w:r>
          </w:p>
          <w:p w14:paraId="50192EA2">
            <w:pPr>
              <w:keepNext w:val="0"/>
              <w:keepLines w:val="0"/>
              <w:suppressLineNumbers w:val="0"/>
              <w:autoSpaceDE w:val="0"/>
              <w:autoSpaceDN w:val="0"/>
              <w:adjustRightInd w:val="0"/>
              <w:snapToGrid w:val="0"/>
              <w:spacing w:before="0" w:beforeAutospacing="0" w:after="0" w:afterAutospacing="0"/>
              <w:ind w:left="0" w:right="0"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2.环境空气保护目标指自然保护区、风景名胜区、居住区、文化区和农村地区中人群较集中的区域。</w:t>
            </w:r>
          </w:p>
          <w:p w14:paraId="794D8004">
            <w:pPr>
              <w:keepNext w:val="0"/>
              <w:keepLines w:val="0"/>
              <w:suppressLineNumbers w:val="0"/>
              <w:autoSpaceDE w:val="0"/>
              <w:autoSpaceDN w:val="0"/>
              <w:adjustRightInd w:val="0"/>
              <w:snapToGrid w:val="0"/>
              <w:spacing w:before="0" w:beforeAutospacing="0" w:after="0" w:afterAutospacing="0"/>
              <w:ind w:left="0" w:right="0"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3.临界量及其计算方法可参考《建设项目环境风险评价技术导则》（HJ 169）附录B、附录C。</w:t>
            </w:r>
          </w:p>
          <w:p w14:paraId="311ED7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pacing w:val="0"/>
                <w:kern w:val="0"/>
                <w:sz w:val="24"/>
                <w:szCs w:val="24"/>
                <w:highlight w:val="none"/>
                <w:lang w:val="en-US" w:eastAsia="zh-CN" w:bidi="ar-SA"/>
              </w:rPr>
              <w:t>根据上表分析，本项目需设置</w:t>
            </w:r>
            <w:r>
              <w:rPr>
                <w:rFonts w:hint="eastAsia" w:ascii="Times New Roman" w:hAnsi="Times New Roman" w:eastAsia="宋体" w:cs="Times New Roman"/>
                <w:color w:val="auto"/>
                <w:spacing w:val="0"/>
                <w:kern w:val="0"/>
                <w:sz w:val="24"/>
                <w:szCs w:val="24"/>
                <w:highlight w:val="none"/>
                <w:lang w:val="en-US" w:eastAsia="zh-CN" w:bidi="ar-SA"/>
              </w:rPr>
              <w:t>风险</w:t>
            </w:r>
            <w:r>
              <w:rPr>
                <w:rFonts w:hint="default" w:ascii="Times New Roman" w:hAnsi="Times New Roman" w:eastAsia="宋体" w:cs="Times New Roman"/>
                <w:color w:val="auto"/>
                <w:spacing w:val="0"/>
                <w:kern w:val="0"/>
                <w:sz w:val="24"/>
                <w:szCs w:val="24"/>
                <w:highlight w:val="none"/>
                <w:lang w:val="en-US" w:eastAsia="zh-CN" w:bidi="ar-SA"/>
              </w:rPr>
              <w:t>专项评价</w:t>
            </w:r>
            <w:r>
              <w:rPr>
                <w:rFonts w:hint="eastAsia" w:ascii="Times New Roman" w:hAnsi="Times New Roman" w:eastAsia="宋体" w:cs="Times New Roman"/>
                <w:color w:val="auto"/>
                <w:spacing w:val="0"/>
                <w:kern w:val="0"/>
                <w:sz w:val="24"/>
                <w:szCs w:val="24"/>
                <w:highlight w:val="none"/>
                <w:lang w:val="en-US" w:eastAsia="zh-CN" w:bidi="ar-SA"/>
              </w:rPr>
              <w:t>，详见附件。</w:t>
            </w:r>
          </w:p>
        </w:tc>
      </w:tr>
      <w:tr w14:paraId="0C9C63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vAlign w:val="center"/>
          </w:tcPr>
          <w:p w14:paraId="185AFBD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7612" w:type="dxa"/>
            <w:gridSpan w:val="3"/>
            <w:noWrap w:val="0"/>
            <w:vAlign w:val="center"/>
          </w:tcPr>
          <w:p w14:paraId="550BEFC4">
            <w:pPr>
              <w:keepNext w:val="0"/>
              <w:keepLines w:val="0"/>
              <w:pageBreakBefore w:val="0"/>
              <w:widowControl w:val="0"/>
              <w:numPr>
                <w:ilvl w:val="0"/>
                <w:numId w:val="2"/>
              </w:numPr>
              <w:suppressLineNumbers w:val="0"/>
              <w:kinsoku/>
              <w:wordWrap/>
              <w:overflowPunct/>
              <w:topLinePunct w:val="0"/>
              <w:bidi w:val="0"/>
              <w:spacing w:before="0" w:beforeAutospacing="0" w:after="0" w:afterAutospacing="0" w:line="360" w:lineRule="auto"/>
              <w:ind w:left="0" w:right="0"/>
              <w:jc w:val="left"/>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规划名称：《淄川区双杨镇工业集聚区总体规划（2021-2035）》</w:t>
            </w:r>
          </w:p>
          <w:p w14:paraId="4B0F32E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rPr>
              <w:t>规划时间：2021年11月22日</w:t>
            </w:r>
          </w:p>
          <w:p w14:paraId="50C791E8">
            <w:pPr>
              <w:keepNext w:val="0"/>
              <w:keepLines w:val="0"/>
              <w:pageBreakBefore w:val="0"/>
              <w:widowControl w:val="0"/>
              <w:numPr>
                <w:ilvl w:val="0"/>
                <w:numId w:val="0"/>
              </w:numPr>
              <w:suppressLineNumbers w:val="0"/>
              <w:kinsoku/>
              <w:wordWrap/>
              <w:overflowPunct/>
              <w:topLinePunct w:val="0"/>
              <w:bidi w:val="0"/>
              <w:spacing w:before="0" w:beforeAutospacing="0" w:after="0" w:afterAutospacing="0" w:line="360" w:lineRule="auto"/>
              <w:ind w:left="0" w:leftChars="0" w:right="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3、</w:t>
            </w:r>
            <w:r>
              <w:rPr>
                <w:rFonts w:hint="default" w:ascii="Times New Roman" w:hAnsi="Times New Roman" w:eastAsia="宋体" w:cs="Times New Roman"/>
                <w:color w:val="auto"/>
                <w:kern w:val="0"/>
                <w:sz w:val="24"/>
                <w:szCs w:val="24"/>
              </w:rPr>
              <w:t>批复文号：川工信发[2021]109号</w:t>
            </w:r>
          </w:p>
          <w:p w14:paraId="5DDBD7C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0"/>
                <w:sz w:val="24"/>
                <w:szCs w:val="24"/>
                <w:lang w:val="en-US" w:eastAsia="zh-CN"/>
              </w:rPr>
              <w:t>4、</w:t>
            </w:r>
            <w:r>
              <w:rPr>
                <w:rFonts w:hint="default" w:ascii="Times New Roman" w:hAnsi="Times New Roman" w:eastAsia="宋体" w:cs="Times New Roman"/>
                <w:color w:val="auto"/>
                <w:kern w:val="0"/>
                <w:sz w:val="24"/>
                <w:szCs w:val="24"/>
              </w:rPr>
              <w:t>审批机关：淄川区工业和信息化局</w:t>
            </w:r>
          </w:p>
        </w:tc>
      </w:tr>
      <w:tr w14:paraId="2C6A54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vAlign w:val="center"/>
          </w:tcPr>
          <w:p w14:paraId="4C82A3D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4922AA4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7612" w:type="dxa"/>
            <w:gridSpan w:val="3"/>
            <w:noWrap w:val="0"/>
            <w:vAlign w:val="center"/>
          </w:tcPr>
          <w:p w14:paraId="2FDB1407">
            <w:pPr>
              <w:keepNext w:val="0"/>
              <w:keepLines w:val="0"/>
              <w:numPr>
                <w:ilvl w:val="0"/>
                <w:numId w:val="0"/>
              </w:numPr>
              <w:suppressLineNumbers w:val="0"/>
              <w:spacing w:before="0" w:beforeAutospacing="0" w:after="0" w:afterAutospacing="0" w:line="360" w:lineRule="auto"/>
              <w:ind w:left="0" w:right="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1、规划环评名称：《淄川区双杨镇工业集聚区总体规划（2021-2035年）环境影响报告书》</w:t>
            </w:r>
          </w:p>
          <w:p w14:paraId="7CFEB43B">
            <w:pPr>
              <w:keepNext w:val="0"/>
              <w:keepLines w:val="0"/>
              <w:numPr>
                <w:ilvl w:val="0"/>
                <w:numId w:val="0"/>
              </w:numPr>
              <w:suppressLineNumbers w:val="0"/>
              <w:spacing w:before="0" w:beforeAutospacing="0" w:after="0" w:afterAutospacing="0" w:line="360" w:lineRule="auto"/>
              <w:ind w:left="0" w:right="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2、审查机关：淄博市生态环境局</w:t>
            </w:r>
          </w:p>
          <w:p w14:paraId="70FD0BE2">
            <w:pPr>
              <w:keepNext w:val="0"/>
              <w:keepLines w:val="0"/>
              <w:numPr>
                <w:ilvl w:val="0"/>
                <w:numId w:val="0"/>
              </w:numPr>
              <w:suppressLineNumbers w:val="0"/>
              <w:spacing w:before="0" w:beforeAutospacing="0" w:after="0" w:afterAutospacing="0" w:line="360" w:lineRule="auto"/>
              <w:ind w:left="0" w:leftChars="0" w:right="0" w:firstLine="0" w:firstLineChars="0"/>
              <w:jc w:val="left"/>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4"/>
                <w:lang w:val="en-US" w:eastAsia="zh-CN"/>
              </w:rPr>
              <w:t>3、审查文件名称及文号：《淄川区双杨镇工业集聚区总体规划（2021-2035年）环境影响报告书的审查意见》（淄环审[2023]30号）</w:t>
            </w:r>
          </w:p>
        </w:tc>
      </w:tr>
      <w:tr w14:paraId="41011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vAlign w:val="center"/>
          </w:tcPr>
          <w:p w14:paraId="325D782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规划及规划环境影响评价符合性分析</w:t>
            </w:r>
          </w:p>
        </w:tc>
        <w:tc>
          <w:tcPr>
            <w:tcW w:w="7612" w:type="dxa"/>
            <w:gridSpan w:val="3"/>
            <w:noWrap w:val="0"/>
            <w:vAlign w:val="top"/>
          </w:tcPr>
          <w:p w14:paraId="3822B4D2">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kern w:val="0"/>
                <w:sz w:val="24"/>
                <w:szCs w:val="24"/>
                <w:highlight w:val="none"/>
                <w:lang w:val="en-US" w:eastAsia="zh-CN" w:bidi="ar-SA"/>
              </w:rPr>
            </w:pPr>
            <w:r>
              <w:rPr>
                <w:rFonts w:hint="default" w:ascii="Times New Roman" w:hAnsi="Times New Roman" w:eastAsia="宋体" w:cs="Times New Roman"/>
                <w:color w:val="auto"/>
                <w:spacing w:val="0"/>
                <w:kern w:val="0"/>
                <w:sz w:val="24"/>
                <w:szCs w:val="24"/>
                <w:highlight w:val="none"/>
                <w:lang w:val="en-US" w:eastAsia="zh-CN" w:bidi="ar-SA"/>
              </w:rPr>
              <w:t>双杨镇工业集聚区的发展定位为：以新材料、新医药、装备制造为主导产业，以高新技术为发展方向，以循环经济为发展重点，以鲁维制药、凯盛新材料、华洋制药等骨干企业为产业载体，延伸产业链条、促进产业集聚，把双杨镇工业集聚区建设成为带动淄川、联系沿海、走向全国的现代化新型工业聚集区。重点发展新材料、新医药、装备制造等产业。</w:t>
            </w:r>
          </w:p>
          <w:p w14:paraId="31385B6D">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spacing w:val="0"/>
                <w:kern w:val="0"/>
                <w:sz w:val="24"/>
                <w:szCs w:val="24"/>
                <w:highlight w:val="none"/>
                <w:lang w:val="en-US" w:eastAsia="zh-CN" w:bidi="ar-SA"/>
              </w:rPr>
            </w:pPr>
            <w:r>
              <w:rPr>
                <w:rFonts w:hint="default" w:ascii="Times New Roman" w:hAnsi="Times New Roman" w:eastAsia="宋体" w:cs="Times New Roman"/>
                <w:color w:val="auto"/>
                <w:spacing w:val="0"/>
                <w:kern w:val="0"/>
                <w:sz w:val="24"/>
                <w:szCs w:val="24"/>
                <w:highlight w:val="none"/>
                <w:lang w:val="en-US" w:eastAsia="zh-CN" w:bidi="ar-SA"/>
              </w:rPr>
              <w:t>本项目位于</w:t>
            </w:r>
            <w:r>
              <w:rPr>
                <w:rFonts w:hint="eastAsia" w:eastAsia="宋体" w:cs="Times New Roman"/>
                <w:color w:val="auto"/>
                <w:sz w:val="24"/>
                <w:highlight w:val="none"/>
                <w:lang w:val="en-US" w:eastAsia="zh-CN"/>
              </w:rPr>
              <w:t>山东省淄博市淄川区双杨镇小庄村沿河路东部现有厂房</w:t>
            </w:r>
            <w:r>
              <w:rPr>
                <w:rFonts w:hint="default" w:ascii="Times New Roman" w:hAnsi="Times New Roman" w:eastAsia="宋体" w:cs="Times New Roman"/>
                <w:color w:val="auto"/>
                <w:sz w:val="24"/>
                <w:highlight w:val="none"/>
                <w:lang w:val="en-US" w:eastAsia="zh-CN"/>
              </w:rPr>
              <w:t>，厂区中心坐标为117度59分</w:t>
            </w:r>
            <w:r>
              <w:rPr>
                <w:rFonts w:hint="eastAsia" w:eastAsia="宋体" w:cs="Times New Roman"/>
                <w:color w:val="auto"/>
                <w:sz w:val="24"/>
                <w:highlight w:val="none"/>
                <w:lang w:val="en-US" w:eastAsia="zh-CN"/>
              </w:rPr>
              <w:t>7.773</w:t>
            </w:r>
            <w:r>
              <w:rPr>
                <w:rFonts w:hint="default" w:ascii="Times New Roman" w:hAnsi="Times New Roman" w:eastAsia="宋体" w:cs="Times New Roman"/>
                <w:color w:val="auto"/>
                <w:sz w:val="24"/>
                <w:highlight w:val="none"/>
                <w:lang w:val="en-US" w:eastAsia="zh-CN"/>
              </w:rPr>
              <w:t>秒，36度41分</w:t>
            </w:r>
            <w:r>
              <w:rPr>
                <w:rFonts w:hint="eastAsia" w:eastAsia="宋体" w:cs="Times New Roman"/>
                <w:color w:val="auto"/>
                <w:sz w:val="24"/>
                <w:highlight w:val="none"/>
                <w:lang w:val="en-US" w:eastAsia="zh-CN"/>
              </w:rPr>
              <w:t>48.323</w:t>
            </w:r>
            <w:r>
              <w:rPr>
                <w:rFonts w:hint="default" w:ascii="Times New Roman" w:hAnsi="Times New Roman" w:eastAsia="宋体" w:cs="Times New Roman"/>
                <w:color w:val="auto"/>
                <w:sz w:val="24"/>
                <w:highlight w:val="none"/>
                <w:lang w:val="en-US" w:eastAsia="zh-CN"/>
              </w:rPr>
              <w:t>秒，位于</w:t>
            </w:r>
            <w:r>
              <w:rPr>
                <w:rFonts w:hint="eastAsia" w:eastAsia="宋体" w:cs="Times New Roman"/>
                <w:color w:val="auto"/>
                <w:sz w:val="24"/>
                <w:highlight w:val="none"/>
                <w:lang w:val="en-US" w:eastAsia="zh-CN"/>
              </w:rPr>
              <w:t>双杨镇工业集聚区新材料区</w:t>
            </w:r>
            <w:r>
              <w:rPr>
                <w:rFonts w:hint="default" w:ascii="Times New Roman" w:hAnsi="Times New Roman" w:eastAsia="宋体" w:cs="Times New Roman"/>
                <w:color w:val="auto"/>
                <w:sz w:val="24"/>
                <w:highlight w:val="none"/>
                <w:lang w:val="en-US" w:eastAsia="zh-CN"/>
              </w:rPr>
              <w:t>。本项目属于</w:t>
            </w:r>
            <w:r>
              <w:rPr>
                <w:rFonts w:hint="eastAsia" w:eastAsia="宋体" w:cs="Times New Roman"/>
                <w:color w:val="auto"/>
                <w:sz w:val="24"/>
                <w:highlight w:val="none"/>
                <w:lang w:val="en-US" w:eastAsia="zh-CN"/>
              </w:rPr>
              <w:t>C3099其他非金属矿物制品制造</w:t>
            </w:r>
            <w:r>
              <w:rPr>
                <w:rFonts w:hint="default" w:ascii="Times New Roman" w:hAnsi="Times New Roman" w:eastAsia="宋体" w:cs="Times New Roman"/>
                <w:color w:val="auto"/>
                <w:sz w:val="24"/>
                <w:highlight w:val="none"/>
                <w:lang w:val="en-US" w:eastAsia="zh-CN"/>
              </w:rPr>
              <w:t>，不属于危险化学品制造企业，符合国家产业政策，不属于集聚区</w:t>
            </w:r>
            <w:r>
              <w:rPr>
                <w:rFonts w:hint="default" w:ascii="Times New Roman" w:hAnsi="Times New Roman" w:eastAsia="宋体" w:cs="Times New Roman"/>
                <w:color w:val="auto"/>
                <w:spacing w:val="0"/>
                <w:kern w:val="0"/>
                <w:sz w:val="24"/>
                <w:szCs w:val="24"/>
                <w:highlight w:val="none"/>
                <w:lang w:val="en-US" w:eastAsia="zh-CN" w:bidi="ar-SA"/>
              </w:rPr>
              <w:t>禁止进入的行业，</w:t>
            </w:r>
            <w:r>
              <w:rPr>
                <w:rFonts w:hint="default" w:ascii="Times New Roman" w:hAnsi="Times New Roman" w:cs="Times New Roman"/>
                <w:color w:val="auto"/>
                <w:kern w:val="0"/>
                <w:sz w:val="24"/>
                <w:szCs w:val="24"/>
                <w:highlight w:val="none"/>
                <w:lang w:eastAsia="zh-CN"/>
              </w:rPr>
              <w:t>符合</w:t>
            </w:r>
            <w:r>
              <w:rPr>
                <w:rFonts w:hint="default" w:ascii="Times New Roman" w:hAnsi="Times New Roman" w:cs="Times New Roman"/>
                <w:color w:val="auto"/>
                <w:kern w:val="0"/>
                <w:sz w:val="24"/>
                <w:szCs w:val="24"/>
              </w:rPr>
              <w:t>双杨镇工业集聚区</w:t>
            </w:r>
            <w:r>
              <w:rPr>
                <w:rFonts w:hint="default" w:ascii="Times New Roman" w:hAnsi="Times New Roman" w:cs="Times New Roman"/>
                <w:color w:val="auto"/>
                <w:kern w:val="0"/>
                <w:sz w:val="24"/>
                <w:szCs w:val="24"/>
                <w:lang w:val="en-US" w:eastAsia="zh-CN"/>
              </w:rPr>
              <w:t>发展定位</w:t>
            </w:r>
            <w:r>
              <w:rPr>
                <w:rFonts w:hint="default" w:ascii="Times New Roman" w:hAnsi="Times New Roman" w:eastAsia="宋体" w:cs="Times New Roman"/>
                <w:color w:val="auto"/>
                <w:spacing w:val="0"/>
                <w:kern w:val="0"/>
                <w:sz w:val="24"/>
                <w:szCs w:val="24"/>
                <w:highlight w:val="none"/>
                <w:lang w:val="en-US" w:eastAsia="zh-CN" w:bidi="ar-SA"/>
              </w:rPr>
              <w:t>。</w:t>
            </w:r>
            <w:r>
              <w:rPr>
                <w:rFonts w:hint="default"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lang w:val="en-US" w:eastAsia="zh-CN"/>
              </w:rPr>
              <w:t>《淄川区双杨镇工业集聚区总体规划（2021-2035）》</w:t>
            </w:r>
            <w:r>
              <w:rPr>
                <w:rFonts w:hint="default" w:ascii="Times New Roman" w:hAnsi="Times New Roman" w:eastAsia="宋体" w:cs="Times New Roman"/>
                <w:color w:val="auto"/>
                <w:sz w:val="24"/>
                <w:highlight w:val="none"/>
                <w:lang w:val="en-US" w:eastAsia="zh-CN"/>
              </w:rPr>
              <w:t>，该项目为工业用地</w:t>
            </w:r>
            <w:r>
              <w:rPr>
                <w:rFonts w:hint="default" w:ascii="Times New Roman" w:hAnsi="Times New Roman" w:eastAsia="宋体" w:cs="Times New Roman"/>
                <w:color w:val="auto"/>
                <w:spacing w:val="0"/>
                <w:kern w:val="0"/>
                <w:sz w:val="24"/>
                <w:szCs w:val="24"/>
                <w:highlight w:val="none"/>
                <w:lang w:val="en-US" w:eastAsia="zh-CN" w:bidi="ar-SA"/>
              </w:rPr>
              <w:t>。</w:t>
            </w:r>
          </w:p>
          <w:p w14:paraId="33B802D1">
            <w:pPr>
              <w:pStyle w:val="66"/>
              <w:keepNext w:val="0"/>
              <w:keepLines w:val="0"/>
              <w:pageBreakBefore w:val="0"/>
              <w:widowControl w:val="0"/>
              <w:suppressLineNumbers w:val="0"/>
              <w:kinsoku/>
              <w:wordWrap/>
              <w:overflowPunct/>
              <w:topLinePunct w:val="0"/>
              <w:bidi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本项目与</w:t>
            </w:r>
            <w:r>
              <w:rPr>
                <w:rFonts w:hint="default" w:ascii="Times New Roman" w:hAnsi="Times New Roman" w:eastAsia="宋体" w:cs="Times New Roman"/>
                <w:color w:val="auto"/>
                <w:spacing w:val="0"/>
                <w:kern w:val="0"/>
                <w:sz w:val="24"/>
                <w:szCs w:val="24"/>
                <w:highlight w:val="none"/>
                <w:lang w:val="en-US" w:eastAsia="zh-CN" w:bidi="ar-SA"/>
              </w:rPr>
              <w:t>双杨镇工业集聚区</w:t>
            </w:r>
            <w:r>
              <w:rPr>
                <w:rFonts w:hint="default" w:ascii="Times New Roman" w:hAnsi="Times New Roman" w:cs="Times New Roman"/>
                <w:color w:val="auto"/>
                <w:kern w:val="0"/>
                <w:sz w:val="24"/>
                <w:szCs w:val="24"/>
                <w:highlight w:val="none"/>
                <w:lang w:eastAsia="zh-CN"/>
              </w:rPr>
              <w:t>的位置关系见</w:t>
            </w:r>
            <w:r>
              <w:rPr>
                <w:rFonts w:hint="default" w:ascii="Times New Roman" w:hAnsi="Times New Roman" w:cs="Times New Roman"/>
                <w:color w:val="auto"/>
                <w:kern w:val="0"/>
                <w:sz w:val="24"/>
                <w:szCs w:val="24"/>
                <w:highlight w:val="none"/>
                <w:lang w:val="en-US" w:eastAsia="zh-CN"/>
              </w:rPr>
              <w:t>附图</w:t>
            </w:r>
            <w:r>
              <w:rPr>
                <w:rFonts w:hint="eastAsia" w:ascii="Times New Roman" w:hAnsi="Times New Roman" w:cs="Times New Roman"/>
                <w:color w:val="auto"/>
                <w:kern w:val="0"/>
                <w:sz w:val="24"/>
                <w:szCs w:val="24"/>
                <w:highlight w:val="none"/>
                <w:lang w:val="en-US" w:eastAsia="zh-CN"/>
              </w:rPr>
              <w:t>6</w:t>
            </w:r>
            <w:r>
              <w:rPr>
                <w:rFonts w:hint="default" w:ascii="Times New Roman" w:hAnsi="Times New Roman" w:cs="Times New Roman"/>
                <w:color w:val="auto"/>
                <w:kern w:val="0"/>
                <w:sz w:val="24"/>
                <w:szCs w:val="24"/>
                <w:highlight w:val="none"/>
                <w:lang w:eastAsia="zh-CN"/>
              </w:rPr>
              <w:t>。</w:t>
            </w:r>
          </w:p>
          <w:p w14:paraId="1913E450">
            <w:pPr>
              <w:pStyle w:val="66"/>
              <w:keepNext w:val="0"/>
              <w:keepLines w:val="0"/>
              <w:pageBreakBefore w:val="0"/>
              <w:widowControl w:val="0"/>
              <w:numPr>
                <w:ilvl w:val="0"/>
                <w:numId w:val="3"/>
              </w:numPr>
              <w:suppressLineNumbers w:val="0"/>
              <w:kinsoku/>
              <w:wordWrap/>
              <w:overflowPunct/>
              <w:topLinePunct w:val="0"/>
              <w:bidi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与规划环评审查意见符合性分析</w:t>
            </w:r>
          </w:p>
          <w:p w14:paraId="2B828F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表1-2 项目与园区规划环评审查意见的符合性</w:t>
            </w:r>
          </w:p>
          <w:tbl>
            <w:tblPr>
              <w:tblStyle w:val="33"/>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795"/>
              <w:gridCol w:w="2514"/>
              <w:gridCol w:w="1166"/>
            </w:tblGrid>
            <w:tr w14:paraId="6AEB9E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5864DACB">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b/>
                      <w:bCs/>
                      <w:color w:val="auto"/>
                      <w:sz w:val="21"/>
                      <w:szCs w:val="21"/>
                      <w:lang w:val="en-US" w:eastAsia="zh-CN" w:bidi="ar"/>
                    </w:rPr>
                  </w:pPr>
                  <w:r>
                    <w:rPr>
                      <w:rStyle w:val="93"/>
                      <w:rFonts w:hint="default" w:ascii="Times New Roman" w:hAnsi="Times New Roman" w:eastAsia="宋体" w:cs="Times New Roman"/>
                      <w:b/>
                      <w:bCs/>
                      <w:color w:val="auto"/>
                      <w:sz w:val="21"/>
                      <w:szCs w:val="21"/>
                      <w:lang w:val="en-US" w:eastAsia="zh-CN" w:bidi="ar"/>
                    </w:rPr>
                    <w:t>园区规划环评审查意见</w:t>
                  </w:r>
                </w:p>
              </w:tc>
              <w:tc>
                <w:tcPr>
                  <w:tcW w:w="2486" w:type="dxa"/>
                  <w:tcBorders>
                    <w:tl2br w:val="nil"/>
                    <w:tr2bl w:val="nil"/>
                  </w:tcBorders>
                  <w:noWrap w:val="0"/>
                  <w:vAlign w:val="center"/>
                </w:tcPr>
                <w:p w14:paraId="431A5F3B">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b/>
                      <w:bCs/>
                      <w:color w:val="auto"/>
                      <w:sz w:val="21"/>
                      <w:szCs w:val="21"/>
                      <w:lang w:val="en-US" w:eastAsia="zh-CN" w:bidi="ar"/>
                    </w:rPr>
                  </w:pPr>
                  <w:r>
                    <w:rPr>
                      <w:rStyle w:val="93"/>
                      <w:rFonts w:hint="default" w:ascii="Times New Roman" w:hAnsi="Times New Roman" w:eastAsia="宋体" w:cs="Times New Roman"/>
                      <w:b/>
                      <w:bCs/>
                      <w:color w:val="auto"/>
                      <w:sz w:val="21"/>
                      <w:szCs w:val="21"/>
                      <w:lang w:val="en-US" w:eastAsia="zh-CN" w:bidi="ar"/>
                    </w:rPr>
                    <w:t>本项目情况</w:t>
                  </w:r>
                </w:p>
              </w:tc>
              <w:tc>
                <w:tcPr>
                  <w:tcW w:w="1153" w:type="dxa"/>
                  <w:tcBorders>
                    <w:tl2br w:val="nil"/>
                    <w:tr2bl w:val="nil"/>
                  </w:tcBorders>
                  <w:noWrap w:val="0"/>
                  <w:vAlign w:val="center"/>
                </w:tcPr>
                <w:p w14:paraId="4C267032">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b/>
                      <w:bCs/>
                      <w:color w:val="auto"/>
                      <w:sz w:val="21"/>
                      <w:szCs w:val="21"/>
                      <w:lang w:val="en-US" w:eastAsia="zh-CN" w:bidi="ar"/>
                    </w:rPr>
                  </w:pPr>
                  <w:r>
                    <w:rPr>
                      <w:rStyle w:val="93"/>
                      <w:rFonts w:hint="default" w:ascii="Times New Roman" w:hAnsi="Times New Roman" w:eastAsia="宋体" w:cs="Times New Roman"/>
                      <w:b/>
                      <w:bCs/>
                      <w:color w:val="auto"/>
                      <w:sz w:val="21"/>
                      <w:szCs w:val="21"/>
                      <w:lang w:val="en-US" w:eastAsia="zh-CN" w:bidi="ar"/>
                    </w:rPr>
                    <w:t>符合性</w:t>
                  </w:r>
                </w:p>
              </w:tc>
            </w:tr>
            <w:tr w14:paraId="68C5DE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28E49DB9">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规划范围：规划面积988.68公顷，四至范围为东至凤凰路、双罗路至双杨镇边界，西至张博铁路，南至胶王路，北至省道102。</w:t>
                  </w:r>
                </w:p>
              </w:tc>
              <w:tc>
                <w:tcPr>
                  <w:tcW w:w="2486" w:type="dxa"/>
                  <w:tcBorders>
                    <w:tl2br w:val="nil"/>
                    <w:tr2bl w:val="nil"/>
                  </w:tcBorders>
                  <w:noWrap w:val="0"/>
                  <w:vAlign w:val="center"/>
                </w:tcPr>
                <w:p w14:paraId="103AD362">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本项目位于</w:t>
                  </w:r>
                  <w:r>
                    <w:rPr>
                      <w:rStyle w:val="93"/>
                      <w:rFonts w:hint="eastAsia" w:ascii="Times New Roman" w:hAnsi="Times New Roman" w:eastAsia="宋体" w:cs="Times New Roman"/>
                      <w:color w:val="auto"/>
                      <w:sz w:val="21"/>
                      <w:szCs w:val="21"/>
                      <w:lang w:val="en-US" w:eastAsia="zh-CN" w:bidi="ar"/>
                    </w:rPr>
                    <w:t>山东省淄博市淄川区双杨镇小庄村沿河路东部现有厂房</w:t>
                  </w:r>
                </w:p>
              </w:tc>
              <w:tc>
                <w:tcPr>
                  <w:tcW w:w="1153" w:type="dxa"/>
                  <w:tcBorders>
                    <w:tl2br w:val="nil"/>
                    <w:tr2bl w:val="nil"/>
                  </w:tcBorders>
                  <w:noWrap w:val="0"/>
                  <w:vAlign w:val="center"/>
                </w:tcPr>
                <w:p w14:paraId="04C92171">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6B0C052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267AA483">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pacing w:val="-6"/>
                      <w:sz w:val="21"/>
                      <w:szCs w:val="21"/>
                      <w:lang w:val="en-US" w:eastAsia="zh-CN" w:bidi="ar"/>
                    </w:rPr>
                  </w:pPr>
                  <w:r>
                    <w:rPr>
                      <w:rStyle w:val="93"/>
                      <w:rFonts w:hint="default" w:ascii="Times New Roman" w:hAnsi="Times New Roman" w:eastAsia="宋体" w:cs="Times New Roman"/>
                      <w:color w:val="auto"/>
                      <w:spacing w:val="-6"/>
                      <w:sz w:val="21"/>
                      <w:szCs w:val="21"/>
                      <w:lang w:val="en-US" w:eastAsia="zh-CN" w:bidi="ar"/>
                    </w:rPr>
                    <w:t>双杨镇工业集聚区的发展定位为:以新材料、新医药、装备制造为主导产业，以高新技术为发展方向，以循环经济为发展重点，以鲁维制药、凯盛新材料、华洋制药等骨干企业为产业载体，延伸产业链条、促进产业集聚，把双杨镇工业集聚区建设成为带动淄川、联系沿海、走向全国的现代化新型工业聚集区。重点发展新材料、新医药、装备制造等产业。</w:t>
                  </w:r>
                </w:p>
              </w:tc>
              <w:tc>
                <w:tcPr>
                  <w:tcW w:w="2486" w:type="dxa"/>
                  <w:tcBorders>
                    <w:tl2br w:val="nil"/>
                    <w:tr2bl w:val="nil"/>
                  </w:tcBorders>
                  <w:noWrap w:val="0"/>
                  <w:vAlign w:val="center"/>
                </w:tcPr>
                <w:p w14:paraId="686CD1D9">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项目属于</w:t>
                  </w:r>
                  <w:r>
                    <w:rPr>
                      <w:rStyle w:val="93"/>
                      <w:rFonts w:hint="eastAsia" w:ascii="Times New Roman" w:hAnsi="Times New Roman" w:eastAsia="宋体" w:cs="Times New Roman"/>
                      <w:color w:val="auto"/>
                      <w:sz w:val="21"/>
                      <w:szCs w:val="21"/>
                      <w:lang w:val="en-US" w:eastAsia="zh-CN" w:bidi="ar"/>
                    </w:rPr>
                    <w:t>C3099其他非金属矿物制品制造</w:t>
                  </w:r>
                  <w:r>
                    <w:rPr>
                      <w:rStyle w:val="93"/>
                      <w:rFonts w:hint="default" w:ascii="Times New Roman" w:hAnsi="Times New Roman" w:eastAsia="宋体" w:cs="Times New Roman"/>
                      <w:color w:val="auto"/>
                      <w:sz w:val="21"/>
                      <w:szCs w:val="21"/>
                      <w:lang w:val="en-US" w:eastAsia="zh-CN" w:bidi="ar"/>
                    </w:rPr>
                    <w:t>，不属于危险化学品制造企业，不属于园区禁入行业</w:t>
                  </w:r>
                </w:p>
              </w:tc>
              <w:tc>
                <w:tcPr>
                  <w:tcW w:w="1153" w:type="dxa"/>
                  <w:tcBorders>
                    <w:tl2br w:val="nil"/>
                    <w:tr2bl w:val="nil"/>
                  </w:tcBorders>
                  <w:noWrap w:val="0"/>
                  <w:vAlign w:val="center"/>
                </w:tcPr>
                <w:p w14:paraId="4BA7993D">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7FE977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68CA3F0E">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集聚区规划和建设应符合法定上位规划。《规划》应根据淄川区“三区三线”划定成果进行相应调整，做好与“三区三线”划定成果的衔接和落实，不得占用永久基本农田，城镇建设用地应布置在城镇开发边界之内。</w:t>
                  </w:r>
                </w:p>
              </w:tc>
              <w:tc>
                <w:tcPr>
                  <w:tcW w:w="2486" w:type="dxa"/>
                  <w:tcBorders>
                    <w:tl2br w:val="nil"/>
                    <w:tr2bl w:val="nil"/>
                  </w:tcBorders>
                  <w:noWrap w:val="0"/>
                  <w:vAlign w:val="center"/>
                </w:tcPr>
                <w:p w14:paraId="1F9BA08F">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本项目用地为工业用地，位于城镇开发边界之内，不占用永久基本农田、生态保护红线</w:t>
                  </w:r>
                </w:p>
              </w:tc>
              <w:tc>
                <w:tcPr>
                  <w:tcW w:w="1153" w:type="dxa"/>
                  <w:tcBorders>
                    <w:tl2br w:val="nil"/>
                    <w:tr2bl w:val="nil"/>
                  </w:tcBorders>
                  <w:noWrap w:val="0"/>
                  <w:vAlign w:val="center"/>
                </w:tcPr>
                <w:p w14:paraId="0F6F52DD">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3790D6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64DF05B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加强集聚区空间管控，严格落实“三线一单”生态环境分区管控要求。按照《报告书》提出的环境准入要求筛选入区项</w:t>
                  </w:r>
                </w:p>
                <w:p w14:paraId="38C9AB9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目。严格控制“两高”项目入区，确需建设的应按照省有关文件落实相关要求。化工投资项目应按照《山东省化工投资项目管理规定》有关要求实施。</w:t>
                  </w:r>
                </w:p>
              </w:tc>
              <w:tc>
                <w:tcPr>
                  <w:tcW w:w="2486" w:type="dxa"/>
                  <w:tcBorders>
                    <w:tl2br w:val="nil"/>
                    <w:tr2bl w:val="nil"/>
                  </w:tcBorders>
                  <w:noWrap w:val="0"/>
                  <w:vAlign w:val="center"/>
                </w:tcPr>
                <w:p w14:paraId="107FBC36">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本项目严格落实“三线一单”生态环境分区管控要求，不属于“两高”项目、化工投资项目</w:t>
                  </w:r>
                </w:p>
              </w:tc>
              <w:tc>
                <w:tcPr>
                  <w:tcW w:w="1153" w:type="dxa"/>
                  <w:tcBorders>
                    <w:tl2br w:val="nil"/>
                    <w:tr2bl w:val="nil"/>
                  </w:tcBorders>
                  <w:noWrap w:val="0"/>
                  <w:vAlign w:val="center"/>
                </w:tcPr>
                <w:p w14:paraId="68F4E95E">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1BA8B5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755961DF">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完善基础设施规划，落实中水回用要求，鼓励企业在条件允许的情况下优先使用中水。优化集聚区集中供热规划，协调地方政府加快区域集中供热热源点的建设，在具备集中供热条</w:t>
                  </w:r>
                </w:p>
                <w:p w14:paraId="392DEFB5">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件前，严格控制供热需求大的项目入区。</w:t>
                  </w:r>
                </w:p>
              </w:tc>
              <w:tc>
                <w:tcPr>
                  <w:tcW w:w="2486" w:type="dxa"/>
                  <w:tcBorders>
                    <w:tl2br w:val="nil"/>
                    <w:tr2bl w:val="nil"/>
                  </w:tcBorders>
                  <w:noWrap w:val="0"/>
                  <w:vAlign w:val="center"/>
                </w:tcPr>
                <w:p w14:paraId="421BA98D">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w:t>
                  </w:r>
                  <w:r>
                    <w:rPr>
                      <w:rStyle w:val="93"/>
                      <w:rFonts w:hint="eastAsia" w:ascii="Times New Roman" w:hAnsi="Times New Roman" w:eastAsia="宋体" w:cs="Times New Roman"/>
                      <w:color w:val="auto"/>
                      <w:sz w:val="21"/>
                      <w:szCs w:val="21"/>
                      <w:lang w:val="en-US" w:eastAsia="zh-CN" w:bidi="ar"/>
                    </w:rPr>
                    <w:t>生产用水直接外购软水；二次搅拌通过电加热</w:t>
                  </w:r>
                  <w:r>
                    <w:rPr>
                      <w:rFonts w:hint="eastAsia" w:ascii="Times New Roman" w:hAnsi="Times New Roman" w:cs="Times New Roman"/>
                      <w:lang w:val="en-US" w:eastAsia="zh-CN"/>
                    </w:rPr>
                    <w:t>水产生的蒸汽</w:t>
                  </w:r>
                  <w:r>
                    <w:rPr>
                      <w:rStyle w:val="93"/>
                      <w:rFonts w:hint="eastAsia" w:ascii="Times New Roman" w:hAnsi="Times New Roman" w:eastAsia="宋体" w:cs="Times New Roman"/>
                      <w:color w:val="auto"/>
                      <w:sz w:val="21"/>
                      <w:szCs w:val="21"/>
                      <w:lang w:val="en-US" w:eastAsia="zh-CN" w:bidi="ar"/>
                    </w:rPr>
                    <w:t>供热；烘干工序通过天然气燃烧供热</w:t>
                  </w:r>
                </w:p>
              </w:tc>
              <w:tc>
                <w:tcPr>
                  <w:tcW w:w="1153" w:type="dxa"/>
                  <w:tcBorders>
                    <w:tl2br w:val="nil"/>
                    <w:tr2bl w:val="nil"/>
                  </w:tcBorders>
                  <w:noWrap w:val="0"/>
                  <w:vAlign w:val="center"/>
                </w:tcPr>
                <w:p w14:paraId="18EFB390">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29052D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04150D66">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结合环境质量改善目标、污染防治方案、减排任务等，制定集聚区污染物减排方案并认真落实。对涉及新增污染物排放的入区项目，依法依规落实污染物替代要求。严格执行VOCs相关排放标准和产品标准，强化涉VOCs排放企业管理，建立完善全过程控制体系。</w:t>
                  </w:r>
                </w:p>
              </w:tc>
              <w:tc>
                <w:tcPr>
                  <w:tcW w:w="2486" w:type="dxa"/>
                  <w:tcBorders>
                    <w:tl2br w:val="nil"/>
                    <w:tr2bl w:val="nil"/>
                  </w:tcBorders>
                  <w:noWrap w:val="0"/>
                  <w:vAlign w:val="center"/>
                </w:tcPr>
                <w:p w14:paraId="1DC33628">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w:t>
                  </w:r>
                  <w:r>
                    <w:rPr>
                      <w:rStyle w:val="93"/>
                      <w:rFonts w:hint="eastAsia" w:ascii="Times New Roman" w:hAnsi="Times New Roman" w:eastAsia="宋体" w:cs="Times New Roman"/>
                      <w:color w:val="auto"/>
                      <w:sz w:val="21"/>
                      <w:szCs w:val="21"/>
                      <w:lang w:val="en-US" w:eastAsia="zh-CN" w:bidi="ar"/>
                    </w:rPr>
                    <w:t>不涉及</w:t>
                  </w:r>
                  <w:r>
                    <w:rPr>
                      <w:rStyle w:val="93"/>
                      <w:rFonts w:hint="default" w:ascii="Times New Roman" w:hAnsi="Times New Roman" w:eastAsia="宋体" w:cs="Times New Roman"/>
                      <w:color w:val="auto"/>
                      <w:sz w:val="21"/>
                      <w:szCs w:val="21"/>
                      <w:lang w:val="en-US" w:eastAsia="zh-CN" w:bidi="ar"/>
                    </w:rPr>
                    <w:t>VOCs</w:t>
                  </w:r>
                </w:p>
              </w:tc>
              <w:tc>
                <w:tcPr>
                  <w:tcW w:w="1153" w:type="dxa"/>
                  <w:tcBorders>
                    <w:tl2br w:val="nil"/>
                    <w:tr2bl w:val="nil"/>
                  </w:tcBorders>
                  <w:noWrap w:val="0"/>
                  <w:vAlign w:val="center"/>
                </w:tcPr>
                <w:p w14:paraId="24C7864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2E10B1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78C6ECE7">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健全集聚区环境风险防控体系，制定完备有效的突发环境事件应急预案和应急疏散方案。做好企业-政府应急联防联</w:t>
                  </w:r>
                </w:p>
                <w:p w14:paraId="3D03708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控工作，提升区域环境风险防范能力，有效防控区域环境风险。</w:t>
                  </w:r>
                </w:p>
              </w:tc>
              <w:tc>
                <w:tcPr>
                  <w:tcW w:w="2486" w:type="dxa"/>
                  <w:tcBorders>
                    <w:tl2br w:val="nil"/>
                    <w:tr2bl w:val="nil"/>
                  </w:tcBorders>
                  <w:noWrap w:val="0"/>
                  <w:vAlign w:val="center"/>
                </w:tcPr>
                <w:p w14:paraId="212945F0">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本项目按要求制定环境应急预案</w:t>
                  </w:r>
                </w:p>
              </w:tc>
              <w:tc>
                <w:tcPr>
                  <w:tcW w:w="1153" w:type="dxa"/>
                  <w:tcBorders>
                    <w:tl2br w:val="nil"/>
                    <w:tr2bl w:val="nil"/>
                  </w:tcBorders>
                  <w:noWrap w:val="0"/>
                  <w:vAlign w:val="center"/>
                </w:tcPr>
                <w:p w14:paraId="22AEF0AF">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r w14:paraId="28D73A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756" w:type="dxa"/>
                  <w:tcBorders>
                    <w:tl2br w:val="nil"/>
                    <w:tr2bl w:val="nil"/>
                  </w:tcBorders>
                  <w:noWrap w:val="0"/>
                  <w:vAlign w:val="center"/>
                </w:tcPr>
                <w:p w14:paraId="3E0BCB1E">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推动减污降碳协同共治，引导企业不断改进高耗能工艺，持续降低碳排放强度。积极提升集聚区循环化水平，推动公共设施共建共享、能源梯级利用、资源循环利用和污染物集中安全处置等，大力推进清洁生产。</w:t>
                  </w:r>
                </w:p>
              </w:tc>
              <w:tc>
                <w:tcPr>
                  <w:tcW w:w="2486" w:type="dxa"/>
                  <w:tcBorders>
                    <w:tl2br w:val="nil"/>
                    <w:tr2bl w:val="nil"/>
                  </w:tcBorders>
                  <w:noWrap w:val="0"/>
                  <w:vAlign w:val="center"/>
                </w:tcPr>
                <w:p w14:paraId="1AAED583">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本项目不涉及高耗能工艺</w:t>
                  </w:r>
                </w:p>
              </w:tc>
              <w:tc>
                <w:tcPr>
                  <w:tcW w:w="1153" w:type="dxa"/>
                  <w:tcBorders>
                    <w:tl2br w:val="nil"/>
                    <w:tr2bl w:val="nil"/>
                  </w:tcBorders>
                  <w:noWrap w:val="0"/>
                  <w:vAlign w:val="center"/>
                </w:tcPr>
                <w:p w14:paraId="61A13917">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lang w:val="en-US" w:eastAsia="zh-CN" w:bidi="ar"/>
                    </w:rPr>
                  </w:pPr>
                  <w:r>
                    <w:rPr>
                      <w:rStyle w:val="93"/>
                      <w:rFonts w:hint="default" w:ascii="Times New Roman" w:hAnsi="Times New Roman" w:eastAsia="宋体" w:cs="Times New Roman"/>
                      <w:color w:val="auto"/>
                      <w:sz w:val="21"/>
                      <w:szCs w:val="21"/>
                      <w:lang w:val="en-US" w:eastAsia="zh-CN" w:bidi="ar"/>
                    </w:rPr>
                    <w:t>符合</w:t>
                  </w:r>
                </w:p>
              </w:tc>
            </w:tr>
          </w:tbl>
          <w:p w14:paraId="6EDB2DF5">
            <w:pPr>
              <w:pStyle w:val="66"/>
              <w:keepNext w:val="0"/>
              <w:keepLines w:val="0"/>
              <w:pageBreakBefore w:val="0"/>
              <w:widowControl w:val="0"/>
              <w:suppressLineNumbers w:val="0"/>
              <w:kinsoku/>
              <w:wordWrap/>
              <w:overflowPunct/>
              <w:topLinePunct w:val="0"/>
              <w:bidi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2、与园区准入条件符合性分析</w:t>
            </w:r>
          </w:p>
          <w:p w14:paraId="5F22BC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表1-3 双杨镇工业集聚区行业准入清单</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 w:type="dxa"/>
                <w:bottom w:w="0" w:type="dxa"/>
                <w:right w:w="10" w:type="dxa"/>
              </w:tblCellMar>
            </w:tblPr>
            <w:tblGrid>
              <w:gridCol w:w="1107"/>
              <w:gridCol w:w="1724"/>
              <w:gridCol w:w="3441"/>
              <w:gridCol w:w="1203"/>
            </w:tblGrid>
            <w:tr w14:paraId="3AF2B9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tcBorders>
                    <w:tl2br w:val="nil"/>
                    <w:tr2bl w:val="nil"/>
                  </w:tcBorders>
                  <w:noWrap w:val="0"/>
                  <w:vAlign w:val="center"/>
                </w:tcPr>
                <w:p w14:paraId="0D360F59">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b/>
                      <w:bCs/>
                      <w:color w:val="auto"/>
                      <w:sz w:val="21"/>
                      <w:szCs w:val="21"/>
                      <w:shd w:val="clear" w:color="auto" w:fill="auto"/>
                      <w:lang w:val="en-US" w:eastAsia="zh-CN" w:bidi="ar"/>
                    </w:rPr>
                  </w:pPr>
                  <w:r>
                    <w:rPr>
                      <w:rStyle w:val="93"/>
                      <w:rFonts w:hint="default" w:ascii="Times New Roman" w:hAnsi="Times New Roman" w:eastAsia="宋体" w:cs="Times New Roman"/>
                      <w:b/>
                      <w:bCs/>
                      <w:color w:val="auto"/>
                      <w:sz w:val="21"/>
                      <w:szCs w:val="21"/>
                      <w:shd w:val="clear" w:color="auto" w:fill="auto"/>
                      <w:lang w:val="en-US" w:eastAsia="zh-CN" w:bidi="ar"/>
                    </w:rPr>
                    <w:t>产业定位</w:t>
                  </w:r>
                </w:p>
              </w:tc>
              <w:tc>
                <w:tcPr>
                  <w:tcW w:w="5102" w:type="dxa"/>
                  <w:gridSpan w:val="2"/>
                  <w:tcBorders>
                    <w:tl2br w:val="nil"/>
                    <w:tr2bl w:val="nil"/>
                  </w:tcBorders>
                  <w:noWrap w:val="0"/>
                  <w:vAlign w:val="center"/>
                </w:tcPr>
                <w:p w14:paraId="7507D190">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b/>
                      <w:bCs/>
                      <w:color w:val="auto"/>
                      <w:sz w:val="21"/>
                      <w:szCs w:val="21"/>
                      <w:shd w:val="clear" w:color="auto" w:fill="auto"/>
                      <w:lang w:val="en-US" w:eastAsia="zh-CN" w:bidi="ar"/>
                    </w:rPr>
                  </w:pPr>
                  <w:r>
                    <w:rPr>
                      <w:rStyle w:val="93"/>
                      <w:rFonts w:hint="default" w:ascii="Times New Roman" w:hAnsi="Times New Roman" w:eastAsia="宋体" w:cs="Times New Roman"/>
                      <w:b/>
                      <w:bCs/>
                      <w:color w:val="auto"/>
                      <w:sz w:val="21"/>
                      <w:szCs w:val="21"/>
                      <w:shd w:val="clear" w:color="auto" w:fill="auto"/>
                      <w:lang w:val="en-US" w:eastAsia="zh-CN" w:bidi="ar"/>
                    </w:rPr>
                    <w:t>准入行业</w:t>
                  </w:r>
                </w:p>
              </w:tc>
              <w:tc>
                <w:tcPr>
                  <w:tcW w:w="1188" w:type="dxa"/>
                  <w:tcBorders>
                    <w:tl2br w:val="nil"/>
                    <w:tr2bl w:val="nil"/>
                  </w:tcBorders>
                  <w:noWrap w:val="0"/>
                  <w:vAlign w:val="center"/>
                </w:tcPr>
                <w:p w14:paraId="3746F285">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b/>
                      <w:bCs/>
                      <w:color w:val="auto"/>
                      <w:sz w:val="21"/>
                      <w:szCs w:val="21"/>
                      <w:shd w:val="clear" w:color="auto" w:fill="auto"/>
                      <w:lang w:val="en-US" w:eastAsia="zh-CN" w:bidi="ar"/>
                    </w:rPr>
                  </w:pPr>
                  <w:r>
                    <w:rPr>
                      <w:rStyle w:val="93"/>
                      <w:rFonts w:hint="default" w:ascii="Times New Roman" w:hAnsi="Times New Roman" w:eastAsia="宋体" w:cs="Times New Roman"/>
                      <w:b/>
                      <w:bCs/>
                      <w:color w:val="auto"/>
                      <w:sz w:val="21"/>
                      <w:szCs w:val="21"/>
                      <w:shd w:val="clear" w:color="auto" w:fill="auto"/>
                      <w:lang w:val="en-US" w:eastAsia="zh-CN" w:bidi="ar"/>
                    </w:rPr>
                    <w:t>准入程度</w:t>
                  </w:r>
                </w:p>
              </w:tc>
            </w:tr>
            <w:tr w14:paraId="45407F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restart"/>
                  <w:tcBorders>
                    <w:tl2br w:val="nil"/>
                    <w:tr2bl w:val="nil"/>
                  </w:tcBorders>
                  <w:noWrap w:val="0"/>
                  <w:vAlign w:val="center"/>
                </w:tcPr>
                <w:p w14:paraId="1EDB3F33">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特种金属功能材料、先进高分子材料、新型无机非金属材料、高性能复合材料、高端化工新材料</w:t>
                  </w:r>
                </w:p>
              </w:tc>
              <w:tc>
                <w:tcPr>
                  <w:tcW w:w="5102" w:type="dxa"/>
                  <w:gridSpan w:val="2"/>
                  <w:tcBorders>
                    <w:tl2br w:val="nil"/>
                    <w:tr2bl w:val="nil"/>
                  </w:tcBorders>
                  <w:noWrap w:val="0"/>
                  <w:vAlign w:val="center"/>
                </w:tcPr>
                <w:p w14:paraId="1D370D0F">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en-US" w:bidi="ar"/>
                    </w:rPr>
                    <w:t>C3240</w:t>
                  </w:r>
                  <w:r>
                    <w:rPr>
                      <w:rStyle w:val="93"/>
                      <w:rFonts w:hint="default" w:ascii="Times New Roman" w:hAnsi="Times New Roman" w:eastAsia="宋体" w:cs="Times New Roman"/>
                      <w:color w:val="auto"/>
                      <w:sz w:val="21"/>
                      <w:szCs w:val="21"/>
                      <w:shd w:val="clear" w:color="auto" w:fill="auto"/>
                      <w:lang w:val="en-US" w:eastAsia="zh-CN" w:bidi="ar"/>
                    </w:rPr>
                    <w:t>有色金属合金制造</w:t>
                  </w:r>
                </w:p>
              </w:tc>
              <w:tc>
                <w:tcPr>
                  <w:tcW w:w="1188" w:type="dxa"/>
                  <w:tcBorders>
                    <w:tl2br w:val="nil"/>
                    <w:tr2bl w:val="nil"/>
                  </w:tcBorders>
                  <w:noWrap w:val="0"/>
                  <w:vAlign w:val="center"/>
                </w:tcPr>
                <w:p w14:paraId="26CF35D4">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允许准入</w:t>
                  </w:r>
                </w:p>
              </w:tc>
            </w:tr>
            <w:tr w14:paraId="6C5B48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43F3B352">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p>
              </w:tc>
              <w:tc>
                <w:tcPr>
                  <w:tcW w:w="5102" w:type="dxa"/>
                  <w:gridSpan w:val="2"/>
                  <w:tcBorders>
                    <w:tl2br w:val="nil"/>
                    <w:tr2bl w:val="nil"/>
                  </w:tcBorders>
                  <w:noWrap w:val="0"/>
                  <w:vAlign w:val="center"/>
                </w:tcPr>
                <w:p w14:paraId="646A8F3F">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en-US" w:bidi="ar"/>
                    </w:rPr>
                    <w:t>C3985</w:t>
                  </w:r>
                  <w:r>
                    <w:rPr>
                      <w:rStyle w:val="93"/>
                      <w:rFonts w:hint="default" w:ascii="Times New Roman" w:hAnsi="Times New Roman" w:eastAsia="宋体" w:cs="Times New Roman"/>
                      <w:color w:val="auto"/>
                      <w:sz w:val="21"/>
                      <w:szCs w:val="21"/>
                      <w:shd w:val="clear" w:color="auto" w:fill="auto"/>
                      <w:lang w:val="en-US" w:eastAsia="zh-CN" w:bidi="ar"/>
                    </w:rPr>
                    <w:t>电子专用材料制造</w:t>
                  </w:r>
                </w:p>
              </w:tc>
              <w:tc>
                <w:tcPr>
                  <w:tcW w:w="1188" w:type="dxa"/>
                  <w:tcBorders>
                    <w:tl2br w:val="nil"/>
                    <w:tr2bl w:val="nil"/>
                  </w:tcBorders>
                  <w:noWrap w:val="0"/>
                  <w:vAlign w:val="center"/>
                </w:tcPr>
                <w:p w14:paraId="3BD596A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允许准入</w:t>
                  </w:r>
                </w:p>
              </w:tc>
            </w:tr>
            <w:tr w14:paraId="1DB090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65BFC4E5">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p>
              </w:tc>
              <w:tc>
                <w:tcPr>
                  <w:tcW w:w="5102" w:type="dxa"/>
                  <w:gridSpan w:val="2"/>
                  <w:tcBorders>
                    <w:tl2br w:val="nil"/>
                    <w:tr2bl w:val="nil"/>
                  </w:tcBorders>
                  <w:noWrap w:val="0"/>
                  <w:vAlign w:val="center"/>
                </w:tcPr>
                <w:p w14:paraId="36938FA7">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en-US" w:bidi="ar"/>
                    </w:rPr>
                    <w:t>C307</w:t>
                  </w:r>
                  <w:r>
                    <w:rPr>
                      <w:rStyle w:val="93"/>
                      <w:rFonts w:hint="default" w:ascii="Times New Roman" w:hAnsi="Times New Roman" w:eastAsia="宋体" w:cs="Times New Roman"/>
                      <w:color w:val="auto"/>
                      <w:sz w:val="21"/>
                      <w:szCs w:val="21"/>
                      <w:shd w:val="clear" w:color="auto" w:fill="auto"/>
                      <w:lang w:val="en-US" w:eastAsia="zh-CN" w:bidi="ar"/>
                    </w:rPr>
                    <w:t>陶瓷制品制造</w:t>
                  </w:r>
                </w:p>
              </w:tc>
              <w:tc>
                <w:tcPr>
                  <w:tcW w:w="1188" w:type="dxa"/>
                  <w:tcBorders>
                    <w:tl2br w:val="nil"/>
                    <w:tr2bl w:val="nil"/>
                  </w:tcBorders>
                  <w:noWrap w:val="0"/>
                  <w:vAlign w:val="center"/>
                </w:tcPr>
                <w:p w14:paraId="4CF75D23">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允许准入</w:t>
                  </w:r>
                </w:p>
              </w:tc>
            </w:tr>
            <w:tr w14:paraId="0B291C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219DBEC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p>
              </w:tc>
              <w:tc>
                <w:tcPr>
                  <w:tcW w:w="5102" w:type="dxa"/>
                  <w:gridSpan w:val="2"/>
                  <w:tcBorders>
                    <w:tl2br w:val="nil"/>
                    <w:tr2bl w:val="nil"/>
                  </w:tcBorders>
                  <w:noWrap w:val="0"/>
                  <w:vAlign w:val="center"/>
                </w:tcPr>
                <w:p w14:paraId="703FDCE2">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en-US" w:bidi="ar"/>
                    </w:rPr>
                    <w:t>C309</w:t>
                  </w:r>
                  <w:r>
                    <w:rPr>
                      <w:rStyle w:val="93"/>
                      <w:rFonts w:hint="default" w:ascii="Times New Roman" w:hAnsi="Times New Roman" w:eastAsia="宋体" w:cs="Times New Roman"/>
                      <w:color w:val="auto"/>
                      <w:sz w:val="21"/>
                      <w:szCs w:val="21"/>
                      <w:shd w:val="clear" w:color="auto" w:fill="auto"/>
                      <w:lang w:val="en-US" w:eastAsia="zh-CN" w:bidi="ar"/>
                    </w:rPr>
                    <w:t>石墨及其他非金属矿物制品制造</w:t>
                  </w:r>
                </w:p>
              </w:tc>
              <w:tc>
                <w:tcPr>
                  <w:tcW w:w="1188" w:type="dxa"/>
                  <w:tcBorders>
                    <w:tl2br w:val="nil"/>
                    <w:tr2bl w:val="nil"/>
                  </w:tcBorders>
                  <w:noWrap w:val="0"/>
                  <w:vAlign w:val="center"/>
                </w:tcPr>
                <w:p w14:paraId="6911F62A">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允许准入</w:t>
                  </w:r>
                </w:p>
              </w:tc>
            </w:tr>
            <w:tr w14:paraId="5A5EB7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4BA29861">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p>
              </w:tc>
              <w:tc>
                <w:tcPr>
                  <w:tcW w:w="1703" w:type="dxa"/>
                  <w:tcBorders>
                    <w:tl2br w:val="nil"/>
                    <w:tr2bl w:val="nil"/>
                  </w:tcBorders>
                  <w:noWrap w:val="0"/>
                  <w:vAlign w:val="center"/>
                </w:tcPr>
                <w:p w14:paraId="1AD20221">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C26化学原料和化学产品制造业</w:t>
                  </w:r>
                </w:p>
              </w:tc>
              <w:tc>
                <w:tcPr>
                  <w:tcW w:w="3399" w:type="dxa"/>
                  <w:tcBorders>
                    <w:tl2br w:val="nil"/>
                    <w:tr2bl w:val="nil"/>
                  </w:tcBorders>
                  <w:noWrap w:val="0"/>
                  <w:vAlign w:val="center"/>
                </w:tcPr>
                <w:p w14:paraId="19414A97">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凯盛新材料化工产业链上项目。符合下列情形之一的化工项目，除国家另有规定的外，可以在集聚区实施，且不受投资额限制：</w:t>
                  </w:r>
                </w:p>
                <w:p w14:paraId="7DF70D75">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1、2625有机肥料及微生物肥料制造、2682化妆品制造、2683口腔清洁用品制造、291橡胶制品业项目；2、列入《建设项目环境影响评价分类管理名录》的环评类别为报告表、登记表的非危险化学品项目。</w:t>
                  </w:r>
                </w:p>
              </w:tc>
              <w:tc>
                <w:tcPr>
                  <w:tcW w:w="1188" w:type="dxa"/>
                  <w:tcBorders>
                    <w:tl2br w:val="nil"/>
                    <w:tr2bl w:val="nil"/>
                  </w:tcBorders>
                  <w:noWrap w:val="0"/>
                  <w:vAlign w:val="center"/>
                </w:tcPr>
                <w:p w14:paraId="3CCD5AB1">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z w:val="21"/>
                      <w:szCs w:val="21"/>
                      <w:shd w:val="clear" w:color="auto" w:fill="auto"/>
                      <w:lang w:val="en-US" w:eastAsia="zh-CN" w:bidi="ar"/>
                    </w:rPr>
                  </w:pPr>
                  <w:r>
                    <w:rPr>
                      <w:rStyle w:val="93"/>
                      <w:rFonts w:hint="default" w:ascii="Times New Roman" w:hAnsi="Times New Roman" w:eastAsia="宋体" w:cs="Times New Roman"/>
                      <w:color w:val="auto"/>
                      <w:sz w:val="21"/>
                      <w:szCs w:val="21"/>
                      <w:shd w:val="clear" w:color="auto" w:fill="auto"/>
                      <w:lang w:val="en-US" w:eastAsia="zh-CN" w:bidi="ar"/>
                    </w:rPr>
                    <w:t>允许准入</w:t>
                  </w:r>
                </w:p>
              </w:tc>
            </w:tr>
            <w:tr w14:paraId="7B1EA7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restart"/>
                  <w:tcBorders>
                    <w:tl2br w:val="nil"/>
                    <w:tr2bl w:val="nil"/>
                  </w:tcBorders>
                  <w:noWrap w:val="0"/>
                  <w:vAlign w:val="center"/>
                </w:tcPr>
                <w:p w14:paraId="02A20955">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生物制药；生物基材料制造；装备制造；铁路运输</w:t>
                  </w:r>
                </w:p>
              </w:tc>
              <w:tc>
                <w:tcPr>
                  <w:tcW w:w="1703" w:type="dxa"/>
                  <w:tcBorders>
                    <w:tl2br w:val="nil"/>
                    <w:tr2bl w:val="nil"/>
                  </w:tcBorders>
                  <w:noWrap w:val="0"/>
                  <w:vAlign w:val="center"/>
                </w:tcPr>
                <w:p w14:paraId="7B0A7052">
                  <w:pPr>
                    <w:pStyle w:val="91"/>
                    <w:keepNext w:val="0"/>
                    <w:keepLines w:val="0"/>
                    <w:widowControl w:val="0"/>
                    <w:suppressLineNumbers w:val="0"/>
                    <w:shd w:val="clear" w:color="auto" w:fill="auto"/>
                    <w:bidi w:val="0"/>
                    <w:spacing w:before="0" w:beforeAutospacing="0" w:after="0" w:afterAutospacing="0" w:line="240" w:lineRule="auto"/>
                    <w:ind w:left="0" w:right="0" w:firstLine="0"/>
                    <w:jc w:val="both"/>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C27</w:t>
                  </w:r>
                  <w:r>
                    <w:rPr>
                      <w:rFonts w:hint="default" w:ascii="Times New Roman" w:hAnsi="Times New Roman" w:eastAsia="宋体" w:cs="Times New Roman"/>
                      <w:color w:val="auto"/>
                      <w:sz w:val="21"/>
                      <w:szCs w:val="21"/>
                      <w:shd w:val="clear" w:color="auto" w:fill="auto"/>
                    </w:rPr>
                    <w:t>医药制造业</w:t>
                  </w:r>
                </w:p>
              </w:tc>
              <w:tc>
                <w:tcPr>
                  <w:tcW w:w="3399" w:type="dxa"/>
                  <w:tcBorders>
                    <w:tl2br w:val="nil"/>
                    <w:tr2bl w:val="nil"/>
                  </w:tcBorders>
                  <w:noWrap w:val="0"/>
                  <w:vAlign w:val="center"/>
                </w:tcPr>
                <w:p w14:paraId="5D59F5B0">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pacing w:val="-6"/>
                      <w:sz w:val="21"/>
                      <w:szCs w:val="21"/>
                      <w:lang w:val="en-US" w:eastAsia="zh-CN" w:bidi="ar"/>
                    </w:rPr>
                  </w:pPr>
                  <w:r>
                    <w:rPr>
                      <w:rStyle w:val="93"/>
                      <w:rFonts w:hint="default" w:ascii="Times New Roman" w:hAnsi="Times New Roman" w:eastAsia="宋体" w:cs="Times New Roman"/>
                      <w:color w:val="auto"/>
                      <w:spacing w:val="-6"/>
                      <w:sz w:val="21"/>
                      <w:szCs w:val="21"/>
                      <w:lang w:val="en-US" w:eastAsia="zh-CN" w:bidi="ar"/>
                    </w:rPr>
                    <w:t>生物药品制品制造、卫生材料及医药用品制造、中药饮片加工、中成药生产</w:t>
                  </w:r>
                </w:p>
              </w:tc>
              <w:tc>
                <w:tcPr>
                  <w:tcW w:w="1188" w:type="dxa"/>
                  <w:tcBorders>
                    <w:tl2br w:val="nil"/>
                    <w:tr2bl w:val="nil"/>
                  </w:tcBorders>
                  <w:noWrap w:val="0"/>
                  <w:vAlign w:val="center"/>
                </w:tcPr>
                <w:p w14:paraId="6125F648">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5D908C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136C39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48F93501">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C28</w:t>
                  </w:r>
                  <w:r>
                    <w:rPr>
                      <w:rFonts w:hint="default" w:ascii="Times New Roman" w:hAnsi="Times New Roman" w:eastAsia="宋体" w:cs="Times New Roman"/>
                      <w:color w:val="auto"/>
                      <w:sz w:val="21"/>
                      <w:szCs w:val="21"/>
                      <w:shd w:val="clear" w:color="auto" w:fill="auto"/>
                    </w:rPr>
                    <w:t>化学纤维制造业</w:t>
                  </w:r>
                </w:p>
              </w:tc>
              <w:tc>
                <w:tcPr>
                  <w:tcW w:w="3399" w:type="dxa"/>
                  <w:tcBorders>
                    <w:tl2br w:val="nil"/>
                    <w:tr2bl w:val="nil"/>
                  </w:tcBorders>
                  <w:noWrap w:val="0"/>
                  <w:vAlign w:val="center"/>
                </w:tcPr>
                <w:p w14:paraId="6FDE3AF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生物基材料制造</w:t>
                  </w:r>
                </w:p>
              </w:tc>
              <w:tc>
                <w:tcPr>
                  <w:tcW w:w="1188" w:type="dxa"/>
                  <w:tcBorders>
                    <w:tl2br w:val="nil"/>
                    <w:tr2bl w:val="nil"/>
                  </w:tcBorders>
                  <w:noWrap w:val="0"/>
                  <w:vAlign w:val="center"/>
                </w:tcPr>
                <w:p w14:paraId="378ED66A">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5780F9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5D0D30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0AF8419F">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C34</w:t>
                  </w:r>
                  <w:r>
                    <w:rPr>
                      <w:rFonts w:hint="default" w:ascii="Times New Roman" w:hAnsi="Times New Roman" w:eastAsia="宋体" w:cs="Times New Roman"/>
                      <w:color w:val="auto"/>
                      <w:sz w:val="21"/>
                      <w:szCs w:val="21"/>
                      <w:shd w:val="clear" w:color="auto" w:fill="auto"/>
                    </w:rPr>
                    <w:t>通用设备制造业</w:t>
                  </w:r>
                </w:p>
              </w:tc>
              <w:tc>
                <w:tcPr>
                  <w:tcW w:w="3399" w:type="dxa"/>
                  <w:tcBorders>
                    <w:tl2br w:val="nil"/>
                    <w:tr2bl w:val="nil"/>
                  </w:tcBorders>
                  <w:noWrap w:val="0"/>
                  <w:vAlign w:val="center"/>
                </w:tcPr>
                <w:p w14:paraId="269A5671">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金属加工机械制造；物料搬运设备制造；泵、阀门、压缩机及类似机械制造；通用零部件制造；轴承、齿轮和传动部件制造：烘炉、风机、衡器、包装等设备制造</w:t>
                  </w:r>
                </w:p>
              </w:tc>
              <w:tc>
                <w:tcPr>
                  <w:tcW w:w="1188" w:type="dxa"/>
                  <w:tcBorders>
                    <w:tl2br w:val="nil"/>
                    <w:tr2bl w:val="nil"/>
                  </w:tcBorders>
                  <w:noWrap w:val="0"/>
                  <w:vAlign w:val="center"/>
                </w:tcPr>
                <w:p w14:paraId="1E703E2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6C14A1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538CAC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767B8EF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C35</w:t>
                  </w:r>
                  <w:r>
                    <w:rPr>
                      <w:rFonts w:hint="default" w:ascii="Times New Roman" w:hAnsi="Times New Roman" w:eastAsia="宋体" w:cs="Times New Roman"/>
                      <w:color w:val="auto"/>
                      <w:sz w:val="21"/>
                      <w:szCs w:val="21"/>
                      <w:shd w:val="clear" w:color="auto" w:fill="auto"/>
                    </w:rPr>
                    <w:t>专用设备制造业</w:t>
                  </w:r>
                </w:p>
              </w:tc>
              <w:tc>
                <w:tcPr>
                  <w:tcW w:w="3399" w:type="dxa"/>
                  <w:tcBorders>
                    <w:tl2br w:val="nil"/>
                    <w:tr2bl w:val="nil"/>
                  </w:tcBorders>
                  <w:noWrap w:val="0"/>
                  <w:vAlign w:val="center"/>
                </w:tcPr>
                <w:p w14:paraId="30456F39">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重点推进石油装备、节能环保装备和新能源装备制造项目</w:t>
                  </w:r>
                </w:p>
              </w:tc>
              <w:tc>
                <w:tcPr>
                  <w:tcW w:w="1188" w:type="dxa"/>
                  <w:tcBorders>
                    <w:tl2br w:val="nil"/>
                    <w:tr2bl w:val="nil"/>
                  </w:tcBorders>
                  <w:noWrap w:val="0"/>
                  <w:vAlign w:val="center"/>
                </w:tcPr>
                <w:p w14:paraId="140780DC">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51B035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7FC52CB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2D44B9E5">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C38</w:t>
                  </w:r>
                  <w:r>
                    <w:rPr>
                      <w:rFonts w:hint="default" w:ascii="Times New Roman" w:hAnsi="Times New Roman" w:eastAsia="宋体" w:cs="Times New Roman"/>
                      <w:color w:val="auto"/>
                      <w:sz w:val="21"/>
                      <w:szCs w:val="21"/>
                      <w:shd w:val="clear" w:color="auto" w:fill="auto"/>
                    </w:rPr>
                    <w:t>电气机械和器材制造业</w:t>
                  </w:r>
                </w:p>
              </w:tc>
              <w:tc>
                <w:tcPr>
                  <w:tcW w:w="3399" w:type="dxa"/>
                  <w:tcBorders>
                    <w:tl2br w:val="nil"/>
                    <w:tr2bl w:val="nil"/>
                  </w:tcBorders>
                  <w:noWrap w:val="0"/>
                  <w:vAlign w:val="center"/>
                </w:tcPr>
                <w:p w14:paraId="4FA45297">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输配电及控制设备制造；家用电力器具制造；非电力家用器具制造；照明器具制造</w:t>
                  </w:r>
                </w:p>
              </w:tc>
              <w:tc>
                <w:tcPr>
                  <w:tcW w:w="1188" w:type="dxa"/>
                  <w:tcBorders>
                    <w:tl2br w:val="nil"/>
                    <w:tr2bl w:val="nil"/>
                  </w:tcBorders>
                  <w:noWrap w:val="0"/>
                  <w:vAlign w:val="center"/>
                </w:tcPr>
                <w:p w14:paraId="06341A5D">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2DB64C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110076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5F3125A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C39</w:t>
                  </w:r>
                  <w:r>
                    <w:rPr>
                      <w:rFonts w:hint="default" w:ascii="Times New Roman" w:hAnsi="Times New Roman" w:eastAsia="宋体" w:cs="Times New Roman"/>
                      <w:color w:val="auto"/>
                      <w:sz w:val="21"/>
                      <w:szCs w:val="21"/>
                      <w:shd w:val="clear" w:color="auto" w:fill="auto"/>
                    </w:rPr>
                    <w:t>计算机、通信和其他电子设备制造业</w:t>
                  </w:r>
                </w:p>
              </w:tc>
              <w:tc>
                <w:tcPr>
                  <w:tcW w:w="3399" w:type="dxa"/>
                  <w:tcBorders>
                    <w:tl2br w:val="nil"/>
                    <w:tr2bl w:val="nil"/>
                  </w:tcBorders>
                  <w:noWrap w:val="0"/>
                  <w:vAlign w:val="center"/>
                </w:tcPr>
                <w:p w14:paraId="719CBBB6">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计算机制造；通信设备制造；广播电视设备制造；雷达及配套设备制造；视听设备制造；电子器件制造；电子元件制造；其他电子设备制造</w:t>
                  </w:r>
                </w:p>
              </w:tc>
              <w:tc>
                <w:tcPr>
                  <w:tcW w:w="1188" w:type="dxa"/>
                  <w:tcBorders>
                    <w:tl2br w:val="nil"/>
                    <w:tr2bl w:val="nil"/>
                  </w:tcBorders>
                  <w:noWrap w:val="0"/>
                  <w:vAlign w:val="center"/>
                </w:tcPr>
                <w:p w14:paraId="0F8F0583">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0ABD82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68326F9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5AF7B3A0">
                  <w:pPr>
                    <w:pStyle w:val="91"/>
                    <w:keepNext w:val="0"/>
                    <w:keepLines w:val="0"/>
                    <w:widowControl w:val="0"/>
                    <w:suppressLineNumbers w:val="0"/>
                    <w:shd w:val="clear" w:color="auto" w:fill="auto"/>
                    <w:bidi w:val="0"/>
                    <w:spacing w:before="0" w:beforeAutospacing="0" w:after="8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C40</w:t>
                  </w:r>
                  <w:r>
                    <w:rPr>
                      <w:rFonts w:hint="default" w:ascii="Times New Roman" w:hAnsi="Times New Roman" w:eastAsia="宋体" w:cs="Times New Roman"/>
                      <w:color w:val="auto"/>
                      <w:sz w:val="21"/>
                      <w:szCs w:val="21"/>
                      <w:shd w:val="clear" w:color="auto" w:fill="auto"/>
                    </w:rPr>
                    <w:t>仪器仪表制造业</w:t>
                  </w:r>
                </w:p>
              </w:tc>
              <w:tc>
                <w:tcPr>
                  <w:tcW w:w="3399" w:type="dxa"/>
                  <w:tcBorders>
                    <w:tl2br w:val="nil"/>
                    <w:tr2bl w:val="nil"/>
                  </w:tcBorders>
                  <w:noWrap w:val="0"/>
                  <w:vAlign w:val="center"/>
                </w:tcPr>
                <w:p w14:paraId="04A6F0B4">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pacing w:val="-6"/>
                      <w:sz w:val="21"/>
                      <w:szCs w:val="21"/>
                      <w:shd w:val="clear" w:color="auto" w:fill="auto"/>
                    </w:rPr>
                  </w:pPr>
                  <w:r>
                    <w:rPr>
                      <w:rFonts w:hint="default" w:ascii="Times New Roman" w:hAnsi="Times New Roman" w:eastAsia="宋体" w:cs="Times New Roman"/>
                      <w:color w:val="auto"/>
                      <w:spacing w:val="-6"/>
                      <w:sz w:val="21"/>
                      <w:szCs w:val="21"/>
                      <w:shd w:val="clear" w:color="auto" w:fill="auto"/>
                    </w:rPr>
                    <w:t>通用仪器仪表制造；专用仪器仪表制造；钟表与计时仪器制造；光学仪器制造；衡器制造；其他仪器仪表制造业</w:t>
                  </w:r>
                </w:p>
              </w:tc>
              <w:tc>
                <w:tcPr>
                  <w:tcW w:w="1188" w:type="dxa"/>
                  <w:tcBorders>
                    <w:tl2br w:val="nil"/>
                    <w:tr2bl w:val="nil"/>
                  </w:tcBorders>
                  <w:noWrap w:val="0"/>
                  <w:vAlign w:val="center"/>
                </w:tcPr>
                <w:p w14:paraId="300E7F4F">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521262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190C4B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45DC07B6">
                  <w:pPr>
                    <w:pStyle w:val="91"/>
                    <w:keepNext w:val="0"/>
                    <w:keepLines w:val="0"/>
                    <w:widowControl w:val="0"/>
                    <w:suppressLineNumbers w:val="0"/>
                    <w:shd w:val="clear" w:color="auto" w:fill="auto"/>
                    <w:bidi w:val="0"/>
                    <w:spacing w:before="0" w:beforeAutospacing="0" w:after="0" w:afterAutospacing="0" w:line="240" w:lineRule="auto"/>
                    <w:ind w:left="0" w:right="0" w:firstLine="24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G53</w:t>
                  </w:r>
                  <w:r>
                    <w:rPr>
                      <w:rFonts w:hint="default" w:ascii="Times New Roman" w:hAnsi="Times New Roman" w:eastAsia="宋体" w:cs="Times New Roman"/>
                      <w:color w:val="auto"/>
                      <w:sz w:val="21"/>
                      <w:szCs w:val="21"/>
                      <w:shd w:val="clear" w:color="auto" w:fill="auto"/>
                    </w:rPr>
                    <w:t>铁路运输业</w:t>
                  </w:r>
                </w:p>
              </w:tc>
              <w:tc>
                <w:tcPr>
                  <w:tcW w:w="3399" w:type="dxa"/>
                  <w:tcBorders>
                    <w:tl2br w:val="nil"/>
                    <w:tr2bl w:val="nil"/>
                  </w:tcBorders>
                  <w:noWrap w:val="0"/>
                  <w:vAlign w:val="center"/>
                </w:tcPr>
                <w:p w14:paraId="737E44D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依托铁路场站，引导一批生产企业不断优化物流过程，培育大型物流集团</w:t>
                  </w:r>
                </w:p>
              </w:tc>
              <w:tc>
                <w:tcPr>
                  <w:tcW w:w="1188" w:type="dxa"/>
                  <w:tcBorders>
                    <w:tl2br w:val="nil"/>
                    <w:tr2bl w:val="nil"/>
                  </w:tcBorders>
                  <w:noWrap w:val="0"/>
                  <w:vAlign w:val="center"/>
                </w:tcPr>
                <w:p w14:paraId="0E8FDA03">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013583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restart"/>
                  <w:tcBorders>
                    <w:tl2br w:val="nil"/>
                    <w:tr2bl w:val="nil"/>
                  </w:tcBorders>
                  <w:noWrap w:val="0"/>
                  <w:vAlign w:val="center"/>
                </w:tcPr>
                <w:p w14:paraId="45697D2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以互联网服务、金融服务、商务服务、技术服务、医疗卫生服务等为主的产业集群</w:t>
                  </w:r>
                </w:p>
              </w:tc>
              <w:tc>
                <w:tcPr>
                  <w:tcW w:w="1703" w:type="dxa"/>
                  <w:tcBorders>
                    <w:tl2br w:val="nil"/>
                    <w:tr2bl w:val="nil"/>
                  </w:tcBorders>
                  <w:noWrap w:val="0"/>
                  <w:vAlign w:val="center"/>
                </w:tcPr>
                <w:p w14:paraId="25C3048F">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164互联网相关服务</w:t>
                  </w:r>
                </w:p>
              </w:tc>
              <w:tc>
                <w:tcPr>
                  <w:tcW w:w="3399" w:type="dxa"/>
                  <w:tcBorders>
                    <w:tl2br w:val="nil"/>
                    <w:tr2bl w:val="nil"/>
                  </w:tcBorders>
                  <w:noWrap w:val="0"/>
                  <w:vAlign w:val="center"/>
                </w:tcPr>
                <w:p w14:paraId="49C7433D">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电子商务业</w:t>
                  </w:r>
                </w:p>
              </w:tc>
              <w:tc>
                <w:tcPr>
                  <w:tcW w:w="1188" w:type="dxa"/>
                  <w:tcBorders>
                    <w:tl2br w:val="nil"/>
                    <w:tr2bl w:val="nil"/>
                  </w:tcBorders>
                  <w:noWrap w:val="0"/>
                  <w:vAlign w:val="center"/>
                </w:tcPr>
                <w:p w14:paraId="54C6FCA3">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382F03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0B79B09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510B8168">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J66</w:t>
                  </w:r>
                  <w:r>
                    <w:rPr>
                      <w:rFonts w:hint="default" w:ascii="Times New Roman" w:hAnsi="Times New Roman" w:eastAsia="宋体" w:cs="Times New Roman"/>
                      <w:color w:val="auto"/>
                      <w:sz w:val="21"/>
                      <w:szCs w:val="21"/>
                      <w:shd w:val="clear" w:color="auto" w:fill="auto"/>
                    </w:rPr>
                    <w:t>货币金融服务</w:t>
                  </w:r>
                </w:p>
              </w:tc>
              <w:tc>
                <w:tcPr>
                  <w:tcW w:w="3399" w:type="dxa"/>
                  <w:tcBorders>
                    <w:tl2br w:val="nil"/>
                    <w:tr2bl w:val="nil"/>
                  </w:tcBorders>
                  <w:noWrap w:val="0"/>
                  <w:vAlign w:val="center"/>
                </w:tcPr>
                <w:p w14:paraId="0FEE0E72">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货币银行服务；非货币银行服务</w:t>
                  </w:r>
                </w:p>
              </w:tc>
              <w:tc>
                <w:tcPr>
                  <w:tcW w:w="1188" w:type="dxa"/>
                  <w:tcBorders>
                    <w:tl2br w:val="nil"/>
                    <w:tr2bl w:val="nil"/>
                  </w:tcBorders>
                  <w:noWrap w:val="0"/>
                  <w:vAlign w:val="center"/>
                </w:tcPr>
                <w:p w14:paraId="7A432A3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354C00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2E88397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0C6C9B3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J67</w:t>
                  </w:r>
                  <w:r>
                    <w:rPr>
                      <w:rFonts w:hint="default" w:ascii="Times New Roman" w:hAnsi="Times New Roman" w:eastAsia="宋体" w:cs="Times New Roman"/>
                      <w:color w:val="auto"/>
                      <w:sz w:val="21"/>
                      <w:szCs w:val="21"/>
                      <w:shd w:val="clear" w:color="auto" w:fill="auto"/>
                    </w:rPr>
                    <w:t>资本金融服务</w:t>
                  </w:r>
                </w:p>
              </w:tc>
              <w:tc>
                <w:tcPr>
                  <w:tcW w:w="3399" w:type="dxa"/>
                  <w:tcBorders>
                    <w:tl2br w:val="nil"/>
                    <w:tr2bl w:val="nil"/>
                  </w:tcBorders>
                  <w:noWrap w:val="0"/>
                  <w:vAlign w:val="center"/>
                </w:tcPr>
                <w:p w14:paraId="2138EC12">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现代金融业</w:t>
                  </w:r>
                </w:p>
              </w:tc>
              <w:tc>
                <w:tcPr>
                  <w:tcW w:w="1188" w:type="dxa"/>
                  <w:tcBorders>
                    <w:tl2br w:val="nil"/>
                    <w:tr2bl w:val="nil"/>
                  </w:tcBorders>
                  <w:noWrap w:val="0"/>
                  <w:vAlign w:val="center"/>
                </w:tcPr>
                <w:p w14:paraId="055409A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104370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012071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5888AABF">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J68</w:t>
                  </w:r>
                  <w:r>
                    <w:rPr>
                      <w:rFonts w:hint="default" w:ascii="Times New Roman" w:hAnsi="Times New Roman" w:eastAsia="宋体" w:cs="Times New Roman"/>
                      <w:color w:val="auto"/>
                      <w:sz w:val="21"/>
                      <w:szCs w:val="21"/>
                      <w:shd w:val="clear" w:color="auto" w:fill="auto"/>
                    </w:rPr>
                    <w:t>保险业</w:t>
                  </w:r>
                </w:p>
              </w:tc>
              <w:tc>
                <w:tcPr>
                  <w:tcW w:w="3399" w:type="dxa"/>
                  <w:tcBorders>
                    <w:tl2br w:val="nil"/>
                    <w:tr2bl w:val="nil"/>
                  </w:tcBorders>
                  <w:noWrap w:val="0"/>
                  <w:vAlign w:val="center"/>
                </w:tcPr>
                <w:p w14:paraId="0A373E23">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人身保险；财产保险</w:t>
                  </w:r>
                </w:p>
              </w:tc>
              <w:tc>
                <w:tcPr>
                  <w:tcW w:w="1188" w:type="dxa"/>
                  <w:tcBorders>
                    <w:tl2br w:val="nil"/>
                    <w:tr2bl w:val="nil"/>
                  </w:tcBorders>
                  <w:noWrap w:val="0"/>
                  <w:vAlign w:val="center"/>
                </w:tcPr>
                <w:p w14:paraId="52E0E07D">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7EDA3E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529310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103248AD">
                  <w:pPr>
                    <w:pStyle w:val="91"/>
                    <w:keepNext w:val="0"/>
                    <w:keepLines w:val="0"/>
                    <w:widowControl w:val="0"/>
                    <w:suppressLineNumbers w:val="0"/>
                    <w:shd w:val="clear" w:color="auto" w:fill="auto"/>
                    <w:bidi w:val="0"/>
                    <w:spacing w:before="0" w:beforeAutospacing="0" w:after="0" w:afterAutospacing="0" w:line="240" w:lineRule="auto"/>
                    <w:ind w:left="0" w:right="0" w:firstLine="24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L72</w:t>
                  </w:r>
                  <w:r>
                    <w:rPr>
                      <w:rFonts w:hint="default" w:ascii="Times New Roman" w:hAnsi="Times New Roman" w:eastAsia="宋体" w:cs="Times New Roman"/>
                      <w:color w:val="auto"/>
                      <w:sz w:val="21"/>
                      <w:szCs w:val="21"/>
                      <w:shd w:val="clear" w:color="auto" w:fill="auto"/>
                    </w:rPr>
                    <w:t>商务服务业</w:t>
                  </w:r>
                </w:p>
              </w:tc>
              <w:tc>
                <w:tcPr>
                  <w:tcW w:w="3399" w:type="dxa"/>
                  <w:tcBorders>
                    <w:tl2br w:val="nil"/>
                    <w:tr2bl w:val="nil"/>
                  </w:tcBorders>
                  <w:noWrap w:val="0"/>
                  <w:vAlign w:val="center"/>
                </w:tcPr>
                <w:p w14:paraId="7B76F5E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综合管理服务；其他商务服务业等</w:t>
                  </w:r>
                </w:p>
              </w:tc>
              <w:tc>
                <w:tcPr>
                  <w:tcW w:w="1188" w:type="dxa"/>
                  <w:tcBorders>
                    <w:tl2br w:val="nil"/>
                    <w:tr2bl w:val="nil"/>
                  </w:tcBorders>
                  <w:noWrap w:val="0"/>
                  <w:vAlign w:val="center"/>
                </w:tcPr>
                <w:p w14:paraId="4268589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4AF04A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6C577B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125495A8">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M74</w:t>
                  </w:r>
                  <w:r>
                    <w:rPr>
                      <w:rFonts w:hint="default" w:ascii="Times New Roman" w:hAnsi="Times New Roman" w:eastAsia="宋体" w:cs="Times New Roman"/>
                      <w:color w:val="auto"/>
                      <w:sz w:val="21"/>
                      <w:szCs w:val="21"/>
                      <w:shd w:val="clear" w:color="auto" w:fill="auto"/>
                    </w:rPr>
                    <w:t>专业技术服务业</w:t>
                  </w:r>
                </w:p>
              </w:tc>
              <w:tc>
                <w:tcPr>
                  <w:tcW w:w="3399" w:type="dxa"/>
                  <w:tcBorders>
                    <w:tl2br w:val="nil"/>
                    <w:tr2bl w:val="nil"/>
                  </w:tcBorders>
                  <w:noWrap w:val="0"/>
                  <w:vAlign w:val="center"/>
                </w:tcPr>
                <w:p w14:paraId="1C31E6B7">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质检技术服务</w:t>
                  </w:r>
                </w:p>
              </w:tc>
              <w:tc>
                <w:tcPr>
                  <w:tcW w:w="1188" w:type="dxa"/>
                  <w:tcBorders>
                    <w:tl2br w:val="nil"/>
                    <w:tr2bl w:val="nil"/>
                  </w:tcBorders>
                  <w:noWrap w:val="0"/>
                  <w:vAlign w:val="center"/>
                </w:tcPr>
                <w:p w14:paraId="56360155">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466675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630750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3742AD66">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M75</w:t>
                  </w:r>
                  <w:r>
                    <w:rPr>
                      <w:rFonts w:hint="default" w:ascii="Times New Roman" w:hAnsi="Times New Roman" w:eastAsia="宋体" w:cs="Times New Roman"/>
                      <w:color w:val="auto"/>
                      <w:sz w:val="21"/>
                      <w:szCs w:val="21"/>
                      <w:shd w:val="clear" w:color="auto" w:fill="auto"/>
                    </w:rPr>
                    <w:t>科技推广和应用服务业</w:t>
                  </w:r>
                </w:p>
              </w:tc>
              <w:tc>
                <w:tcPr>
                  <w:tcW w:w="3399" w:type="dxa"/>
                  <w:tcBorders>
                    <w:tl2br w:val="nil"/>
                    <w:tr2bl w:val="nil"/>
                  </w:tcBorders>
                  <w:noWrap w:val="0"/>
                  <w:vAlign w:val="center"/>
                </w:tcPr>
                <w:p w14:paraId="3AEB9A0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技术推广服务、知识产权服务、科技中介服务</w:t>
                  </w:r>
                </w:p>
              </w:tc>
              <w:tc>
                <w:tcPr>
                  <w:tcW w:w="1188" w:type="dxa"/>
                  <w:tcBorders>
                    <w:tl2br w:val="nil"/>
                    <w:tr2bl w:val="nil"/>
                  </w:tcBorders>
                  <w:noWrap w:val="0"/>
                  <w:vAlign w:val="center"/>
                </w:tcPr>
                <w:p w14:paraId="34C76AAD">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274FAE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2BB5E96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4C5DF0CD">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Q84</w:t>
                  </w:r>
                  <w:r>
                    <w:rPr>
                      <w:rFonts w:hint="default" w:ascii="Times New Roman" w:hAnsi="Times New Roman" w:eastAsia="宋体" w:cs="Times New Roman"/>
                      <w:color w:val="auto"/>
                      <w:sz w:val="21"/>
                      <w:szCs w:val="21"/>
                      <w:shd w:val="clear" w:color="auto" w:fill="auto"/>
                    </w:rPr>
                    <w:t>卫生</w:t>
                  </w:r>
                </w:p>
              </w:tc>
              <w:tc>
                <w:tcPr>
                  <w:tcW w:w="3399" w:type="dxa"/>
                  <w:tcBorders>
                    <w:tl2br w:val="nil"/>
                    <w:tr2bl w:val="nil"/>
                  </w:tcBorders>
                  <w:noWrap w:val="0"/>
                  <w:vAlign w:val="center"/>
                </w:tcPr>
                <w:p w14:paraId="5E51F96D">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基层医疗卫生服务</w:t>
                  </w:r>
                </w:p>
              </w:tc>
              <w:tc>
                <w:tcPr>
                  <w:tcW w:w="1188" w:type="dxa"/>
                  <w:tcBorders>
                    <w:tl2br w:val="nil"/>
                    <w:tr2bl w:val="nil"/>
                  </w:tcBorders>
                  <w:noWrap w:val="0"/>
                  <w:vAlign w:val="center"/>
                </w:tcPr>
                <w:p w14:paraId="4FA7A6EC">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14D6B9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1095" w:type="dxa"/>
                  <w:vMerge w:val="continue"/>
                  <w:tcBorders>
                    <w:tl2br w:val="nil"/>
                    <w:tr2bl w:val="nil"/>
                  </w:tcBorders>
                  <w:noWrap w:val="0"/>
                  <w:vAlign w:val="center"/>
                </w:tcPr>
                <w:p w14:paraId="3E6A32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shd w:val="clear" w:color="auto" w:fill="auto"/>
                    </w:rPr>
                  </w:pPr>
                </w:p>
              </w:tc>
              <w:tc>
                <w:tcPr>
                  <w:tcW w:w="1703" w:type="dxa"/>
                  <w:tcBorders>
                    <w:tl2br w:val="nil"/>
                    <w:tr2bl w:val="nil"/>
                  </w:tcBorders>
                  <w:noWrap w:val="0"/>
                  <w:vAlign w:val="center"/>
                </w:tcPr>
                <w:p w14:paraId="561B2D5E">
                  <w:pPr>
                    <w:pStyle w:val="91"/>
                    <w:keepNext w:val="0"/>
                    <w:keepLines w:val="0"/>
                    <w:widowControl w:val="0"/>
                    <w:suppressLineNumbers w:val="0"/>
                    <w:shd w:val="clear" w:color="auto" w:fill="auto"/>
                    <w:bidi w:val="0"/>
                    <w:spacing w:before="8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en-US"/>
                    </w:rPr>
                    <w:t>S94</w:t>
                  </w:r>
                  <w:r>
                    <w:rPr>
                      <w:rFonts w:hint="default" w:ascii="Times New Roman" w:hAnsi="Times New Roman" w:eastAsia="宋体" w:cs="Times New Roman"/>
                      <w:color w:val="auto"/>
                      <w:sz w:val="21"/>
                      <w:szCs w:val="21"/>
                      <w:shd w:val="clear" w:color="auto" w:fill="auto"/>
                    </w:rPr>
                    <w:t>社会保障</w:t>
                  </w:r>
                </w:p>
              </w:tc>
              <w:tc>
                <w:tcPr>
                  <w:tcW w:w="3399" w:type="dxa"/>
                  <w:tcBorders>
                    <w:tl2br w:val="nil"/>
                    <w:tr2bl w:val="nil"/>
                  </w:tcBorders>
                  <w:noWrap w:val="0"/>
                  <w:vAlign w:val="center"/>
                </w:tcPr>
                <w:p w14:paraId="67AB3E2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保险行业</w:t>
                  </w:r>
                </w:p>
              </w:tc>
              <w:tc>
                <w:tcPr>
                  <w:tcW w:w="1188" w:type="dxa"/>
                  <w:tcBorders>
                    <w:tl2br w:val="nil"/>
                    <w:tr2bl w:val="nil"/>
                  </w:tcBorders>
                  <w:noWrap w:val="0"/>
                  <w:vAlign w:val="center"/>
                </w:tcPr>
                <w:p w14:paraId="428B9E85">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允许准入</w:t>
                  </w:r>
                </w:p>
              </w:tc>
            </w:tr>
            <w:tr w14:paraId="61E66D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cantSplit/>
                <w:trHeight w:val="454" w:hRule="atLeast"/>
                <w:jc w:val="center"/>
              </w:trPr>
              <w:tc>
                <w:tcPr>
                  <w:tcW w:w="7385" w:type="dxa"/>
                  <w:gridSpan w:val="4"/>
                  <w:tcBorders>
                    <w:tl2br w:val="nil"/>
                    <w:tr2bl w:val="nil"/>
                  </w:tcBorders>
                  <w:noWrap w:val="0"/>
                  <w:vAlign w:val="center"/>
                </w:tcPr>
                <w:p w14:paraId="3F5EC666">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新材料区</w:t>
                  </w:r>
                  <w:r>
                    <w:rPr>
                      <w:rFonts w:hint="default" w:ascii="Times New Roman" w:hAnsi="Times New Roman" w:eastAsia="宋体" w:cs="Times New Roman"/>
                      <w:color w:val="auto"/>
                      <w:sz w:val="21"/>
                      <w:szCs w:val="21"/>
                      <w:shd w:val="clear" w:color="auto" w:fill="auto"/>
                      <w:lang w:eastAsia="zh-CN"/>
                    </w:rPr>
                    <w:t>：</w:t>
                  </w:r>
                  <w:r>
                    <w:rPr>
                      <w:rFonts w:hint="default" w:ascii="Times New Roman" w:hAnsi="Times New Roman" w:eastAsia="宋体" w:cs="Times New Roman"/>
                      <w:color w:val="auto"/>
                      <w:sz w:val="21"/>
                      <w:szCs w:val="21"/>
                      <w:shd w:val="clear" w:color="auto" w:fill="auto"/>
                    </w:rPr>
                    <w:t>以凯盛新材料为核心，发挥龙头企业引领带动作用，结合现状化工装置等产业，推进推动产业结构提档升级、高质量发展，以链条化、智能化、绿色化为方向，坚持创新、安全、环保、质效联动发展，走高端化工新材料、生态化工之路，打造高端新材料产业园区。也可发展符合产业政策和集聚区产业发展的其它产业。</w:t>
                  </w:r>
                </w:p>
                <w:p w14:paraId="2D316665">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生物医药区</w:t>
                  </w:r>
                  <w:r>
                    <w:rPr>
                      <w:rFonts w:hint="default" w:ascii="Times New Roman" w:hAnsi="Times New Roman" w:eastAsia="宋体" w:cs="Times New Roman"/>
                      <w:color w:val="auto"/>
                      <w:sz w:val="21"/>
                      <w:szCs w:val="21"/>
                      <w:shd w:val="clear" w:color="auto" w:fill="auto"/>
                      <w:lang w:eastAsia="zh-CN"/>
                    </w:rPr>
                    <w:t>：</w:t>
                  </w:r>
                  <w:r>
                    <w:rPr>
                      <w:rFonts w:hint="default" w:ascii="Times New Roman" w:hAnsi="Times New Roman" w:eastAsia="宋体" w:cs="Times New Roman"/>
                      <w:color w:val="auto"/>
                      <w:sz w:val="21"/>
                      <w:szCs w:val="21"/>
                      <w:shd w:val="clear" w:color="auto" w:fill="auto"/>
                    </w:rPr>
                    <w:t>主要发展生物制药、生物基材料制造、装备制造、商贸物流、电子信息等产业，壮大生物制药产业集群。也可发展符合产业政策和集聚区产业发展的其它产业。</w:t>
                  </w:r>
                </w:p>
                <w:p w14:paraId="61705CA2">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综合服务区</w:t>
                  </w:r>
                  <w:r>
                    <w:rPr>
                      <w:rFonts w:hint="default" w:ascii="Times New Roman" w:hAnsi="Times New Roman" w:eastAsia="宋体" w:cs="Times New Roman"/>
                      <w:color w:val="auto"/>
                      <w:sz w:val="21"/>
                      <w:szCs w:val="21"/>
                      <w:shd w:val="clear" w:color="auto" w:fill="auto"/>
                      <w:lang w:eastAsia="zh-CN"/>
                    </w:rPr>
                    <w:t>：</w:t>
                  </w:r>
                  <w:r>
                    <w:rPr>
                      <w:rFonts w:hint="default" w:ascii="Times New Roman" w:hAnsi="Times New Roman" w:eastAsia="宋体" w:cs="Times New Roman"/>
                      <w:color w:val="auto"/>
                      <w:sz w:val="21"/>
                      <w:szCs w:val="21"/>
                      <w:shd w:val="clear" w:color="auto" w:fill="auto"/>
                    </w:rPr>
                    <w:t>优先发展互联网服务、金融服务、商务服务、技术服务、医疗卫生服务、全产业链服务等业态。也可发展符合产业政策和集聚区产业发展的其它产业。</w:t>
                  </w:r>
                </w:p>
                <w:p w14:paraId="27CC3195">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禁止新建不符合国家产业政策的小型造纸、制革、印染、染料、炼焦、炼硫、炼砷、炼汞、炼油、电镀、农药、石棉、水泥、玻璃、淀粉、鱼粉、石材加工、钢铁、火电和其他严重污染水环境的生产项目。严格控制区域内火电、石化、化工、冶金、钢铁、建材等高耗能行业产能规模，禁止新上用溶剂型涂料等严重污染大气环境的生产项目。</w:t>
                  </w:r>
                </w:p>
              </w:tc>
            </w:tr>
          </w:tbl>
          <w:p w14:paraId="40D2FC4B">
            <w:pPr>
              <w:pStyle w:val="66"/>
              <w:keepNext w:val="0"/>
              <w:keepLines w:val="0"/>
              <w:pageBreakBefore w:val="0"/>
              <w:widowControl w:val="0"/>
              <w:suppressLineNumbers w:val="0"/>
              <w:kinsoku/>
              <w:wordWrap/>
              <w:overflowPunct/>
              <w:topLinePunct w:val="0"/>
              <w:bidi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本项目属于</w:t>
            </w:r>
            <w:r>
              <w:rPr>
                <w:rFonts w:hint="eastAsia" w:ascii="Times New Roman" w:hAnsi="Times New Roman" w:eastAsia="宋体" w:cs="Times New Roman"/>
                <w:color w:val="auto"/>
                <w:sz w:val="24"/>
                <w:szCs w:val="24"/>
                <w:lang w:eastAsia="zh-CN"/>
              </w:rPr>
              <w:t>C3099其他非金属矿物制品制造</w:t>
            </w:r>
            <w:r>
              <w:rPr>
                <w:rFonts w:hint="default" w:ascii="Times New Roman" w:hAnsi="Times New Roman" w:eastAsia="宋体" w:cs="Times New Roman"/>
                <w:color w:val="auto"/>
                <w:kern w:val="0"/>
                <w:sz w:val="24"/>
                <w:szCs w:val="24"/>
                <w:highlight w:val="none"/>
                <w:lang w:val="en-US" w:eastAsia="zh-CN"/>
              </w:rPr>
              <w:t>，属于《建设项目环境影响评价分类管理名录》的环评类别为报告表的非危险化学品项目</w:t>
            </w:r>
            <w:r>
              <w:rPr>
                <w:rFonts w:hint="default" w:ascii="Times New Roman" w:hAnsi="Times New Roman" w:eastAsia="宋体" w:cs="Times New Roman"/>
                <w:color w:val="auto"/>
                <w:sz w:val="24"/>
                <w:szCs w:val="24"/>
                <w:highlight w:val="none"/>
                <w:lang w:val="en-US" w:eastAsia="zh-CN"/>
              </w:rPr>
              <w:t>，不属于</w:t>
            </w:r>
            <w:r>
              <w:rPr>
                <w:rFonts w:hint="default" w:ascii="Times New Roman" w:hAnsi="Times New Roman" w:eastAsia="宋体" w:cs="Times New Roman"/>
                <w:color w:val="auto"/>
                <w:sz w:val="24"/>
                <w:highlight w:val="none"/>
                <w:lang w:val="en-US" w:eastAsia="zh-CN"/>
              </w:rPr>
              <w:t>生产方式落后、产品质量低劣、环境污染严重和能源消耗高</w:t>
            </w:r>
            <w:r>
              <w:rPr>
                <w:rFonts w:hint="default" w:ascii="Times New Roman" w:hAnsi="Times New Roman" w:eastAsia="宋体" w:cs="Times New Roman"/>
                <w:color w:val="auto"/>
                <w:sz w:val="24"/>
                <w:szCs w:val="24"/>
                <w:highlight w:val="none"/>
                <w:lang w:val="en-US" w:eastAsia="zh-CN"/>
              </w:rPr>
              <w:t>的项目，属于允许准入行业范围内。</w:t>
            </w:r>
          </w:p>
          <w:p w14:paraId="360AF8C1">
            <w:pPr>
              <w:pStyle w:val="66"/>
              <w:keepNext w:val="0"/>
              <w:keepLines w:val="0"/>
              <w:pageBreakBefore w:val="0"/>
              <w:widowControl w:val="0"/>
              <w:suppressLineNumbers w:val="0"/>
              <w:kinsoku/>
              <w:wordWrap/>
              <w:overflowPunct/>
              <w:topLinePunct w:val="0"/>
              <w:bidi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3、与园区环境准入清单分析</w:t>
            </w:r>
          </w:p>
          <w:p w14:paraId="0F739C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表1-4 双杨镇工业集聚区环境准入清单</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 w:type="dxa"/>
                <w:bottom w:w="0" w:type="dxa"/>
                <w:right w:w="10" w:type="dxa"/>
              </w:tblCellMar>
            </w:tblPr>
            <w:tblGrid>
              <w:gridCol w:w="540"/>
              <w:gridCol w:w="942"/>
              <w:gridCol w:w="2720"/>
              <w:gridCol w:w="2268"/>
              <w:gridCol w:w="1005"/>
            </w:tblGrid>
            <w:tr w14:paraId="1BAD23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trHeight w:val="454" w:hRule="atLeast"/>
                <w:jc w:val="center"/>
              </w:trPr>
              <w:tc>
                <w:tcPr>
                  <w:tcW w:w="497" w:type="dxa"/>
                  <w:tcBorders>
                    <w:tl2br w:val="nil"/>
                    <w:tr2bl w:val="nil"/>
                  </w:tcBorders>
                  <w:noWrap w:val="0"/>
                  <w:vAlign w:val="center"/>
                </w:tcPr>
                <w:p w14:paraId="3431CA8A">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序号</w:t>
                  </w:r>
                </w:p>
              </w:tc>
              <w:tc>
                <w:tcPr>
                  <w:tcW w:w="866" w:type="dxa"/>
                  <w:tcBorders>
                    <w:tl2br w:val="nil"/>
                    <w:tr2bl w:val="nil"/>
                  </w:tcBorders>
                  <w:noWrap w:val="0"/>
                  <w:vAlign w:val="center"/>
                </w:tcPr>
                <w:p w14:paraId="4D0CFB22">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清单类型</w:t>
                  </w:r>
                </w:p>
              </w:tc>
              <w:tc>
                <w:tcPr>
                  <w:tcW w:w="2504" w:type="dxa"/>
                  <w:tcBorders>
                    <w:tl2br w:val="nil"/>
                    <w:tr2bl w:val="nil"/>
                  </w:tcBorders>
                  <w:noWrap w:val="0"/>
                  <w:vAlign w:val="center"/>
                </w:tcPr>
                <w:p w14:paraId="2F7B3A47">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准入内容</w:t>
                  </w:r>
                </w:p>
              </w:tc>
              <w:tc>
                <w:tcPr>
                  <w:tcW w:w="2087" w:type="dxa"/>
                  <w:tcBorders>
                    <w:tl2br w:val="nil"/>
                    <w:tr2bl w:val="nil"/>
                  </w:tcBorders>
                  <w:noWrap w:val="0"/>
                  <w:vAlign w:val="center"/>
                </w:tcPr>
                <w:p w14:paraId="3F7B37A2">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项目情况</w:t>
                  </w:r>
                </w:p>
              </w:tc>
              <w:tc>
                <w:tcPr>
                  <w:tcW w:w="925" w:type="dxa"/>
                  <w:tcBorders>
                    <w:tl2br w:val="nil"/>
                    <w:tr2bl w:val="nil"/>
                  </w:tcBorders>
                  <w:noWrap w:val="0"/>
                  <w:vAlign w:val="center"/>
                </w:tcPr>
                <w:p w14:paraId="5C6A070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符合性</w:t>
                  </w:r>
                </w:p>
              </w:tc>
            </w:tr>
            <w:tr w14:paraId="4CFC94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trHeight w:val="454" w:hRule="atLeast"/>
                <w:jc w:val="center"/>
              </w:trPr>
              <w:tc>
                <w:tcPr>
                  <w:tcW w:w="497" w:type="dxa"/>
                  <w:tcBorders>
                    <w:tl2br w:val="nil"/>
                    <w:tr2bl w:val="nil"/>
                  </w:tcBorders>
                  <w:noWrap w:val="0"/>
                  <w:vAlign w:val="center"/>
                </w:tcPr>
                <w:p w14:paraId="23B472A9">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866" w:type="dxa"/>
                  <w:tcBorders>
                    <w:tl2br w:val="nil"/>
                    <w:tr2bl w:val="nil"/>
                  </w:tcBorders>
                  <w:noWrap w:val="0"/>
                  <w:vAlign w:val="center"/>
                </w:tcPr>
                <w:p w14:paraId="7CCAB6B1">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空间布局约束</w:t>
                  </w:r>
                </w:p>
              </w:tc>
              <w:tc>
                <w:tcPr>
                  <w:tcW w:w="2504" w:type="dxa"/>
                  <w:tcBorders>
                    <w:tl2br w:val="nil"/>
                    <w:tr2bl w:val="nil"/>
                  </w:tcBorders>
                  <w:noWrap w:val="0"/>
                  <w:vAlign w:val="center"/>
                </w:tcPr>
                <w:p w14:paraId="3A14309B">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1、禁止新建、扩建《产业结构调整指导目录》</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现行</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明确的淘汰类项目和引入《市场准入负面清单》</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现行</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禁止准入类事项</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详见表10.2-3集聚区行业准入清单。</w:t>
                  </w:r>
                </w:p>
                <w:p w14:paraId="706006DC">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2、按《土壤污染防治行动计划》的要求管理：严格控制在优先保护类耕地集中区域新建有色金属冶炼、石油加工、化工、焦化、电镀、制革等行业企业。对永久基本农田实行严格保护，确保其面积不减少、土壤环境质量不下降。</w:t>
                  </w:r>
                </w:p>
                <w:p w14:paraId="5AC4CCA4">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3、集聚区内污水管网未覆盖的地区，未配套污水处理设施的项目不得建设。</w:t>
                  </w:r>
                </w:p>
              </w:tc>
              <w:tc>
                <w:tcPr>
                  <w:tcW w:w="2087" w:type="dxa"/>
                  <w:tcBorders>
                    <w:tl2br w:val="nil"/>
                    <w:tr2bl w:val="nil"/>
                  </w:tcBorders>
                  <w:noWrap w:val="0"/>
                  <w:vAlign w:val="center"/>
                </w:tcPr>
                <w:p w14:paraId="5577C535">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本项目不属于落后产能及淘汰类项目</w:t>
                  </w:r>
                  <w:r>
                    <w:rPr>
                      <w:rFonts w:hint="default" w:ascii="Times New Roman" w:hAnsi="Times New Roman" w:eastAsia="宋体" w:cs="Times New Roman"/>
                      <w:color w:val="auto"/>
                      <w:sz w:val="21"/>
                      <w:szCs w:val="21"/>
                      <w:lang w:eastAsia="zh-CN"/>
                    </w:rPr>
                    <w:t>，不属于禁止准入类项目</w:t>
                  </w:r>
                  <w:r>
                    <w:rPr>
                      <w:rFonts w:hint="default" w:ascii="Times New Roman" w:hAnsi="Times New Roman" w:eastAsia="宋体" w:cs="Times New Roman"/>
                      <w:color w:val="auto"/>
                      <w:sz w:val="21"/>
                      <w:szCs w:val="21"/>
                    </w:rPr>
                    <w:t>。</w:t>
                  </w:r>
                </w:p>
                <w:p w14:paraId="5FF61E94">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2、本项目不涉及。</w:t>
                  </w:r>
                </w:p>
                <w:p w14:paraId="46D4CCD1">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3、本项目不涉及。</w:t>
                  </w:r>
                </w:p>
              </w:tc>
              <w:tc>
                <w:tcPr>
                  <w:tcW w:w="925" w:type="dxa"/>
                  <w:tcBorders>
                    <w:tl2br w:val="nil"/>
                    <w:tr2bl w:val="nil"/>
                  </w:tcBorders>
                  <w:noWrap w:val="0"/>
                  <w:vAlign w:val="center"/>
                </w:tcPr>
                <w:p w14:paraId="05782E29">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70ABAB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trHeight w:val="454" w:hRule="atLeast"/>
                <w:jc w:val="center"/>
              </w:trPr>
              <w:tc>
                <w:tcPr>
                  <w:tcW w:w="497" w:type="dxa"/>
                  <w:tcBorders>
                    <w:tl2br w:val="nil"/>
                    <w:tr2bl w:val="nil"/>
                  </w:tcBorders>
                  <w:noWrap w:val="0"/>
                  <w:vAlign w:val="center"/>
                </w:tcPr>
                <w:p w14:paraId="184EEAD0">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866" w:type="dxa"/>
                  <w:tcBorders>
                    <w:tl2br w:val="nil"/>
                    <w:tr2bl w:val="nil"/>
                  </w:tcBorders>
                  <w:noWrap w:val="0"/>
                  <w:vAlign w:val="center"/>
                </w:tcPr>
                <w:p w14:paraId="40867EC3">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污染物排放管控</w:t>
                  </w:r>
                </w:p>
              </w:tc>
              <w:tc>
                <w:tcPr>
                  <w:tcW w:w="2504" w:type="dxa"/>
                  <w:tcBorders>
                    <w:tl2br w:val="nil"/>
                    <w:tr2bl w:val="nil"/>
                  </w:tcBorders>
                  <w:noWrap w:val="0"/>
                  <w:vAlign w:val="center"/>
                </w:tcPr>
                <w:p w14:paraId="31616986">
                  <w:pPr>
                    <w:pStyle w:val="91"/>
                    <w:keepNext w:val="0"/>
                    <w:keepLines w:val="0"/>
                    <w:widowControl w:val="0"/>
                    <w:numPr>
                      <w:ilvl w:val="0"/>
                      <w:numId w:val="4"/>
                    </w:numPr>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严格控制“两高”项目，确需建设的需严格执行产能、煤耗、能耗、碳排放、污染物排放减量替代制度。</w:t>
                  </w:r>
                </w:p>
                <w:p w14:paraId="5498B2F0">
                  <w:pPr>
                    <w:pStyle w:val="91"/>
                    <w:keepNext w:val="0"/>
                    <w:keepLines w:val="0"/>
                    <w:widowControl w:val="0"/>
                    <w:numPr>
                      <w:ilvl w:val="0"/>
                      <w:numId w:val="0"/>
                    </w:numPr>
                    <w:suppressLineNumbers w:val="0"/>
                    <w:shd w:val="clear" w:color="auto" w:fill="auto"/>
                    <w:bidi w:val="0"/>
                    <w:spacing w:before="0" w:beforeAutospacing="0" w:after="0" w:afterAutospacing="0" w:line="240" w:lineRule="auto"/>
                    <w:ind w:left="0" w:leftChars="0" w:right="0" w:rightChars="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2、落实主要污染物总量控制和排污许可制度。新</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en-US"/>
                    </w:rPr>
                    <w:t>改、扩</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en-US"/>
                    </w:rPr>
                    <w:t>建工业项目生产工艺应</w:t>
                  </w:r>
                </w:p>
                <w:p w14:paraId="404E4DF1">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达到国内先进水平，主要污染物治理要达到国内同行业先进水平，实施主要污染物总量等量或倍量替代。</w:t>
                  </w:r>
                </w:p>
                <w:p w14:paraId="0B2ACF5F">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3、废水应当按照分类收集、分质处理的要求进行预处理，达到行业排放标准或是纳管排放标准后方可排放。</w:t>
                  </w:r>
                </w:p>
                <w:p w14:paraId="6BFB7404">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4、禁止工业废水和生活污水未经处理直排环境；园区及园区企业不得新建入河排污口。</w:t>
                  </w:r>
                </w:p>
                <w:p w14:paraId="013E3B92">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5、造纸、制药、玻璃、陶瓷、化工、包装印刷、表面涂装、建材、塑料加工等严格按照淄博市行业环境管控要求，实施源头替代，建立健全治理设施，确保污染物稳定达标排放，做到持证排污。</w:t>
                  </w:r>
                </w:p>
                <w:p w14:paraId="52FC9D95">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6、进一步加强对建设工程施工、建筑物拆除、交通运输、道路保洁、物料运输与堆存、取土、养护绿化等活动的扬尘管理。</w:t>
                  </w:r>
                </w:p>
              </w:tc>
              <w:tc>
                <w:tcPr>
                  <w:tcW w:w="2087" w:type="dxa"/>
                  <w:tcBorders>
                    <w:tl2br w:val="nil"/>
                    <w:tr2bl w:val="nil"/>
                  </w:tcBorders>
                  <w:noWrap w:val="0"/>
                  <w:vAlign w:val="center"/>
                </w:tcPr>
                <w:p w14:paraId="3B43E2B0">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1、本项目不涉及。</w:t>
                  </w:r>
                </w:p>
                <w:p w14:paraId="5E6558D7">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2、本项目严格按要求执行。</w:t>
                  </w:r>
                </w:p>
                <w:p w14:paraId="4E138CFE">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3、4、本项目</w:t>
                  </w:r>
                  <w:r>
                    <w:rPr>
                      <w:rFonts w:hint="eastAsia" w:ascii="Times New Roman" w:hAnsi="Times New Roman" w:eastAsia="宋体" w:cs="Times New Roman"/>
                      <w:color w:val="auto"/>
                      <w:sz w:val="21"/>
                      <w:szCs w:val="21"/>
                      <w:highlight w:val="none"/>
                      <w:lang w:val="en-US" w:eastAsia="zh-CN"/>
                    </w:rPr>
                    <w:t>生活污水经化粪池处理，压滤废水、水喷淋废水通过厂区污水设备处理达标后，与生活污水一同经污水管网排入至葛洲坝水务淄博淄川有限公司</w:t>
                  </w:r>
                  <w:r>
                    <w:rPr>
                      <w:rFonts w:hint="default" w:ascii="Times New Roman" w:hAnsi="Times New Roman" w:eastAsia="宋体" w:cs="Times New Roman"/>
                      <w:color w:val="auto"/>
                      <w:sz w:val="21"/>
                      <w:szCs w:val="21"/>
                      <w:highlight w:val="none"/>
                      <w:lang w:val="en-US" w:eastAsia="zh-CN"/>
                    </w:rPr>
                    <w:t>。</w:t>
                  </w:r>
                </w:p>
                <w:p w14:paraId="55B2629F">
                  <w:pPr>
                    <w:pStyle w:val="91"/>
                    <w:keepNext w:val="0"/>
                    <w:keepLines w:val="0"/>
                    <w:widowControl w:val="0"/>
                    <w:numPr>
                      <w:ilvl w:val="0"/>
                      <w:numId w:val="5"/>
                    </w:numPr>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en-US"/>
                    </w:rPr>
                    <w:t>严格按照淄博市行业环境管控要求，实施源头替代，建立健全治理设施，确保污染物稳定达标排放，做到持证排污。</w:t>
                  </w:r>
                </w:p>
                <w:p w14:paraId="3E86D0E1">
                  <w:pPr>
                    <w:pStyle w:val="91"/>
                    <w:keepNext w:val="0"/>
                    <w:keepLines w:val="0"/>
                    <w:widowControl w:val="0"/>
                    <w:numPr>
                      <w:ilvl w:val="0"/>
                      <w:numId w:val="5"/>
                    </w:numPr>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本项目不涉及。</w:t>
                  </w:r>
                </w:p>
              </w:tc>
              <w:tc>
                <w:tcPr>
                  <w:tcW w:w="925" w:type="dxa"/>
                  <w:tcBorders>
                    <w:tl2br w:val="nil"/>
                    <w:tr2bl w:val="nil"/>
                  </w:tcBorders>
                  <w:noWrap w:val="0"/>
                  <w:vAlign w:val="center"/>
                </w:tcPr>
                <w:p w14:paraId="680F7F57">
                  <w:pPr>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符合</w:t>
                  </w:r>
                </w:p>
              </w:tc>
            </w:tr>
            <w:tr w14:paraId="26FB19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trHeight w:val="454" w:hRule="atLeast"/>
                <w:jc w:val="center"/>
              </w:trPr>
              <w:tc>
                <w:tcPr>
                  <w:tcW w:w="497" w:type="dxa"/>
                  <w:tcBorders>
                    <w:tl2br w:val="nil"/>
                    <w:tr2bl w:val="nil"/>
                  </w:tcBorders>
                  <w:noWrap w:val="0"/>
                  <w:vAlign w:val="center"/>
                </w:tcPr>
                <w:p w14:paraId="5C5C1C8E">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866" w:type="dxa"/>
                  <w:tcBorders>
                    <w:tl2br w:val="nil"/>
                    <w:tr2bl w:val="nil"/>
                  </w:tcBorders>
                  <w:noWrap w:val="0"/>
                  <w:vAlign w:val="center"/>
                </w:tcPr>
                <w:p w14:paraId="4EA5204C">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环境风险防控</w:t>
                  </w:r>
                </w:p>
              </w:tc>
              <w:tc>
                <w:tcPr>
                  <w:tcW w:w="2504" w:type="dxa"/>
                  <w:tcBorders>
                    <w:tl2br w:val="nil"/>
                    <w:tr2bl w:val="nil"/>
                  </w:tcBorders>
                  <w:noWrap w:val="0"/>
                  <w:vAlign w:val="center"/>
                </w:tcPr>
                <w:p w14:paraId="55C7E224">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1、紧邻居住、科教、医院等环境敏感点的工业用地，禁止新建环境风险潜势等级高建设项目。</w:t>
                  </w:r>
                </w:p>
                <w:p w14:paraId="781CADBF">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2、加强农田土壤、灌溉水的监测，对周边区域环境风险源进行评估。</w:t>
                  </w:r>
                </w:p>
                <w:p w14:paraId="50CD2E88">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3、企业应按照《企业事业单位突发环境事件应急预案备案管理办法</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试行</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en-US"/>
                    </w:rPr>
                    <w:t>》等要求，依法依规编制环境应急预案并定期开展演练。</w:t>
                  </w:r>
                </w:p>
                <w:p w14:paraId="0EC20759">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4、建立各企业危险废物的贮存、申报、经营许可、转移及处置管理制度，并负责对危废相应活动的全程监管和环境安全保障。</w:t>
                  </w:r>
                </w:p>
              </w:tc>
              <w:tc>
                <w:tcPr>
                  <w:tcW w:w="2087" w:type="dxa"/>
                  <w:tcBorders>
                    <w:tl2br w:val="nil"/>
                    <w:tr2bl w:val="nil"/>
                  </w:tcBorders>
                  <w:noWrap w:val="0"/>
                  <w:vAlign w:val="center"/>
                </w:tcPr>
                <w:p w14:paraId="280EBD7F">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1、本项目</w:t>
                  </w:r>
                  <w:r>
                    <w:rPr>
                      <w:rFonts w:hint="default" w:ascii="Times New Roman" w:hAnsi="Times New Roman" w:eastAsia="宋体" w:cs="Times New Roman"/>
                      <w:color w:val="auto"/>
                      <w:sz w:val="21"/>
                      <w:szCs w:val="21"/>
                      <w:highlight w:val="none"/>
                    </w:rPr>
                    <w:t>不</w:t>
                  </w:r>
                  <w:r>
                    <w:rPr>
                      <w:rFonts w:hint="default" w:ascii="Times New Roman" w:hAnsi="Times New Roman" w:eastAsia="宋体" w:cs="Times New Roman"/>
                      <w:color w:val="auto"/>
                      <w:sz w:val="21"/>
                      <w:szCs w:val="21"/>
                      <w:highlight w:val="none"/>
                      <w:lang w:val="en-US" w:eastAsia="zh-CN"/>
                    </w:rPr>
                    <w:t>属于</w:t>
                  </w:r>
                  <w:r>
                    <w:rPr>
                      <w:rFonts w:hint="default" w:ascii="Times New Roman" w:hAnsi="Times New Roman" w:eastAsia="宋体" w:cs="Times New Roman"/>
                      <w:color w:val="auto"/>
                      <w:sz w:val="21"/>
                      <w:szCs w:val="21"/>
                      <w:highlight w:val="none"/>
                    </w:rPr>
                    <w:t>环境风险潜势等级</w:t>
                  </w:r>
                  <w:r>
                    <w:rPr>
                      <w:rFonts w:hint="default" w:ascii="Times New Roman" w:hAnsi="Times New Roman" w:eastAsia="宋体" w:cs="Times New Roman"/>
                      <w:color w:val="auto"/>
                      <w:sz w:val="21"/>
                      <w:szCs w:val="21"/>
                    </w:rPr>
                    <w:t>高的建设项目</w:t>
                  </w:r>
                  <w:r>
                    <w:rPr>
                      <w:rFonts w:hint="default" w:ascii="Times New Roman" w:hAnsi="Times New Roman" w:eastAsia="宋体" w:cs="Times New Roman"/>
                      <w:color w:val="auto"/>
                      <w:sz w:val="21"/>
                      <w:szCs w:val="21"/>
                      <w:lang w:eastAsia="zh-CN"/>
                    </w:rPr>
                    <w:t>。</w:t>
                  </w:r>
                </w:p>
                <w:p w14:paraId="289EA27A">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2、本项目不涉及。</w:t>
                  </w:r>
                </w:p>
                <w:p w14:paraId="6DB8B46D">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3、本项目严格按要求执行。</w:t>
                  </w:r>
                </w:p>
                <w:p w14:paraId="0CA43C14">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4、本项目严格按要求执行。</w:t>
                  </w:r>
                </w:p>
              </w:tc>
              <w:tc>
                <w:tcPr>
                  <w:tcW w:w="925" w:type="dxa"/>
                  <w:tcBorders>
                    <w:tl2br w:val="nil"/>
                    <w:tr2bl w:val="nil"/>
                  </w:tcBorders>
                  <w:noWrap w:val="0"/>
                  <w:vAlign w:val="center"/>
                </w:tcPr>
                <w:p w14:paraId="2655BF08">
                  <w:pPr>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符合</w:t>
                  </w:r>
                </w:p>
              </w:tc>
            </w:tr>
            <w:tr w14:paraId="3615E3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 w:type="dxa"/>
                  <w:bottom w:w="0" w:type="dxa"/>
                  <w:right w:w="10" w:type="dxa"/>
                </w:tblCellMar>
              </w:tblPrEx>
              <w:trPr>
                <w:trHeight w:val="454" w:hRule="atLeast"/>
                <w:jc w:val="center"/>
              </w:trPr>
              <w:tc>
                <w:tcPr>
                  <w:tcW w:w="497" w:type="dxa"/>
                  <w:tcBorders>
                    <w:tl2br w:val="nil"/>
                    <w:tr2bl w:val="nil"/>
                  </w:tcBorders>
                  <w:noWrap w:val="0"/>
                  <w:vAlign w:val="center"/>
                </w:tcPr>
                <w:p w14:paraId="67D16E48">
                  <w:pPr>
                    <w:pStyle w:val="91"/>
                    <w:keepNext w:val="0"/>
                    <w:keepLines w:val="0"/>
                    <w:widowControl w:val="0"/>
                    <w:suppressLineNumbers w:val="0"/>
                    <w:shd w:val="clear" w:color="auto" w:fill="auto"/>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866" w:type="dxa"/>
                  <w:tcBorders>
                    <w:tl2br w:val="nil"/>
                    <w:tr2bl w:val="nil"/>
                  </w:tcBorders>
                  <w:noWrap w:val="0"/>
                  <w:vAlign w:val="center"/>
                </w:tcPr>
                <w:p w14:paraId="1B0431A3">
                  <w:pPr>
                    <w:pStyle w:val="91"/>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资源开发利用要求</w:t>
                  </w:r>
                </w:p>
              </w:tc>
              <w:tc>
                <w:tcPr>
                  <w:tcW w:w="2504" w:type="dxa"/>
                  <w:tcBorders>
                    <w:tl2br w:val="nil"/>
                    <w:tr2bl w:val="nil"/>
                  </w:tcBorders>
                  <w:noWrap w:val="0"/>
                  <w:vAlign w:val="center"/>
                </w:tcPr>
                <w:p w14:paraId="2BEDFA17">
                  <w:pPr>
                    <w:keepNext w:val="0"/>
                    <w:keepLines w:val="0"/>
                    <w:suppressLineNumbers w:val="0"/>
                    <w:adjustRightInd w:val="0"/>
                    <w:snapToGrid w:val="0"/>
                    <w:spacing w:before="0" w:beforeAutospacing="0" w:after="0" w:afterAutospacing="0"/>
                    <w:ind w:left="0" w:right="0"/>
                    <w:jc w:val="center"/>
                    <w:rPr>
                      <w:rStyle w:val="93"/>
                      <w:rFonts w:hint="default" w:ascii="Times New Roman" w:hAnsi="Times New Roman" w:eastAsia="宋体" w:cs="Times New Roman"/>
                      <w:color w:val="auto"/>
                      <w:spacing w:val="-6"/>
                      <w:sz w:val="21"/>
                      <w:szCs w:val="21"/>
                      <w:lang w:val="en-US" w:eastAsia="en-US" w:bidi="ar"/>
                    </w:rPr>
                  </w:pPr>
                  <w:r>
                    <w:rPr>
                      <w:rStyle w:val="93"/>
                      <w:rFonts w:hint="default" w:ascii="Times New Roman" w:hAnsi="Times New Roman" w:eastAsia="宋体" w:cs="Times New Roman"/>
                      <w:color w:val="auto"/>
                      <w:spacing w:val="-6"/>
                      <w:sz w:val="21"/>
                      <w:szCs w:val="21"/>
                      <w:lang w:val="en-US" w:eastAsia="en-US" w:bidi="ar"/>
                    </w:rPr>
                    <w:t>1、严格执行淄博市高污染燃料禁燃区划定范围及管控要求。</w:t>
                  </w:r>
                </w:p>
                <w:p w14:paraId="25F7F767">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2、加强农业节水，提高水资源使用效率。</w:t>
                  </w:r>
                </w:p>
                <w:p w14:paraId="745B0296">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3、提升土地集约化水平。</w:t>
                  </w:r>
                </w:p>
                <w:p w14:paraId="090A4458">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lang w:val="en-US" w:eastAsia="en-US"/>
                    </w:rPr>
                    <w:t>4、调整能源利用结构，控制煤炭消费量，实现减量化，鼓励使用清洁能源、新能源和可再生能源。</w:t>
                  </w:r>
                </w:p>
              </w:tc>
              <w:tc>
                <w:tcPr>
                  <w:tcW w:w="2087" w:type="dxa"/>
                  <w:tcBorders>
                    <w:tl2br w:val="nil"/>
                    <w:tr2bl w:val="nil"/>
                  </w:tcBorders>
                  <w:noWrap w:val="0"/>
                  <w:vAlign w:val="center"/>
                </w:tcPr>
                <w:p w14:paraId="66FF5A7A">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1、本项目不涉及。</w:t>
                  </w:r>
                </w:p>
                <w:p w14:paraId="4DDD2A56">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2、本项目不涉及。</w:t>
                  </w:r>
                </w:p>
                <w:p w14:paraId="50ABA158">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3、本项目不涉及。</w:t>
                  </w:r>
                </w:p>
                <w:p w14:paraId="52A2FC7D">
                  <w:pPr>
                    <w:pStyle w:val="91"/>
                    <w:keepNext w:val="0"/>
                    <w:keepLines w:val="0"/>
                    <w:widowControl w:val="0"/>
                    <w:suppressLineNumbers w:val="0"/>
                    <w:shd w:val="clear" w:color="auto" w:fill="auto"/>
                    <w:bidi w:val="0"/>
                    <w:spacing w:before="0" w:beforeAutospacing="0" w:after="0" w:afterAutospacing="0" w:line="240" w:lineRule="auto"/>
                    <w:ind w:left="0" w:right="0"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4、本项目不涉及。</w:t>
                  </w:r>
                </w:p>
              </w:tc>
              <w:tc>
                <w:tcPr>
                  <w:tcW w:w="925" w:type="dxa"/>
                  <w:tcBorders>
                    <w:tl2br w:val="nil"/>
                    <w:tr2bl w:val="nil"/>
                  </w:tcBorders>
                  <w:noWrap w:val="0"/>
                  <w:vAlign w:val="center"/>
                </w:tcPr>
                <w:p w14:paraId="168F02D3">
                  <w:pPr>
                    <w:keepNext w:val="0"/>
                    <w:keepLines w:val="0"/>
                    <w:widowControl w:val="0"/>
                    <w:suppressLineNumbers w:val="0"/>
                    <w:shd w:val="clear" w:color="auto" w:fill="auto"/>
                    <w:bidi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符合</w:t>
                  </w:r>
                </w:p>
              </w:tc>
            </w:tr>
          </w:tbl>
          <w:p w14:paraId="3DAD39AA">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lang w:val="en-US" w:eastAsia="zh-CN"/>
              </w:rPr>
            </w:pPr>
          </w:p>
        </w:tc>
      </w:tr>
      <w:tr w14:paraId="7C85D4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4" w:type="dxa"/>
            <w:noWrap w:val="0"/>
            <w:vAlign w:val="center"/>
          </w:tcPr>
          <w:p w14:paraId="18344E9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其他符合性分析</w:t>
            </w:r>
          </w:p>
        </w:tc>
        <w:tc>
          <w:tcPr>
            <w:tcW w:w="7612" w:type="dxa"/>
            <w:gridSpan w:val="3"/>
            <w:noWrap w:val="0"/>
            <w:vAlign w:val="center"/>
          </w:tcPr>
          <w:p w14:paraId="6CB92A22">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1、产业政策分析</w:t>
            </w:r>
          </w:p>
          <w:p w14:paraId="1F07F63A">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项目属于国民经济行业分类（GB/T4754-2017）中的</w:t>
            </w:r>
            <w:r>
              <w:rPr>
                <w:rFonts w:hint="eastAsia" w:ascii="Times New Roman" w:hAnsi="Times New Roman" w:eastAsia="宋体" w:cs="Times New Roman"/>
                <w:color w:val="auto"/>
                <w:sz w:val="24"/>
                <w:szCs w:val="24"/>
                <w:lang w:eastAsia="zh-CN"/>
              </w:rPr>
              <w:t>C3099其他非金属矿物制品制造</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eastAsia="宋体" w:cs="Times New Roman"/>
                <w:color w:val="auto"/>
                <w:sz w:val="24"/>
                <w:szCs w:val="32"/>
                <w:highlight w:val="none"/>
              </w:rPr>
              <w:t>不属于《产业结构调整指导目录（20</w:t>
            </w:r>
            <w:r>
              <w:rPr>
                <w:rFonts w:hint="default" w:ascii="Times New Roman" w:hAnsi="Times New Roman" w:eastAsia="宋体" w:cs="Times New Roman"/>
                <w:color w:val="auto"/>
                <w:sz w:val="24"/>
                <w:szCs w:val="32"/>
                <w:highlight w:val="none"/>
                <w:lang w:val="en-US" w:eastAsia="zh-CN"/>
              </w:rPr>
              <w:t>24</w:t>
            </w:r>
            <w:r>
              <w:rPr>
                <w:rFonts w:hint="default" w:ascii="Times New Roman" w:hAnsi="Times New Roman" w:eastAsia="宋体" w:cs="Times New Roman"/>
                <w:color w:val="auto"/>
                <w:sz w:val="24"/>
                <w:szCs w:val="32"/>
                <w:highlight w:val="none"/>
              </w:rPr>
              <w:t>年本）》中“鼓励类”、“限制类”</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“淘汰类”及《山东省禁止、限制供地项目目录》中的“禁止类”和“限制类”，</w:t>
            </w:r>
            <w:r>
              <w:rPr>
                <w:rFonts w:hint="default" w:ascii="Times New Roman" w:hAnsi="Times New Roman" w:eastAsia="宋体" w:cs="Times New Roman"/>
                <w:color w:val="auto"/>
                <w:sz w:val="24"/>
                <w:szCs w:val="32"/>
                <w:highlight w:val="none"/>
                <w:lang w:val="en-US" w:eastAsia="zh-CN"/>
              </w:rPr>
              <w:t>则本项目</w:t>
            </w:r>
            <w:r>
              <w:rPr>
                <w:rFonts w:hint="default" w:ascii="Times New Roman" w:hAnsi="Times New Roman" w:eastAsia="宋体" w:cs="Times New Roman"/>
                <w:color w:val="auto"/>
                <w:sz w:val="24"/>
                <w:szCs w:val="32"/>
                <w:highlight w:val="none"/>
              </w:rPr>
              <w:t>属于允许建设项目，符合国家的产业政策。</w:t>
            </w:r>
          </w:p>
          <w:p w14:paraId="737F44C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本项目于202</w:t>
            </w:r>
            <w:r>
              <w:rPr>
                <w:rFonts w:hint="default" w:ascii="Times New Roman" w:hAnsi="Times New Roman" w:eastAsia="宋体" w:cs="Times New Roman"/>
                <w:color w:val="auto"/>
                <w:sz w:val="24"/>
                <w:szCs w:val="32"/>
                <w:highlight w:val="none"/>
                <w:lang w:val="en-US" w:eastAsia="zh-CN"/>
              </w:rPr>
              <w:t>5</w:t>
            </w:r>
            <w:r>
              <w:rPr>
                <w:rFonts w:hint="default" w:ascii="Times New Roman" w:hAnsi="Times New Roman" w:eastAsia="宋体" w:cs="Times New Roman"/>
                <w:color w:val="auto"/>
                <w:sz w:val="24"/>
                <w:szCs w:val="32"/>
                <w:highlight w:val="none"/>
              </w:rPr>
              <w:t>年</w:t>
            </w:r>
            <w:r>
              <w:rPr>
                <w:rFonts w:hint="eastAsia" w:ascii="Times New Roman" w:hAnsi="Times New Roman" w:eastAsia="宋体" w:cs="Times New Roman"/>
                <w:color w:val="auto"/>
                <w:sz w:val="24"/>
                <w:szCs w:val="32"/>
                <w:highlight w:val="none"/>
                <w:lang w:val="en-US" w:eastAsia="zh-CN"/>
              </w:rPr>
              <w:t>7</w:t>
            </w:r>
            <w:r>
              <w:rPr>
                <w:rFonts w:hint="default" w:ascii="Times New Roman" w:hAnsi="Times New Roman" w:eastAsia="宋体" w:cs="Times New Roman"/>
                <w:color w:val="auto"/>
                <w:sz w:val="24"/>
                <w:szCs w:val="32"/>
                <w:highlight w:val="none"/>
              </w:rPr>
              <w:t>月</w:t>
            </w:r>
            <w:r>
              <w:rPr>
                <w:rFonts w:hint="eastAsia" w:ascii="Times New Roman" w:hAnsi="Times New Roman" w:eastAsia="宋体" w:cs="Times New Roman"/>
                <w:color w:val="auto"/>
                <w:sz w:val="24"/>
                <w:szCs w:val="32"/>
                <w:highlight w:val="none"/>
                <w:lang w:val="en-US" w:eastAsia="zh-CN"/>
              </w:rPr>
              <w:t>9</w:t>
            </w:r>
            <w:r>
              <w:rPr>
                <w:rFonts w:hint="default" w:ascii="Times New Roman" w:hAnsi="Times New Roman" w:eastAsia="宋体" w:cs="Times New Roman"/>
                <w:color w:val="auto"/>
                <w:sz w:val="24"/>
                <w:szCs w:val="32"/>
                <w:highlight w:val="none"/>
              </w:rPr>
              <w:t>日在山东省投资项目在线审批监管平台备案，备案文号为：</w:t>
            </w:r>
            <w:r>
              <w:rPr>
                <w:rFonts w:hint="eastAsia" w:ascii="Times New Roman" w:hAnsi="Times New Roman" w:eastAsia="宋体" w:cs="Times New Roman"/>
                <w:color w:val="auto"/>
                <w:sz w:val="24"/>
                <w:szCs w:val="32"/>
                <w:highlight w:val="none"/>
                <w:lang w:val="en-US" w:eastAsia="zh-CN"/>
              </w:rPr>
              <w:t>2507-370302-89-03-511785</w:t>
            </w:r>
            <w:r>
              <w:rPr>
                <w:rFonts w:hint="default" w:ascii="Times New Roman" w:hAnsi="Times New Roman" w:eastAsia="宋体" w:cs="Times New Roman"/>
                <w:color w:val="auto"/>
                <w:sz w:val="24"/>
                <w:szCs w:val="32"/>
                <w:highlight w:val="none"/>
              </w:rPr>
              <w:t>。</w:t>
            </w:r>
          </w:p>
          <w:p w14:paraId="23552DF4">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综上所述，本项目的建设符合国家及淄博市产业政策的要求。</w:t>
            </w:r>
          </w:p>
          <w:p w14:paraId="0B98A133">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2、地方法规符合性分析</w:t>
            </w:r>
          </w:p>
          <w:p w14:paraId="66BD9B5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highlight w:val="none"/>
              </w:rPr>
              <w:t>本项目所用设备、生产工艺不属于淄博市《全市重点淘汰的落后工艺技术、装备及产品目录》中落后的工艺技术、装备及产品项目，不属于淄博市人民政府办公厅发布的《关于印发淄博市产业结构调整指导意见和指导目录的通知》（淄政办发[2011]35号）中鼓励类、限制类和淘汰类之列，</w:t>
            </w:r>
            <w:r>
              <w:rPr>
                <w:rFonts w:hint="default" w:ascii="Times New Roman" w:hAnsi="Times New Roman" w:eastAsia="宋体" w:cs="Times New Roman"/>
                <w:color w:val="auto"/>
                <w:sz w:val="24"/>
                <w:highlight w:val="none"/>
                <w:lang w:val="en-US" w:eastAsia="zh-CN"/>
              </w:rPr>
              <w:t>则</w:t>
            </w:r>
            <w:r>
              <w:rPr>
                <w:rFonts w:hint="default" w:ascii="Times New Roman" w:hAnsi="Times New Roman" w:eastAsia="宋体" w:cs="Times New Roman"/>
                <w:color w:val="auto"/>
                <w:sz w:val="24"/>
                <w:highlight w:val="none"/>
              </w:rPr>
              <w:t>本项目属允许类项目，符合淄博市的产业政策。</w:t>
            </w:r>
          </w:p>
          <w:p w14:paraId="0674AC1A">
            <w:pPr>
              <w:keepNext w:val="0"/>
              <w:keepLines w:val="0"/>
              <w:numPr>
                <w:ilvl w:val="0"/>
                <w:numId w:val="0"/>
              </w:numPr>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土地利用总体规划符合性分析</w:t>
            </w:r>
          </w:p>
          <w:p w14:paraId="0422A04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szCs w:val="32"/>
                <w:highlight w:val="none"/>
              </w:rPr>
              <w:t>本项目厂址位于</w:t>
            </w:r>
            <w:r>
              <w:rPr>
                <w:rFonts w:hint="eastAsia" w:ascii="Times New Roman" w:hAnsi="Times New Roman" w:eastAsia="宋体" w:cs="Times New Roman"/>
                <w:color w:val="auto"/>
                <w:sz w:val="24"/>
                <w:highlight w:val="none"/>
                <w:lang w:val="en-US" w:eastAsia="zh-CN"/>
              </w:rPr>
              <w:t>山东省淄博市淄川区双杨镇小庄村沿河路东部现有厂房</w:t>
            </w:r>
            <w:r>
              <w:rPr>
                <w:rFonts w:hint="default" w:ascii="Times New Roman" w:hAnsi="Times New Roman" w:eastAsia="宋体" w:cs="Times New Roman"/>
                <w:color w:val="auto"/>
                <w:sz w:val="24"/>
                <w:highlight w:val="none"/>
                <w:lang w:val="en-US" w:eastAsia="zh-CN"/>
              </w:rPr>
              <w:t>。项目选址不属于自然资源部国家发展和改革委员会国家林业和草原局关于印发《自然资源要素支撑产业高质量发展指导目录 （2024 年本）》的通知（自然资发〔2024〕273 号）中的鼓励类、限制类和禁止类，则属于允许类，可依法办理相关手续。根据</w:t>
            </w:r>
            <w:r>
              <w:rPr>
                <w:rFonts w:hint="default" w:ascii="Times New Roman" w:hAnsi="Times New Roman" w:eastAsia="宋体" w:cs="Times New Roman"/>
                <w:color w:val="auto"/>
                <w:sz w:val="24"/>
                <w:lang w:val="en-US" w:eastAsia="zh-CN"/>
              </w:rPr>
              <w:t>《淄川区双杨镇工业集聚区总体规划（2021-2035）》</w:t>
            </w:r>
            <w:r>
              <w:rPr>
                <w:rFonts w:hint="default" w:ascii="Times New Roman" w:hAnsi="Times New Roman" w:eastAsia="宋体" w:cs="Times New Roman"/>
                <w:color w:val="auto"/>
                <w:sz w:val="24"/>
                <w:highlight w:val="none"/>
                <w:lang w:val="en-US" w:eastAsia="zh-CN"/>
              </w:rPr>
              <w:t>，该项目为工业用地，位于</w:t>
            </w:r>
            <w:r>
              <w:rPr>
                <w:rFonts w:hint="eastAsia" w:ascii="Times New Roman" w:hAnsi="Times New Roman" w:eastAsia="宋体" w:cs="Times New Roman"/>
                <w:color w:val="auto"/>
                <w:sz w:val="24"/>
                <w:highlight w:val="none"/>
                <w:lang w:val="en-US" w:eastAsia="zh-CN"/>
              </w:rPr>
              <w:t>双杨镇工业集聚区新材料区</w:t>
            </w:r>
            <w:r>
              <w:rPr>
                <w:rFonts w:hint="default" w:ascii="Times New Roman" w:hAnsi="Times New Roman" w:eastAsia="宋体" w:cs="Times New Roman"/>
                <w:color w:val="auto"/>
                <w:sz w:val="24"/>
                <w:highlight w:val="none"/>
                <w:lang w:val="en-US" w:eastAsia="zh-CN"/>
              </w:rPr>
              <w:t>。本项目利用已建好厂房进行建设，不改变现有土地使用功能。因此，本项目的建设符合国家及地方的用地规划，选址合理。</w:t>
            </w:r>
          </w:p>
          <w:p w14:paraId="164EED32">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3、“</w:t>
            </w:r>
            <w:r>
              <w:rPr>
                <w:rFonts w:hint="default" w:ascii="Times New Roman" w:hAnsi="Times New Roman" w:cs="Times New Roman"/>
                <w:b/>
                <w:bCs/>
                <w:color w:val="auto"/>
                <w:sz w:val="24"/>
                <w:highlight w:val="none"/>
                <w:lang w:val="en-US" w:eastAsia="zh-CN"/>
              </w:rPr>
              <w:t>三区三线</w:t>
            </w:r>
            <w:r>
              <w:rPr>
                <w:rFonts w:hint="default" w:ascii="Times New Roman" w:hAnsi="Times New Roman" w:cs="Times New Roman"/>
                <w:b/>
                <w:bCs/>
                <w:color w:val="auto"/>
                <w:sz w:val="24"/>
                <w:highlight w:val="none"/>
              </w:rPr>
              <w:t>”符合性判定</w:t>
            </w:r>
          </w:p>
          <w:p w14:paraId="467A8295">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（1）与淄博市国土空间规划三区三线符合性分析</w:t>
            </w:r>
          </w:p>
          <w:p w14:paraId="787DAA96">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项目位于</w:t>
            </w:r>
            <w:r>
              <w:rPr>
                <w:rFonts w:hint="eastAsia" w:ascii="Times New Roman" w:hAnsi="Times New Roman" w:eastAsia="宋体" w:cs="Times New Roman"/>
                <w:color w:val="auto"/>
                <w:sz w:val="24"/>
                <w:highlight w:val="none"/>
                <w:lang w:val="en-US" w:eastAsia="zh-CN"/>
              </w:rPr>
              <w:t>山东省淄博市淄川区双杨镇小庄村沿河路东部现有厂房</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kern w:val="0"/>
                <w:sz w:val="24"/>
                <w:szCs w:val="24"/>
                <w:highlight w:val="none"/>
                <w:lang w:val="en-US" w:eastAsia="zh-CN"/>
              </w:rPr>
              <w:t>租赁现有厂房进行生产建设</w:t>
            </w:r>
            <w:r>
              <w:rPr>
                <w:rFonts w:hint="default" w:ascii="Times New Roman" w:hAnsi="Times New Roman" w:cs="Times New Roman"/>
                <w:color w:val="auto"/>
                <w:kern w:val="0"/>
                <w:sz w:val="24"/>
                <w:szCs w:val="24"/>
                <w:highlight w:val="none"/>
              </w:rPr>
              <w:t>，</w:t>
            </w:r>
            <w:r>
              <w:rPr>
                <w:rFonts w:hint="default"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lang w:val="en-US" w:eastAsia="zh-CN"/>
              </w:rPr>
              <w:t>《淄川区双杨镇工业集聚区总体规划（2021-2035）》</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项目</w:t>
            </w:r>
            <w:r>
              <w:rPr>
                <w:rFonts w:hint="default" w:ascii="Times New Roman" w:hAnsi="Times New Roman" w:cs="Times New Roman"/>
                <w:color w:val="auto"/>
                <w:kern w:val="0"/>
                <w:sz w:val="24"/>
                <w:szCs w:val="24"/>
                <w:highlight w:val="none"/>
                <w:lang w:val="en-US" w:eastAsia="zh-CN"/>
              </w:rPr>
              <w:t>位于城镇开发边界内，</w:t>
            </w:r>
            <w:r>
              <w:rPr>
                <w:rFonts w:hint="default" w:ascii="Times New Roman" w:hAnsi="Times New Roman" w:cs="Times New Roman"/>
                <w:color w:val="auto"/>
                <w:kern w:val="0"/>
                <w:sz w:val="24"/>
                <w:szCs w:val="24"/>
                <w:highlight w:val="none"/>
              </w:rPr>
              <w:t>不占用</w:t>
            </w:r>
            <w:r>
              <w:rPr>
                <w:rFonts w:hint="default" w:ascii="Times New Roman" w:hAnsi="Times New Roman" w:cs="Times New Roman"/>
                <w:color w:val="auto"/>
                <w:kern w:val="0"/>
                <w:sz w:val="24"/>
                <w:szCs w:val="24"/>
                <w:highlight w:val="none"/>
                <w:lang w:val="en-US" w:eastAsia="zh-CN"/>
              </w:rPr>
              <w:t>永久</w:t>
            </w:r>
            <w:r>
              <w:rPr>
                <w:rFonts w:hint="default" w:ascii="Times New Roman" w:hAnsi="Times New Roman" w:cs="Times New Roman"/>
                <w:color w:val="auto"/>
                <w:kern w:val="0"/>
                <w:sz w:val="24"/>
                <w:szCs w:val="24"/>
                <w:highlight w:val="none"/>
              </w:rPr>
              <w:t>基本农田</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生态保护红线，</w:t>
            </w:r>
            <w:r>
              <w:rPr>
                <w:rFonts w:hint="default" w:ascii="Times New Roman" w:hAnsi="Times New Roman" w:cs="Times New Roman"/>
                <w:color w:val="auto"/>
                <w:kern w:val="0"/>
                <w:sz w:val="24"/>
                <w:szCs w:val="24"/>
                <w:highlight w:val="none"/>
              </w:rPr>
              <w:t>符合淄博市国土空间规划三区三线要求</w:t>
            </w:r>
            <w:r>
              <w:rPr>
                <w:rFonts w:hint="default" w:ascii="Times New Roman" w:hAnsi="Times New Roman" w:cs="Times New Roman"/>
                <w:color w:val="auto"/>
                <w:sz w:val="24"/>
                <w:highlight w:val="none"/>
              </w:rPr>
              <w:t>。</w:t>
            </w:r>
          </w:p>
          <w:p w14:paraId="3A5CDB1E">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（2）环境质量底线符合性判定</w:t>
            </w:r>
          </w:p>
          <w:p w14:paraId="03FFF29E">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项目周边环境空气质量不符合《环境空气质量标准》（GB3095-2012）二级质量要求；项目区域地表水</w:t>
            </w:r>
            <w:r>
              <w:rPr>
                <w:rFonts w:hint="default" w:ascii="Times New Roman" w:hAnsi="Times New Roman" w:cs="Times New Roman"/>
                <w:color w:val="auto"/>
                <w:kern w:val="0"/>
                <w:sz w:val="24"/>
                <w:highlight w:val="none"/>
              </w:rPr>
              <w:t>孝妇河</w:t>
            </w:r>
            <w:r>
              <w:rPr>
                <w:rFonts w:hint="default" w:ascii="Times New Roman" w:hAnsi="Times New Roman" w:cs="Times New Roman"/>
                <w:color w:val="auto"/>
                <w:sz w:val="24"/>
                <w:highlight w:val="none"/>
              </w:rPr>
              <w:t>水质</w:t>
            </w:r>
            <w:r>
              <w:rPr>
                <w:rFonts w:hint="default" w:ascii="Times New Roman" w:hAnsi="Times New Roman" w:cs="Times New Roman"/>
                <w:color w:val="auto"/>
                <w:sz w:val="24"/>
                <w:highlight w:val="none"/>
                <w:lang w:val="en-US" w:eastAsia="zh-CN"/>
              </w:rPr>
              <w:t>不能</w:t>
            </w:r>
            <w:r>
              <w:rPr>
                <w:rFonts w:hint="default" w:ascii="Times New Roman" w:hAnsi="Times New Roman" w:cs="Times New Roman"/>
                <w:color w:val="auto"/>
                <w:sz w:val="24"/>
                <w:highlight w:val="none"/>
              </w:rPr>
              <w:t>满足《地表水环境质量标准》（GB3838-2002）中的</w:t>
            </w:r>
            <w:r>
              <w:rPr>
                <w:rFonts w:hint="default" w:ascii="Times New Roman" w:hAnsi="Times New Roman" w:cs="Times New Roman"/>
                <w:color w:val="auto"/>
                <w:kern w:val="0"/>
                <w:sz w:val="24"/>
                <w:highlight w:val="none"/>
              </w:rPr>
              <w:t>V</w:t>
            </w:r>
            <w:r>
              <w:rPr>
                <w:rFonts w:hint="default" w:ascii="Times New Roman" w:hAnsi="Times New Roman" w:cs="Times New Roman"/>
                <w:color w:val="auto"/>
                <w:sz w:val="24"/>
                <w:highlight w:val="none"/>
              </w:rPr>
              <w:t>类标准；项目区域地下水符合《地下水质量标准》（GB/T14848-2017）Ⅲ类标准要求；项目区域噪声符合《声环境质量标准》（GB3096-2008）</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类标准要求。</w:t>
            </w:r>
            <w:r>
              <w:rPr>
                <w:rFonts w:hint="default" w:ascii="Times New Roman" w:hAnsi="Times New Roman" w:cs="Times New Roman"/>
                <w:color w:val="auto"/>
                <w:kern w:val="0"/>
                <w:sz w:val="24"/>
                <w:highlight w:val="none"/>
              </w:rPr>
              <w:t>该项目所排放的污染物对周围环境的影响较小，在可接受范围之内。</w:t>
            </w:r>
            <w:r>
              <w:rPr>
                <w:rFonts w:hint="default" w:ascii="Times New Roman" w:hAnsi="Times New Roman" w:cs="Times New Roman"/>
                <w:color w:val="auto"/>
                <w:sz w:val="24"/>
                <w:szCs w:val="32"/>
                <w:highlight w:val="none"/>
              </w:rPr>
              <w:t>项目所排放的污染物满足相关排放标准，满足总量控制指标的要求，不影响当地污染物减排任务的完成，该项目对周围环境的影响程度不大，满足环境质量底线要求。</w:t>
            </w:r>
          </w:p>
          <w:p w14:paraId="1C7B8519">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（3）资源利用上线：项目所需能源主要为电</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天然气</w:t>
            </w:r>
            <w:r>
              <w:rPr>
                <w:rFonts w:hint="default" w:ascii="Times New Roman" w:hAnsi="Times New Roman" w:cs="Times New Roman"/>
                <w:color w:val="auto"/>
                <w:sz w:val="24"/>
                <w:highlight w:val="none"/>
              </w:rPr>
              <w:t>，电由</w:t>
            </w:r>
            <w:r>
              <w:rPr>
                <w:rFonts w:hint="default" w:ascii="Times New Roman" w:hAnsi="Times New Roman" w:cs="Times New Roman"/>
                <w:color w:val="auto"/>
                <w:sz w:val="24"/>
                <w:highlight w:val="none"/>
                <w:lang w:eastAsia="zh-CN"/>
              </w:rPr>
              <w:t>淄博淄川区</w:t>
            </w:r>
            <w:r>
              <w:rPr>
                <w:rFonts w:hint="default" w:ascii="Times New Roman" w:hAnsi="Times New Roman" w:cs="Times New Roman"/>
                <w:color w:val="auto"/>
                <w:sz w:val="24"/>
                <w:highlight w:val="none"/>
              </w:rPr>
              <w:t>电网供给，</w:t>
            </w:r>
            <w:r>
              <w:rPr>
                <w:rFonts w:hint="eastAsia" w:ascii="Times New Roman" w:hAnsi="Times New Roman" w:cs="Times New Roman"/>
                <w:color w:val="auto"/>
                <w:sz w:val="24"/>
                <w:highlight w:val="none"/>
                <w:lang w:val="en-US" w:eastAsia="zh-CN"/>
              </w:rPr>
              <w:t>天然气由当地燃气公司供给，</w:t>
            </w:r>
            <w:r>
              <w:rPr>
                <w:rFonts w:hint="default" w:ascii="Times New Roman" w:hAnsi="Times New Roman" w:cs="Times New Roman"/>
                <w:color w:val="auto"/>
                <w:sz w:val="24"/>
                <w:highlight w:val="none"/>
              </w:rPr>
              <w:t>足够满足项目使用。项目资源利用量相对于区域资源利用总量较少，符合资源利用上线的要求。</w:t>
            </w:r>
          </w:p>
          <w:p w14:paraId="272762D1">
            <w:pPr>
              <w:pStyle w:val="16"/>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生态</w:t>
            </w:r>
            <w:r>
              <w:rPr>
                <w:rFonts w:hint="default" w:ascii="Times New Roman" w:hAnsi="Times New Roman" w:cs="Times New Roman"/>
                <w:color w:val="auto"/>
                <w:szCs w:val="24"/>
                <w:highlight w:val="none"/>
              </w:rPr>
              <w:t>环境准入清单</w:t>
            </w:r>
          </w:p>
          <w:p w14:paraId="6180A85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zh-CN"/>
              </w:rPr>
              <w:t>根据淄博市生态环境委员会办公室关于印发《淄博市2023年生态环境分区管控成果动态更新项目生态环境准入清单》的通知，</w:t>
            </w:r>
            <w:r>
              <w:rPr>
                <w:rFonts w:hint="default" w:ascii="Times New Roman" w:hAnsi="Times New Roman" w:eastAsia="宋体" w:cs="Times New Roman"/>
                <w:color w:val="auto"/>
                <w:sz w:val="24"/>
                <w:highlight w:val="none"/>
              </w:rPr>
              <w:t>项目位于</w:t>
            </w:r>
            <w:r>
              <w:rPr>
                <w:rFonts w:hint="default" w:ascii="Times New Roman" w:hAnsi="Times New Roman" w:eastAsia="宋体" w:cs="Times New Roman"/>
                <w:color w:val="auto"/>
                <w:sz w:val="24"/>
                <w:highlight w:val="none"/>
                <w:lang w:eastAsia="zh-CN"/>
              </w:rPr>
              <w:t>淄博淄川区</w:t>
            </w:r>
            <w:r>
              <w:rPr>
                <w:rFonts w:hint="default" w:ascii="Times New Roman" w:hAnsi="Times New Roman" w:eastAsia="宋体" w:cs="Times New Roman"/>
                <w:color w:val="auto"/>
                <w:sz w:val="24"/>
                <w:highlight w:val="none"/>
                <w:lang w:val="en-US" w:eastAsia="zh-CN"/>
              </w:rPr>
              <w:t>双杨镇，</w:t>
            </w:r>
            <w:r>
              <w:rPr>
                <w:rFonts w:hint="default" w:ascii="Times New Roman" w:hAnsi="Times New Roman" w:eastAsia="宋体" w:cs="Times New Roman"/>
                <w:color w:val="auto"/>
                <w:sz w:val="24"/>
                <w:highlight w:val="none"/>
              </w:rPr>
              <w:t>属于</w:t>
            </w:r>
            <w:r>
              <w:rPr>
                <w:rFonts w:hint="default" w:ascii="Times New Roman" w:hAnsi="Times New Roman" w:eastAsia="宋体" w:cs="Times New Roman"/>
                <w:color w:val="auto"/>
                <w:sz w:val="24"/>
                <w:highlight w:val="none"/>
                <w:lang w:val="en-US" w:eastAsia="zh-CN"/>
              </w:rPr>
              <w:t>重点</w:t>
            </w:r>
            <w:r>
              <w:rPr>
                <w:rFonts w:hint="default" w:ascii="Times New Roman" w:hAnsi="Times New Roman" w:eastAsia="宋体" w:cs="Times New Roman"/>
                <w:color w:val="auto"/>
                <w:sz w:val="24"/>
                <w:highlight w:val="none"/>
              </w:rPr>
              <w:t>管控单元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编码ZH37030220003，</w:t>
            </w:r>
            <w:r>
              <w:rPr>
                <w:rFonts w:hint="default" w:ascii="Times New Roman" w:hAnsi="Times New Roman" w:eastAsia="宋体" w:cs="Times New Roman"/>
                <w:color w:val="auto"/>
                <w:sz w:val="24"/>
                <w:highlight w:val="none"/>
              </w:rPr>
              <w:t>项目与《</w:t>
            </w:r>
            <w:r>
              <w:rPr>
                <w:rFonts w:hint="default" w:ascii="Times New Roman" w:hAnsi="Times New Roman" w:eastAsia="宋体" w:cs="Times New Roman"/>
                <w:color w:val="auto"/>
                <w:sz w:val="24"/>
                <w:highlight w:val="none"/>
                <w:lang w:val="zh-CN"/>
              </w:rPr>
              <w:t>淄博市2023年生态环境分区管控成果动态更新项目生态环境准入清单</w:t>
            </w:r>
            <w:r>
              <w:rPr>
                <w:rFonts w:hint="default" w:ascii="Times New Roman" w:hAnsi="Times New Roman" w:eastAsia="宋体" w:cs="Times New Roman"/>
                <w:color w:val="auto"/>
                <w:sz w:val="24"/>
                <w:highlight w:val="none"/>
              </w:rPr>
              <w:t>》符合性分析如下：</w:t>
            </w:r>
          </w:p>
          <w:p w14:paraId="38A7A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 xml:space="preserve">表 1-5 </w:t>
            </w:r>
            <w:r>
              <w:rPr>
                <w:rFonts w:hint="default" w:ascii="Times New Roman" w:hAnsi="Times New Roman" w:cs="Times New Roman"/>
                <w:b/>
                <w:color w:val="auto"/>
                <w:szCs w:val="21"/>
                <w:lang w:val="zh-CN"/>
              </w:rPr>
              <w:t>与《淄博市2023年生态环境分区管控成果动态更新项目生态环境准入清单》双杨镇环境管控单元符合性分析</w:t>
            </w:r>
            <w:r>
              <w:rPr>
                <w:rFonts w:hint="default" w:ascii="Times New Roman" w:hAnsi="Times New Roman" w:cs="Times New Roman"/>
                <w:b/>
                <w:color w:val="auto"/>
                <w:szCs w:val="21"/>
              </w:rPr>
              <w:t>表</w:t>
            </w:r>
          </w:p>
          <w:tbl>
            <w:tblPr>
              <w:tblStyle w:val="32"/>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81"/>
              <w:gridCol w:w="3816"/>
              <w:gridCol w:w="1697"/>
              <w:gridCol w:w="1178"/>
            </w:tblGrid>
            <w:tr w14:paraId="5FA73A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tcBorders>
                    <w:tl2br w:val="nil"/>
                    <w:tr2bl w:val="nil"/>
                  </w:tcBorders>
                  <w:noWrap w:val="0"/>
                  <w:vAlign w:val="center"/>
                </w:tcPr>
                <w:p w14:paraId="428FB6C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分类</w:t>
                  </w:r>
                </w:p>
              </w:tc>
              <w:tc>
                <w:tcPr>
                  <w:tcW w:w="3818" w:type="dxa"/>
                  <w:tcBorders>
                    <w:tl2br w:val="nil"/>
                    <w:tr2bl w:val="nil"/>
                  </w:tcBorders>
                  <w:noWrap w:val="0"/>
                  <w:vAlign w:val="center"/>
                </w:tcPr>
                <w:p w14:paraId="3C46F90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文件要求</w:t>
                  </w:r>
                </w:p>
              </w:tc>
              <w:tc>
                <w:tcPr>
                  <w:tcW w:w="1698" w:type="dxa"/>
                  <w:tcBorders>
                    <w:tl2br w:val="nil"/>
                    <w:tr2bl w:val="nil"/>
                  </w:tcBorders>
                  <w:noWrap w:val="0"/>
                  <w:vAlign w:val="center"/>
                </w:tcPr>
                <w:p w14:paraId="41D2CEC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本项目情况</w:t>
                  </w:r>
                </w:p>
              </w:tc>
              <w:tc>
                <w:tcPr>
                  <w:tcW w:w="1178" w:type="dxa"/>
                  <w:tcBorders>
                    <w:tl2br w:val="nil"/>
                    <w:tr2bl w:val="nil"/>
                  </w:tcBorders>
                  <w:noWrap w:val="0"/>
                  <w:vAlign w:val="center"/>
                </w:tcPr>
                <w:p w14:paraId="50714DE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符合情况</w:t>
                  </w:r>
                </w:p>
              </w:tc>
            </w:tr>
            <w:tr w14:paraId="6F1202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restart"/>
                  <w:tcBorders>
                    <w:tl2br w:val="nil"/>
                    <w:tr2bl w:val="nil"/>
                  </w:tcBorders>
                  <w:noWrap w:val="0"/>
                  <w:vAlign w:val="center"/>
                </w:tcPr>
                <w:p w14:paraId="348ADC2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空间 约束 布局</w:t>
                  </w:r>
                </w:p>
              </w:tc>
              <w:tc>
                <w:tcPr>
                  <w:tcW w:w="3818" w:type="dxa"/>
                  <w:tcBorders>
                    <w:tl2br w:val="nil"/>
                    <w:tr2bl w:val="nil"/>
                  </w:tcBorders>
                  <w:noWrap w:val="0"/>
                  <w:vAlign w:val="center"/>
                </w:tcPr>
                <w:p w14:paraId="3213691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1.</w:t>
                  </w:r>
                  <w:r>
                    <w:rPr>
                      <w:rStyle w:val="93"/>
                      <w:rFonts w:hint="default" w:ascii="Times New Roman" w:hAnsi="Times New Roman" w:eastAsia="宋体" w:cs="Times New Roman"/>
                      <w:color w:val="auto"/>
                      <w:sz w:val="21"/>
                      <w:szCs w:val="21"/>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p>
              </w:tc>
              <w:tc>
                <w:tcPr>
                  <w:tcW w:w="1698" w:type="dxa"/>
                  <w:tcBorders>
                    <w:tl2br w:val="nil"/>
                    <w:tr2bl w:val="nil"/>
                  </w:tcBorders>
                  <w:noWrap w:val="0"/>
                  <w:vAlign w:val="center"/>
                </w:tcPr>
                <w:p w14:paraId="4F84621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Style w:val="93"/>
                      <w:rFonts w:hint="default" w:ascii="Times New Roman" w:hAnsi="Times New Roman" w:eastAsia="宋体" w:cs="Times New Roman"/>
                      <w:color w:val="auto"/>
                      <w:sz w:val="21"/>
                      <w:szCs w:val="21"/>
                      <w:highlight w:val="none"/>
                      <w:lang w:val="en-US" w:eastAsia="zh-CN" w:bidi="ar"/>
                    </w:rPr>
                    <w:t>根据《产业结构调整指导目录》2024版，</w:t>
                  </w:r>
                  <w:r>
                    <w:rPr>
                      <w:rFonts w:hint="default" w:ascii="Times New Roman" w:hAnsi="Times New Roman" w:cs="Times New Roman"/>
                      <w:color w:val="auto"/>
                      <w:szCs w:val="21"/>
                      <w:highlight w:val="none"/>
                    </w:rPr>
                    <w:t>本项目不属于落后产能及</w:t>
                  </w:r>
                  <w:r>
                    <w:rPr>
                      <w:rFonts w:hint="default" w:ascii="Times New Roman" w:hAnsi="Times New Roman" w:cs="Times New Roman"/>
                      <w:color w:val="auto"/>
                      <w:szCs w:val="21"/>
                      <w:highlight w:val="none"/>
                      <w:lang w:val="en-US" w:eastAsia="zh-CN"/>
                    </w:rPr>
                    <w:t>限制类、</w:t>
                  </w:r>
                  <w:r>
                    <w:rPr>
                      <w:rFonts w:hint="default" w:ascii="Times New Roman" w:hAnsi="Times New Roman" w:cs="Times New Roman"/>
                      <w:color w:val="auto"/>
                      <w:szCs w:val="21"/>
                      <w:highlight w:val="none"/>
                    </w:rPr>
                    <w:t>淘汰类项目。</w:t>
                  </w:r>
                </w:p>
              </w:tc>
              <w:tc>
                <w:tcPr>
                  <w:tcW w:w="1178" w:type="dxa"/>
                  <w:vMerge w:val="restart"/>
                  <w:tcBorders>
                    <w:tl2br w:val="nil"/>
                    <w:tr2bl w:val="nil"/>
                  </w:tcBorders>
                  <w:noWrap w:val="0"/>
                  <w:vAlign w:val="center"/>
                </w:tcPr>
                <w:p w14:paraId="5107F34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77F664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61CD7E87">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1067CE25">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2.</w:t>
                  </w:r>
                  <w:r>
                    <w:rPr>
                      <w:rStyle w:val="93"/>
                      <w:rFonts w:hint="default" w:ascii="Times New Roman" w:hAnsi="Times New Roman" w:eastAsia="宋体" w:cs="Times New Roman"/>
                      <w:color w:val="auto"/>
                      <w:sz w:val="21"/>
                      <w:szCs w:val="21"/>
                      <w:lang w:val="en-US" w:eastAsia="zh-CN" w:bidi="ar"/>
                    </w:rPr>
                    <w:t>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98" w:type="dxa"/>
                  <w:tcBorders>
                    <w:tl2br w:val="nil"/>
                    <w:tr2bl w:val="nil"/>
                  </w:tcBorders>
                  <w:noWrap w:val="0"/>
                  <w:vAlign w:val="center"/>
                </w:tcPr>
                <w:p w14:paraId="75F92DB9">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本项目未选在</w:t>
                  </w:r>
                  <w:r>
                    <w:rPr>
                      <w:rStyle w:val="93"/>
                      <w:rFonts w:hint="default" w:ascii="Times New Roman" w:hAnsi="Times New Roman" w:eastAsia="宋体" w:cs="Times New Roman"/>
                      <w:color w:val="auto"/>
                      <w:sz w:val="21"/>
                      <w:szCs w:val="21"/>
                      <w:lang w:val="en-US" w:eastAsia="zh-CN" w:bidi="ar"/>
                    </w:rPr>
                    <w:t>优先保护类耕地集中区域新建厂房，未占用永久基本农田</w:t>
                  </w:r>
                  <w:r>
                    <w:rPr>
                      <w:rFonts w:hint="default" w:ascii="Times New Roman" w:hAnsi="Times New Roman" w:cs="Times New Roman"/>
                      <w:color w:val="auto"/>
                      <w:szCs w:val="21"/>
                      <w:highlight w:val="none"/>
                    </w:rPr>
                    <w:t>。</w:t>
                  </w:r>
                </w:p>
              </w:tc>
              <w:tc>
                <w:tcPr>
                  <w:tcW w:w="1178" w:type="dxa"/>
                  <w:vMerge w:val="continue"/>
                  <w:tcBorders>
                    <w:tl2br w:val="nil"/>
                    <w:tr2bl w:val="nil"/>
                  </w:tcBorders>
                  <w:noWrap w:val="0"/>
                  <w:vAlign w:val="center"/>
                </w:tcPr>
                <w:p w14:paraId="75B4B4EC">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007A5C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0797B74A">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29EEAAFE">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3.</w:t>
                  </w:r>
                  <w:r>
                    <w:rPr>
                      <w:rStyle w:val="93"/>
                      <w:rFonts w:hint="default" w:ascii="Times New Roman" w:hAnsi="Times New Roman" w:eastAsia="宋体" w:cs="Times New Roman"/>
                      <w:color w:val="auto"/>
                      <w:sz w:val="21"/>
                      <w:szCs w:val="21"/>
                      <w:lang w:val="en-US" w:eastAsia="zh-CN" w:bidi="ar"/>
                    </w:rPr>
                    <w:t>污水处理设施不健全、未正常运行或污水管网未覆盖的地区，未配套污水处理设施的项目不得建设。</w:t>
                  </w:r>
                </w:p>
              </w:tc>
              <w:tc>
                <w:tcPr>
                  <w:tcW w:w="1698" w:type="dxa"/>
                  <w:tcBorders>
                    <w:tl2br w:val="nil"/>
                    <w:tr2bl w:val="nil"/>
                  </w:tcBorders>
                  <w:noWrap w:val="0"/>
                  <w:vAlign w:val="center"/>
                </w:tcPr>
                <w:p w14:paraId="12C2C1D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w:t>
                  </w:r>
                  <w:r>
                    <w:rPr>
                      <w:rFonts w:hint="eastAsia" w:ascii="Times New Roman" w:hAnsi="Times New Roman" w:eastAsia="宋体" w:cs="Times New Roman"/>
                      <w:color w:val="auto"/>
                      <w:szCs w:val="21"/>
                      <w:highlight w:val="none"/>
                      <w:lang w:val="en-US" w:eastAsia="zh-CN"/>
                    </w:rPr>
                    <w:t>生活污水经化粪池处理</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压滤废水、水喷淋废水通过厂区污水设备处理达标后</w:t>
                  </w:r>
                  <w:r>
                    <w:rPr>
                      <w:rFonts w:hint="default" w:ascii="Times New Roman" w:hAnsi="Times New Roman" w:eastAsia="宋体" w:cs="Times New Roman"/>
                      <w:color w:val="auto"/>
                      <w:szCs w:val="21"/>
                      <w:highlight w:val="none"/>
                      <w:lang w:val="en-US" w:eastAsia="zh-CN"/>
                    </w:rPr>
                    <w:t>，与生活污水一同经污水管网排入至葛洲坝水务淄博淄川有限公司</w:t>
                  </w:r>
                  <w:r>
                    <w:rPr>
                      <w:rFonts w:hint="eastAsia" w:ascii="Times New Roman" w:hAnsi="Times New Roman" w:eastAsia="宋体" w:cs="Times New Roman"/>
                      <w:color w:val="auto"/>
                      <w:szCs w:val="21"/>
                      <w:highlight w:val="none"/>
                      <w:lang w:val="en-US" w:eastAsia="zh-CN"/>
                    </w:rPr>
                    <w:t>。</w:t>
                  </w:r>
                </w:p>
              </w:tc>
              <w:tc>
                <w:tcPr>
                  <w:tcW w:w="1178" w:type="dxa"/>
                  <w:vMerge w:val="continue"/>
                  <w:tcBorders>
                    <w:tl2br w:val="nil"/>
                    <w:tr2bl w:val="nil"/>
                  </w:tcBorders>
                  <w:noWrap w:val="0"/>
                  <w:vAlign w:val="center"/>
                </w:tcPr>
                <w:p w14:paraId="3412A4A1">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546D1F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0742052F">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1D5896F8">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4.新建有污染物排放的工业项目，除在安全生产等方面有特殊要求的以外，应当进入工业园区或工业聚集区。</w:t>
                  </w:r>
                </w:p>
              </w:tc>
              <w:tc>
                <w:tcPr>
                  <w:tcW w:w="1698" w:type="dxa"/>
                  <w:tcBorders>
                    <w:tl2br w:val="nil"/>
                    <w:tr2bl w:val="nil"/>
                  </w:tcBorders>
                  <w:noWrap w:val="0"/>
                  <w:vAlign w:val="center"/>
                </w:tcPr>
                <w:p w14:paraId="0B31985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本项目位于双杨镇工业聚集区。</w:t>
                  </w:r>
                </w:p>
              </w:tc>
              <w:tc>
                <w:tcPr>
                  <w:tcW w:w="1178" w:type="dxa"/>
                  <w:vMerge w:val="continue"/>
                  <w:tcBorders>
                    <w:tl2br w:val="nil"/>
                    <w:tr2bl w:val="nil"/>
                  </w:tcBorders>
                  <w:noWrap w:val="0"/>
                  <w:vAlign w:val="center"/>
                </w:tcPr>
                <w:p w14:paraId="4FA0E6E1">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254E89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608D835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0782978D">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kern w:val="2"/>
                      <w:sz w:val="21"/>
                      <w:szCs w:val="21"/>
                      <w:highlight w:val="none"/>
                      <w:lang w:val="en-US" w:eastAsia="zh-CN" w:bidi="ar-SA"/>
                    </w:rPr>
                  </w:pPr>
                  <w:r>
                    <w:rPr>
                      <w:rStyle w:val="95"/>
                      <w:rFonts w:hint="default" w:ascii="Times New Roman" w:hAnsi="Times New Roman" w:eastAsia="宋体" w:cs="Times New Roman"/>
                      <w:color w:val="auto"/>
                      <w:sz w:val="21"/>
                      <w:szCs w:val="21"/>
                      <w:lang w:val="en-US" w:eastAsia="zh-CN" w:bidi="ar"/>
                    </w:rPr>
                    <w:t>5.按照省市要求，严格控制</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两高</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项目，新建</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两高</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项目实行</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五个减量替代</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w:t>
                  </w:r>
                </w:p>
              </w:tc>
              <w:tc>
                <w:tcPr>
                  <w:tcW w:w="1698" w:type="dxa"/>
                  <w:tcBorders>
                    <w:tl2br w:val="nil"/>
                    <w:tr2bl w:val="nil"/>
                  </w:tcBorders>
                  <w:noWrap w:val="0"/>
                  <w:vAlign w:val="center"/>
                </w:tcPr>
                <w:p w14:paraId="7AA29F0C">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本项目</w:t>
                  </w:r>
                  <w:r>
                    <w:rPr>
                      <w:rFonts w:hint="default" w:ascii="Times New Roman" w:hAnsi="Times New Roman" w:cs="Times New Roman"/>
                      <w:color w:val="auto"/>
                      <w:szCs w:val="21"/>
                      <w:highlight w:val="none"/>
                      <w:lang w:val="en-US" w:eastAsia="zh-CN"/>
                    </w:rPr>
                    <w:t>不属于“两高”项目</w:t>
                  </w:r>
                  <w:r>
                    <w:rPr>
                      <w:rFonts w:hint="default" w:ascii="Times New Roman" w:hAnsi="Times New Roman" w:cs="Times New Roman"/>
                      <w:color w:val="auto"/>
                      <w:szCs w:val="21"/>
                      <w:highlight w:val="none"/>
                    </w:rPr>
                    <w:t>。</w:t>
                  </w:r>
                </w:p>
              </w:tc>
              <w:tc>
                <w:tcPr>
                  <w:tcW w:w="1178" w:type="dxa"/>
                  <w:vMerge w:val="continue"/>
                  <w:tcBorders>
                    <w:tl2br w:val="nil"/>
                    <w:tr2bl w:val="nil"/>
                  </w:tcBorders>
                  <w:noWrap w:val="0"/>
                  <w:vAlign w:val="center"/>
                </w:tcPr>
                <w:p w14:paraId="0146E597">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507C9A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restart"/>
                  <w:tcBorders>
                    <w:tl2br w:val="nil"/>
                    <w:tr2bl w:val="nil"/>
                  </w:tcBorders>
                  <w:noWrap w:val="0"/>
                  <w:vAlign w:val="center"/>
                </w:tcPr>
                <w:p w14:paraId="59B651B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 物排 放管 控</w:t>
                  </w:r>
                </w:p>
              </w:tc>
              <w:tc>
                <w:tcPr>
                  <w:tcW w:w="3818" w:type="dxa"/>
                  <w:tcBorders>
                    <w:tl2br w:val="nil"/>
                    <w:tr2bl w:val="nil"/>
                  </w:tcBorders>
                  <w:noWrap w:val="0"/>
                  <w:vAlign w:val="center"/>
                </w:tcPr>
                <w:p w14:paraId="2B569B24">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94"/>
                      <w:rFonts w:hint="default" w:ascii="Times New Roman" w:hAnsi="Times New Roman" w:eastAsia="宋体" w:cs="Times New Roman"/>
                      <w:color w:val="auto"/>
                      <w:sz w:val="21"/>
                      <w:szCs w:val="21"/>
                      <w:lang w:val="en-US" w:eastAsia="zh-CN" w:bidi="ar"/>
                    </w:rPr>
                    <w:t>1.</w:t>
                  </w:r>
                  <w:r>
                    <w:rPr>
                      <w:rStyle w:val="95"/>
                      <w:rFonts w:hint="default" w:ascii="Times New Roman" w:hAnsi="Times New Roman" w:eastAsia="宋体" w:cs="Times New Roman"/>
                      <w:color w:val="auto"/>
                      <w:sz w:val="21"/>
                      <w:szCs w:val="21"/>
                      <w:lang w:val="en-US" w:eastAsia="zh-CN" w:bidi="ar"/>
                    </w:rPr>
                    <w:t>涉</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两高</w:t>
                  </w:r>
                  <w:r>
                    <w:rPr>
                      <w:rStyle w:val="94"/>
                      <w:rFonts w:hint="default" w:ascii="Times New Roman" w:hAnsi="Times New Roman" w:eastAsia="宋体" w:cs="Times New Roman"/>
                      <w:color w:val="auto"/>
                      <w:sz w:val="21"/>
                      <w:szCs w:val="21"/>
                      <w:lang w:val="en-US" w:eastAsia="zh-CN" w:bidi="ar"/>
                    </w:rPr>
                    <w:t>”</w:t>
                  </w:r>
                  <w:r>
                    <w:rPr>
                      <w:rStyle w:val="95"/>
                      <w:rFonts w:hint="default" w:ascii="Times New Roman" w:hAnsi="Times New Roman" w:eastAsia="宋体" w:cs="Times New Roman"/>
                      <w:color w:val="auto"/>
                      <w:sz w:val="21"/>
                      <w:szCs w:val="21"/>
                      <w:lang w:val="en-US" w:eastAsia="zh-CN" w:bidi="ar"/>
                    </w:rPr>
                    <w:t>项目企业应当积极实施节能改造提升，提高能源使用效率，推进节能减排。</w:t>
                  </w:r>
                </w:p>
              </w:tc>
              <w:tc>
                <w:tcPr>
                  <w:tcW w:w="1698" w:type="dxa"/>
                  <w:tcBorders>
                    <w:tl2br w:val="nil"/>
                    <w:tr2bl w:val="nil"/>
                  </w:tcBorders>
                  <w:noWrap w:val="0"/>
                  <w:vAlign w:val="center"/>
                </w:tcPr>
                <w:p w14:paraId="6701E271">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本项目不属于两高项目。</w:t>
                  </w:r>
                </w:p>
              </w:tc>
              <w:tc>
                <w:tcPr>
                  <w:tcW w:w="1178" w:type="dxa"/>
                  <w:vMerge w:val="restart"/>
                  <w:tcBorders>
                    <w:tl2br w:val="nil"/>
                    <w:tr2bl w:val="nil"/>
                  </w:tcBorders>
                  <w:noWrap w:val="0"/>
                  <w:vAlign w:val="center"/>
                </w:tcPr>
                <w:p w14:paraId="21D9208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5509E4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0BC55061">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02024462">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94"/>
                      <w:rFonts w:hint="default" w:ascii="Times New Roman" w:hAnsi="Times New Roman" w:eastAsia="宋体" w:cs="Times New Roman"/>
                      <w:color w:val="auto"/>
                      <w:sz w:val="21"/>
                      <w:szCs w:val="21"/>
                      <w:lang w:val="en-US" w:eastAsia="zh-CN" w:bidi="ar"/>
                    </w:rPr>
                    <w:t>2.</w:t>
                  </w:r>
                  <w:r>
                    <w:rPr>
                      <w:rStyle w:val="95"/>
                      <w:rFonts w:hint="default" w:ascii="Times New Roman" w:hAnsi="Times New Roman" w:eastAsia="宋体" w:cs="Times New Roman"/>
                      <w:color w:val="auto"/>
                      <w:sz w:val="21"/>
                      <w:szCs w:val="21"/>
                      <w:lang w:val="en-US" w:eastAsia="zh-CN" w:bidi="ar"/>
                    </w:rPr>
                    <w:t>落实主要污染物总量替代要求，按照山东省生态环境厅《关于印发山东省建设项目主要大气污染物排放总量替代指标核算及管理办法的通知》，实施动态管控替代。</w:t>
                  </w:r>
                </w:p>
              </w:tc>
              <w:tc>
                <w:tcPr>
                  <w:tcW w:w="1698" w:type="dxa"/>
                  <w:tcBorders>
                    <w:tl2br w:val="nil"/>
                    <w:tr2bl w:val="nil"/>
                  </w:tcBorders>
                  <w:noWrap w:val="0"/>
                  <w:vAlign w:val="center"/>
                </w:tcPr>
                <w:p w14:paraId="2502647A">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按要求执行。</w:t>
                  </w:r>
                </w:p>
              </w:tc>
              <w:tc>
                <w:tcPr>
                  <w:tcW w:w="1178" w:type="dxa"/>
                  <w:vMerge w:val="continue"/>
                  <w:tcBorders>
                    <w:tl2br w:val="nil"/>
                    <w:tr2bl w:val="nil"/>
                  </w:tcBorders>
                  <w:noWrap w:val="0"/>
                  <w:vAlign w:val="center"/>
                </w:tcPr>
                <w:p w14:paraId="25111079">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2F1087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02" w:hRule="atLeast"/>
                <w:jc w:val="center"/>
              </w:trPr>
              <w:tc>
                <w:tcPr>
                  <w:tcW w:w="781" w:type="dxa"/>
                  <w:vMerge w:val="continue"/>
                  <w:tcBorders>
                    <w:tl2br w:val="nil"/>
                    <w:tr2bl w:val="nil"/>
                  </w:tcBorders>
                  <w:noWrap w:val="0"/>
                  <w:vAlign w:val="center"/>
                </w:tcPr>
                <w:p w14:paraId="2DC55518">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50DAC6DC">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3.</w:t>
                  </w:r>
                  <w:r>
                    <w:rPr>
                      <w:rStyle w:val="93"/>
                      <w:rFonts w:hint="default" w:ascii="Times New Roman" w:hAnsi="Times New Roman" w:eastAsia="宋体" w:cs="Times New Roman"/>
                      <w:color w:val="auto"/>
                      <w:sz w:val="21"/>
                      <w:szCs w:val="21"/>
                      <w:lang w:val="en-US" w:eastAsia="zh-CN" w:bidi="ar"/>
                    </w:rPr>
                    <w:t>废水应当按照要求进行预处理，达到行业排放标准或是综合排放标准后方可排放。</w:t>
                  </w:r>
                </w:p>
              </w:tc>
              <w:tc>
                <w:tcPr>
                  <w:tcW w:w="1698" w:type="dxa"/>
                  <w:vMerge w:val="restart"/>
                  <w:tcBorders>
                    <w:tl2br w:val="nil"/>
                    <w:tr2bl w:val="nil"/>
                  </w:tcBorders>
                  <w:noWrap w:val="0"/>
                  <w:vAlign w:val="center"/>
                </w:tcPr>
                <w:p w14:paraId="4A5BD640">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lang w:val="en-US" w:eastAsia="zh-CN"/>
                    </w:rPr>
                    <w:t>本项目</w:t>
                  </w:r>
                  <w:r>
                    <w:rPr>
                      <w:rFonts w:hint="eastAsia" w:ascii="Times New Roman" w:hAnsi="Times New Roman" w:eastAsia="宋体" w:cs="Times New Roman"/>
                      <w:color w:val="auto"/>
                      <w:sz w:val="21"/>
                      <w:szCs w:val="21"/>
                      <w:lang w:val="en-US" w:eastAsia="zh-CN"/>
                    </w:rPr>
                    <w:t>生活污水经化粪池处理，压滤废水、水喷淋废水通过厂区污水设备处理达标后，与生活污水一同经污水管网排入至葛洲坝水务淄博淄川有限公司。</w:t>
                  </w:r>
                </w:p>
              </w:tc>
              <w:tc>
                <w:tcPr>
                  <w:tcW w:w="1178" w:type="dxa"/>
                  <w:vMerge w:val="continue"/>
                  <w:tcBorders>
                    <w:tl2br w:val="nil"/>
                    <w:tr2bl w:val="nil"/>
                  </w:tcBorders>
                  <w:noWrap w:val="0"/>
                  <w:vAlign w:val="center"/>
                </w:tcPr>
                <w:p w14:paraId="54CB917F">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0113F0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68FC1314">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3701BB7F">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4.</w:t>
                  </w:r>
                  <w:r>
                    <w:rPr>
                      <w:rStyle w:val="93"/>
                      <w:rFonts w:hint="default" w:ascii="Times New Roman" w:hAnsi="Times New Roman" w:eastAsia="宋体" w:cs="Times New Roman"/>
                      <w:color w:val="auto"/>
                      <w:sz w:val="21"/>
                      <w:szCs w:val="21"/>
                      <w:lang w:val="en-US" w:eastAsia="zh-CN" w:bidi="ar"/>
                    </w:rPr>
                    <w:t>禁止工业废水和生活污水未经处理直排环境；原则上除工业污水集中处理设施、城镇污水处理厂外不得新建入河排污口。</w:t>
                  </w:r>
                </w:p>
              </w:tc>
              <w:tc>
                <w:tcPr>
                  <w:tcW w:w="1698" w:type="dxa"/>
                  <w:vMerge w:val="continue"/>
                  <w:tcBorders>
                    <w:tl2br w:val="nil"/>
                    <w:tr2bl w:val="nil"/>
                  </w:tcBorders>
                  <w:noWrap w:val="0"/>
                  <w:vAlign w:val="center"/>
                </w:tcPr>
                <w:p w14:paraId="16688B56">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p>
              </w:tc>
              <w:tc>
                <w:tcPr>
                  <w:tcW w:w="1178" w:type="dxa"/>
                  <w:vMerge w:val="continue"/>
                  <w:tcBorders>
                    <w:tl2br w:val="nil"/>
                    <w:tr2bl w:val="nil"/>
                  </w:tcBorders>
                  <w:noWrap w:val="0"/>
                  <w:vAlign w:val="center"/>
                </w:tcPr>
                <w:p w14:paraId="5363A036">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398106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1A27CA8D">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28DF962C">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5.</w:t>
                  </w:r>
                  <w:r>
                    <w:rPr>
                      <w:rStyle w:val="93"/>
                      <w:rFonts w:hint="default" w:ascii="Times New Roman" w:hAnsi="Times New Roman" w:eastAsia="宋体" w:cs="Times New Roman"/>
                      <w:color w:val="auto"/>
                      <w:sz w:val="21"/>
                      <w:szCs w:val="21"/>
                      <w:lang w:val="en-US" w:eastAsia="zh-CN" w:bidi="ar"/>
                    </w:rPr>
                    <w:t>包装印刷、表面涂装等涉VOCs排放的行业，严格按照淄博市行业环境管控要求，实施源头替代，建立健全治理设施，确保污染物稳定达标排放，做到持证排污。</w:t>
                  </w:r>
                </w:p>
              </w:tc>
              <w:tc>
                <w:tcPr>
                  <w:tcW w:w="1698" w:type="dxa"/>
                  <w:tcBorders>
                    <w:tl2br w:val="nil"/>
                    <w:tr2bl w:val="nil"/>
                  </w:tcBorders>
                  <w:noWrap w:val="0"/>
                  <w:vAlign w:val="center"/>
                </w:tcPr>
                <w:p w14:paraId="06E18668">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本项目不涉及。</w:t>
                  </w:r>
                </w:p>
              </w:tc>
              <w:tc>
                <w:tcPr>
                  <w:tcW w:w="1178" w:type="dxa"/>
                  <w:vMerge w:val="continue"/>
                  <w:tcBorders>
                    <w:tl2br w:val="nil"/>
                    <w:tr2bl w:val="nil"/>
                  </w:tcBorders>
                  <w:noWrap w:val="0"/>
                  <w:vAlign w:val="center"/>
                </w:tcPr>
                <w:p w14:paraId="0F2FD619">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7A2343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7AD1F011">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43ADC8B3">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6.</w:t>
                  </w:r>
                  <w:r>
                    <w:rPr>
                      <w:rStyle w:val="93"/>
                      <w:rFonts w:hint="default" w:ascii="Times New Roman" w:hAnsi="Times New Roman" w:eastAsia="宋体" w:cs="Times New Roman"/>
                      <w:color w:val="auto"/>
                      <w:sz w:val="21"/>
                      <w:szCs w:val="21"/>
                      <w:lang w:val="en-US" w:eastAsia="zh-CN" w:bidi="ar"/>
                    </w:rPr>
                    <w:t>规模养殖场（小区）粪污处理设施装备配套率达到</w:t>
                  </w:r>
                  <w:r>
                    <w:rPr>
                      <w:rStyle w:val="89"/>
                      <w:rFonts w:hint="default" w:ascii="Times New Roman" w:hAnsi="Times New Roman" w:eastAsia="宋体" w:cs="Times New Roman"/>
                      <w:color w:val="auto"/>
                      <w:sz w:val="21"/>
                      <w:szCs w:val="21"/>
                      <w:lang w:val="en-US" w:eastAsia="zh-CN" w:bidi="ar"/>
                    </w:rPr>
                    <w:t>100%</w:t>
                  </w:r>
                  <w:r>
                    <w:rPr>
                      <w:rStyle w:val="93"/>
                      <w:rFonts w:hint="default" w:ascii="Times New Roman" w:hAnsi="Times New Roman" w:eastAsia="宋体" w:cs="Times New Roman"/>
                      <w:color w:val="auto"/>
                      <w:sz w:val="21"/>
                      <w:szCs w:val="21"/>
                      <w:lang w:val="en-US" w:eastAsia="zh-CN" w:bidi="ar"/>
                    </w:rPr>
                    <w:t>。通过管网截污、小型污水处理站和氧化塘、人工湿地等方式因地制宜处理处置农村生活污水，解决农村污水直排问题。</w:t>
                  </w:r>
                </w:p>
              </w:tc>
              <w:tc>
                <w:tcPr>
                  <w:tcW w:w="1698" w:type="dxa"/>
                  <w:tcBorders>
                    <w:tl2br w:val="nil"/>
                    <w:tr2bl w:val="nil"/>
                  </w:tcBorders>
                  <w:noWrap w:val="0"/>
                  <w:vAlign w:val="center"/>
                </w:tcPr>
                <w:p w14:paraId="034BB228">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按要求执行。</w:t>
                  </w:r>
                </w:p>
              </w:tc>
              <w:tc>
                <w:tcPr>
                  <w:tcW w:w="1178" w:type="dxa"/>
                  <w:vMerge w:val="continue"/>
                  <w:tcBorders>
                    <w:tl2br w:val="nil"/>
                    <w:tr2bl w:val="nil"/>
                  </w:tcBorders>
                  <w:noWrap w:val="0"/>
                  <w:vAlign w:val="center"/>
                </w:tcPr>
                <w:p w14:paraId="6E618DD6">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0AC435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60D74D04">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18E3B384">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89"/>
                      <w:rFonts w:hint="default" w:ascii="Times New Roman" w:hAnsi="Times New Roman" w:eastAsia="宋体" w:cs="Times New Roman"/>
                      <w:color w:val="auto"/>
                      <w:sz w:val="21"/>
                      <w:szCs w:val="21"/>
                      <w:lang w:val="en-US" w:eastAsia="zh-CN" w:bidi="ar"/>
                    </w:rPr>
                    <w:t>7.</w:t>
                  </w:r>
                  <w:r>
                    <w:rPr>
                      <w:rStyle w:val="93"/>
                      <w:rFonts w:hint="default" w:ascii="Times New Roman" w:hAnsi="Times New Roman" w:eastAsia="宋体" w:cs="Times New Roman"/>
                      <w:color w:val="auto"/>
                      <w:sz w:val="21"/>
                      <w:szCs w:val="21"/>
                      <w:lang w:val="en-US" w:eastAsia="zh-CN" w:bidi="ar"/>
                    </w:rPr>
                    <w:t>进一步加强对建设工程施工、建筑物拆除、交通运输、道路保洁、物料运输与堆存、采石取土、养护绿化等活动的扬尘管理。</w:t>
                  </w:r>
                </w:p>
              </w:tc>
              <w:tc>
                <w:tcPr>
                  <w:tcW w:w="1698" w:type="dxa"/>
                  <w:tcBorders>
                    <w:tl2br w:val="nil"/>
                    <w:tr2bl w:val="nil"/>
                  </w:tcBorders>
                  <w:noWrap w:val="0"/>
                  <w:vAlign w:val="center"/>
                </w:tcPr>
                <w:p w14:paraId="6784F36D">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本项目不涉及。</w:t>
                  </w:r>
                </w:p>
              </w:tc>
              <w:tc>
                <w:tcPr>
                  <w:tcW w:w="1178" w:type="dxa"/>
                  <w:vMerge w:val="continue"/>
                  <w:tcBorders>
                    <w:tl2br w:val="nil"/>
                    <w:tr2bl w:val="nil"/>
                  </w:tcBorders>
                  <w:noWrap w:val="0"/>
                  <w:vAlign w:val="center"/>
                </w:tcPr>
                <w:p w14:paraId="46F20313">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25D4FC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restart"/>
                  <w:tcBorders>
                    <w:tl2br w:val="nil"/>
                    <w:tr2bl w:val="nil"/>
                  </w:tcBorders>
                  <w:noWrap w:val="0"/>
                  <w:vAlign w:val="center"/>
                </w:tcPr>
                <w:p w14:paraId="3877006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 防控</w:t>
                  </w:r>
                </w:p>
              </w:tc>
              <w:tc>
                <w:tcPr>
                  <w:tcW w:w="3818" w:type="dxa"/>
                  <w:tcBorders>
                    <w:tl2br w:val="nil"/>
                    <w:tr2bl w:val="nil"/>
                  </w:tcBorders>
                  <w:noWrap w:val="0"/>
                  <w:vAlign w:val="center"/>
                </w:tcPr>
                <w:p w14:paraId="36F2C719">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Style w:val="94"/>
                      <w:rFonts w:hint="default" w:ascii="Times New Roman" w:hAnsi="Times New Roman" w:eastAsia="宋体" w:cs="Times New Roman"/>
                      <w:color w:val="auto"/>
                      <w:sz w:val="21"/>
                      <w:szCs w:val="21"/>
                      <w:lang w:val="en-US" w:eastAsia="zh-CN" w:bidi="ar"/>
                    </w:rPr>
                    <w:t>1.</w:t>
                  </w:r>
                  <w:r>
                    <w:rPr>
                      <w:rStyle w:val="95"/>
                      <w:rFonts w:hint="default" w:ascii="Times New Roman" w:hAnsi="Times New Roman" w:eastAsia="宋体" w:cs="Times New Roman"/>
                      <w:color w:val="auto"/>
                      <w:sz w:val="21"/>
                      <w:szCs w:val="21"/>
                      <w:lang w:val="en-US" w:eastAsia="zh-CN" w:bidi="ar"/>
                    </w:rPr>
                    <w:t>紧邻居住、科教、医院等环境敏感点的工业用地，禁止新建环境风险潜势等级高的建设项目；现有项目严格落实环评及批复环境风险防控要求。</w:t>
                  </w:r>
                </w:p>
              </w:tc>
              <w:tc>
                <w:tcPr>
                  <w:tcW w:w="1698" w:type="dxa"/>
                  <w:tcBorders>
                    <w:tl2br w:val="nil"/>
                    <w:tr2bl w:val="nil"/>
                  </w:tcBorders>
                  <w:noWrap w:val="0"/>
                  <w:vAlign w:val="center"/>
                </w:tcPr>
                <w:p w14:paraId="54859AD8">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最近</w:t>
                  </w:r>
                  <w:r>
                    <w:rPr>
                      <w:rFonts w:hint="default" w:ascii="Times New Roman" w:hAnsi="Times New Roman" w:cs="Times New Roman"/>
                      <w:color w:val="auto"/>
                      <w:szCs w:val="21"/>
                      <w:highlight w:val="none"/>
                    </w:rPr>
                    <w:t>环境敏感点</w:t>
                  </w:r>
                  <w:r>
                    <w:rPr>
                      <w:rFonts w:hint="eastAsia" w:ascii="Times New Roman" w:hAnsi="Times New Roman" w:cs="Times New Roman"/>
                      <w:color w:val="auto"/>
                      <w:szCs w:val="21"/>
                      <w:highlight w:val="none"/>
                      <w:lang w:val="en-US" w:eastAsia="zh-CN"/>
                    </w:rPr>
                    <w:t>小庄村</w:t>
                  </w:r>
                  <w:r>
                    <w:rPr>
                      <w:rFonts w:hint="default" w:ascii="Times New Roman" w:hAnsi="Times New Roman" w:cs="Times New Roman"/>
                      <w:color w:val="auto"/>
                      <w:szCs w:val="21"/>
                      <w:highlight w:val="none"/>
                      <w:lang w:val="en-US" w:eastAsia="zh-CN"/>
                    </w:rPr>
                    <w:t>，距离本项目36</w:t>
                  </w:r>
                  <w:r>
                    <w:rPr>
                      <w:rFonts w:hint="eastAsia" w:ascii="Times New Roman" w:hAnsi="Times New Roman" w:cs="Times New Roman"/>
                      <w:color w:val="auto"/>
                      <w:szCs w:val="21"/>
                      <w:highlight w:val="none"/>
                      <w:lang w:val="en-US" w:eastAsia="zh-CN"/>
                    </w:rPr>
                    <w:t>6</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rPr>
                    <w:t>。</w:t>
                  </w:r>
                </w:p>
              </w:tc>
              <w:tc>
                <w:tcPr>
                  <w:tcW w:w="1178" w:type="dxa"/>
                  <w:vMerge w:val="restart"/>
                  <w:tcBorders>
                    <w:tl2br w:val="nil"/>
                    <w:tr2bl w:val="nil"/>
                  </w:tcBorders>
                  <w:noWrap w:val="0"/>
                  <w:vAlign w:val="center"/>
                </w:tcPr>
                <w:p w14:paraId="1EDD471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7763B2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57F2F413">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6211CBD7">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kern w:val="2"/>
                      <w:sz w:val="21"/>
                      <w:szCs w:val="21"/>
                      <w:highlight w:val="none"/>
                      <w:lang w:val="en-US" w:eastAsia="zh-CN" w:bidi="ar-SA"/>
                    </w:rPr>
                  </w:pPr>
                  <w:r>
                    <w:rPr>
                      <w:rStyle w:val="89"/>
                      <w:rFonts w:hint="default" w:ascii="Times New Roman" w:hAnsi="Times New Roman" w:eastAsia="宋体" w:cs="Times New Roman"/>
                      <w:color w:val="auto"/>
                      <w:sz w:val="21"/>
                      <w:szCs w:val="21"/>
                      <w:lang w:val="en-US" w:eastAsia="zh-CN" w:bidi="ar"/>
                    </w:rPr>
                    <w:t>2.</w:t>
                  </w:r>
                  <w:r>
                    <w:rPr>
                      <w:rStyle w:val="93"/>
                      <w:rFonts w:hint="default" w:ascii="Times New Roman" w:hAnsi="Times New Roman" w:eastAsia="宋体" w:cs="Times New Roman"/>
                      <w:color w:val="auto"/>
                      <w:sz w:val="21"/>
                      <w:szCs w:val="21"/>
                      <w:lang w:val="en-US" w:eastAsia="zh-CN" w:bidi="ar"/>
                    </w:rPr>
                    <w:t>加强农田土壤、灌溉水的监测，对周边区域环境风险源进行评估。</w:t>
                  </w:r>
                </w:p>
              </w:tc>
              <w:tc>
                <w:tcPr>
                  <w:tcW w:w="1698" w:type="dxa"/>
                  <w:tcBorders>
                    <w:tl2br w:val="nil"/>
                    <w:tr2bl w:val="nil"/>
                  </w:tcBorders>
                  <w:noWrap w:val="0"/>
                  <w:vAlign w:val="center"/>
                </w:tcPr>
                <w:p w14:paraId="55867D61">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本项目不涉及。</w:t>
                  </w:r>
                </w:p>
              </w:tc>
              <w:tc>
                <w:tcPr>
                  <w:tcW w:w="1178" w:type="dxa"/>
                  <w:vMerge w:val="continue"/>
                  <w:tcBorders>
                    <w:tl2br w:val="nil"/>
                    <w:tr2bl w:val="nil"/>
                  </w:tcBorders>
                  <w:noWrap w:val="0"/>
                  <w:vAlign w:val="center"/>
                </w:tcPr>
                <w:p w14:paraId="142EBF56">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7B5E0F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3D205955">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3185F53B">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kern w:val="2"/>
                      <w:sz w:val="21"/>
                      <w:szCs w:val="21"/>
                      <w:highlight w:val="none"/>
                      <w:lang w:val="en-US" w:eastAsia="zh-CN" w:bidi="ar-SA"/>
                    </w:rPr>
                  </w:pPr>
                  <w:r>
                    <w:rPr>
                      <w:rStyle w:val="89"/>
                      <w:rFonts w:hint="default" w:ascii="Times New Roman" w:hAnsi="Times New Roman" w:eastAsia="宋体" w:cs="Times New Roman"/>
                      <w:color w:val="auto"/>
                      <w:sz w:val="21"/>
                      <w:szCs w:val="21"/>
                      <w:lang w:val="en-US" w:eastAsia="zh-CN" w:bidi="ar"/>
                    </w:rPr>
                    <w:t>3.</w:t>
                  </w:r>
                  <w:r>
                    <w:rPr>
                      <w:rStyle w:val="96"/>
                      <w:rFonts w:hint="default" w:ascii="Times New Roman" w:hAnsi="Times New Roman" w:eastAsia="宋体" w:cs="Times New Roman"/>
                      <w:color w:val="auto"/>
                      <w:sz w:val="21"/>
                      <w:szCs w:val="21"/>
                      <w:lang w:val="en-US" w:eastAsia="zh-CN" w:bidi="ar"/>
                    </w:rPr>
                    <w:t>企业事业单位根据法律法规、管理部门要求和《企业事业单位突发环境事件应急预案备案管理办法（试行）》等规定，依法依规编制环境应急预案并定期开展演练。</w:t>
                  </w:r>
                </w:p>
              </w:tc>
              <w:tc>
                <w:tcPr>
                  <w:tcW w:w="1698" w:type="dxa"/>
                  <w:tcBorders>
                    <w:tl2br w:val="nil"/>
                    <w:tr2bl w:val="nil"/>
                  </w:tcBorders>
                  <w:noWrap w:val="0"/>
                  <w:vAlign w:val="center"/>
                </w:tcPr>
                <w:p w14:paraId="3867E6BF">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企业建立健全环境风险管理制度，定期开展演练。</w:t>
                  </w:r>
                </w:p>
              </w:tc>
              <w:tc>
                <w:tcPr>
                  <w:tcW w:w="1178" w:type="dxa"/>
                  <w:vMerge w:val="continue"/>
                  <w:tcBorders>
                    <w:tl2br w:val="nil"/>
                    <w:tr2bl w:val="nil"/>
                  </w:tcBorders>
                  <w:noWrap w:val="0"/>
                  <w:vAlign w:val="center"/>
                </w:tcPr>
                <w:p w14:paraId="1B3E4158">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0ADE36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1B163B4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11C1DE9C">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kern w:val="2"/>
                      <w:sz w:val="21"/>
                      <w:szCs w:val="21"/>
                      <w:highlight w:val="none"/>
                      <w:lang w:val="en-US" w:eastAsia="zh-CN" w:bidi="ar-SA"/>
                    </w:rPr>
                  </w:pPr>
                  <w:r>
                    <w:rPr>
                      <w:rStyle w:val="94"/>
                      <w:rFonts w:hint="default" w:ascii="Times New Roman" w:hAnsi="Times New Roman" w:eastAsia="宋体" w:cs="Times New Roman"/>
                      <w:color w:val="auto"/>
                      <w:sz w:val="21"/>
                      <w:szCs w:val="21"/>
                      <w:lang w:val="en-US" w:eastAsia="zh-CN" w:bidi="ar"/>
                    </w:rPr>
                    <w:t>4.</w:t>
                  </w:r>
                  <w:r>
                    <w:rPr>
                      <w:rStyle w:val="95"/>
                      <w:rFonts w:hint="default" w:ascii="Times New Roman" w:hAnsi="Times New Roman" w:eastAsia="宋体" w:cs="Times New Roman"/>
                      <w:color w:val="auto"/>
                      <w:sz w:val="21"/>
                      <w:szCs w:val="21"/>
                      <w:lang w:val="en-US" w:eastAsia="zh-CN" w:bidi="ar"/>
                    </w:rPr>
                    <w:t>建立各企业危险废物的贮存、申报、经营许可（无废城市建设豁免的除外）、转移及处置管理制度，并负责对危废相应活动的全程监管和环境安全保障。</w:t>
                  </w:r>
                </w:p>
              </w:tc>
              <w:tc>
                <w:tcPr>
                  <w:tcW w:w="1698" w:type="dxa"/>
                  <w:tcBorders>
                    <w:tl2br w:val="nil"/>
                    <w:tr2bl w:val="nil"/>
                  </w:tcBorders>
                  <w:noWrap w:val="0"/>
                  <w:vAlign w:val="center"/>
                </w:tcPr>
                <w:p w14:paraId="4B968604">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严格执行危废管理，危废储存于项目危废间内。</w:t>
                  </w:r>
                </w:p>
              </w:tc>
              <w:tc>
                <w:tcPr>
                  <w:tcW w:w="1178" w:type="dxa"/>
                  <w:vMerge w:val="continue"/>
                  <w:tcBorders>
                    <w:tl2br w:val="nil"/>
                    <w:tr2bl w:val="nil"/>
                  </w:tcBorders>
                  <w:noWrap w:val="0"/>
                  <w:vAlign w:val="center"/>
                </w:tcPr>
                <w:p w14:paraId="05A44D85">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6BF442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22897F0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7F143940">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kern w:val="2"/>
                      <w:sz w:val="21"/>
                      <w:szCs w:val="21"/>
                      <w:highlight w:val="none"/>
                      <w:lang w:val="en-US" w:eastAsia="zh-CN" w:bidi="ar-SA"/>
                    </w:rPr>
                  </w:pPr>
                  <w:r>
                    <w:rPr>
                      <w:rStyle w:val="94"/>
                      <w:rFonts w:hint="default" w:ascii="Times New Roman" w:hAnsi="Times New Roman" w:eastAsia="宋体" w:cs="Times New Roman"/>
                      <w:color w:val="auto"/>
                      <w:sz w:val="21"/>
                      <w:szCs w:val="21"/>
                      <w:lang w:val="en-US" w:eastAsia="zh-CN" w:bidi="ar"/>
                    </w:rPr>
                    <w:t>5.</w:t>
                  </w:r>
                  <w:r>
                    <w:rPr>
                      <w:rStyle w:val="95"/>
                      <w:rFonts w:hint="default" w:ascii="Times New Roman" w:hAnsi="Times New Roman" w:eastAsia="宋体" w:cs="Times New Roman"/>
                      <w:color w:val="auto"/>
                      <w:sz w:val="21"/>
                      <w:szCs w:val="21"/>
                      <w:lang w:val="en-US" w:eastAsia="zh-CN" w:bidi="ar"/>
                    </w:rPr>
                    <w:t>按照省市要求，做好清洁取暖改造工作。</w:t>
                  </w:r>
                </w:p>
              </w:tc>
              <w:tc>
                <w:tcPr>
                  <w:tcW w:w="1698" w:type="dxa"/>
                  <w:tcBorders>
                    <w:tl2br w:val="nil"/>
                    <w:tr2bl w:val="nil"/>
                  </w:tcBorders>
                  <w:noWrap w:val="0"/>
                  <w:vAlign w:val="center"/>
                </w:tcPr>
                <w:p w14:paraId="133B247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本项目不涉及锅炉取暖等取暖工程。</w:t>
                  </w:r>
                </w:p>
              </w:tc>
              <w:tc>
                <w:tcPr>
                  <w:tcW w:w="1178" w:type="dxa"/>
                  <w:vMerge w:val="continue"/>
                  <w:tcBorders>
                    <w:tl2br w:val="nil"/>
                    <w:tr2bl w:val="nil"/>
                  </w:tcBorders>
                  <w:noWrap w:val="0"/>
                  <w:vAlign w:val="center"/>
                </w:tcPr>
                <w:p w14:paraId="763DBB1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p>
              </w:tc>
            </w:tr>
            <w:tr w14:paraId="1DAA2C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restart"/>
                  <w:tcBorders>
                    <w:tl2br w:val="nil"/>
                    <w:tr2bl w:val="nil"/>
                  </w:tcBorders>
                  <w:noWrap w:val="0"/>
                  <w:vAlign w:val="center"/>
                </w:tcPr>
                <w:p w14:paraId="191CCAB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资源 开发 效率 要求</w:t>
                  </w:r>
                </w:p>
              </w:tc>
              <w:tc>
                <w:tcPr>
                  <w:tcW w:w="3818" w:type="dxa"/>
                  <w:tcBorders>
                    <w:tl2br w:val="nil"/>
                    <w:tr2bl w:val="nil"/>
                  </w:tcBorders>
                  <w:noWrap w:val="0"/>
                  <w:vAlign w:val="center"/>
                </w:tcPr>
                <w:p w14:paraId="75D0639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1.高污染燃料禁燃区内执行淄博市高污染燃料禁燃区划定文件的管控要求。</w:t>
                  </w:r>
                </w:p>
              </w:tc>
              <w:tc>
                <w:tcPr>
                  <w:tcW w:w="1698" w:type="dxa"/>
                  <w:tcBorders>
                    <w:tl2br w:val="nil"/>
                    <w:tr2bl w:val="nil"/>
                  </w:tcBorders>
                  <w:noWrap w:val="0"/>
                  <w:vAlign w:val="center"/>
                </w:tcPr>
                <w:p w14:paraId="1C9CA26A">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本项目主要能源为水、电</w:t>
                  </w:r>
                  <w:r>
                    <w:rPr>
                      <w:rFonts w:hint="eastAsia" w:ascii="Times New Roman" w:hAnsi="Times New Roman"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天然气</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不涉及高污染燃料</w:t>
                  </w:r>
                  <w:r>
                    <w:rPr>
                      <w:rFonts w:hint="default" w:ascii="Times New Roman" w:hAnsi="Times New Roman" w:cs="Times New Roman"/>
                      <w:color w:val="auto"/>
                      <w:szCs w:val="21"/>
                      <w:highlight w:val="none"/>
                    </w:rPr>
                    <w:t>。</w:t>
                  </w:r>
                </w:p>
              </w:tc>
              <w:tc>
                <w:tcPr>
                  <w:tcW w:w="1178" w:type="dxa"/>
                  <w:vMerge w:val="restart"/>
                  <w:tcBorders>
                    <w:tl2br w:val="nil"/>
                    <w:tr2bl w:val="nil"/>
                  </w:tcBorders>
                  <w:noWrap w:val="0"/>
                  <w:vAlign w:val="center"/>
                </w:tcPr>
                <w:p w14:paraId="40AF870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126283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3E84D3A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15117F6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2.加强农业节水，提高水资源使用效率。</w:t>
                  </w:r>
                </w:p>
              </w:tc>
              <w:tc>
                <w:tcPr>
                  <w:tcW w:w="1698" w:type="dxa"/>
                  <w:tcBorders>
                    <w:tl2br w:val="nil"/>
                    <w:tr2bl w:val="nil"/>
                  </w:tcBorders>
                  <w:noWrap w:val="0"/>
                  <w:vAlign w:val="center"/>
                </w:tcPr>
                <w:p w14:paraId="44E51531">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本项目按要求执行。</w:t>
                  </w:r>
                </w:p>
              </w:tc>
              <w:tc>
                <w:tcPr>
                  <w:tcW w:w="1178" w:type="dxa"/>
                  <w:vMerge w:val="continue"/>
                  <w:tcBorders>
                    <w:tl2br w:val="nil"/>
                    <w:tr2bl w:val="nil"/>
                  </w:tcBorders>
                  <w:noWrap w:val="0"/>
                  <w:vAlign w:val="center"/>
                </w:tcPr>
                <w:p w14:paraId="17CD524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r>
            <w:tr w14:paraId="352CDF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3B41FCD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4F597294">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3.提升土地集约化水平。</w:t>
                  </w:r>
                </w:p>
              </w:tc>
              <w:tc>
                <w:tcPr>
                  <w:tcW w:w="1698" w:type="dxa"/>
                  <w:tcBorders>
                    <w:tl2br w:val="nil"/>
                    <w:tr2bl w:val="nil"/>
                  </w:tcBorders>
                  <w:noWrap w:val="0"/>
                  <w:vAlign w:val="center"/>
                </w:tcPr>
                <w:p w14:paraId="64F97A31">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本项目按要求执行。</w:t>
                  </w:r>
                </w:p>
              </w:tc>
              <w:tc>
                <w:tcPr>
                  <w:tcW w:w="1178" w:type="dxa"/>
                  <w:vMerge w:val="continue"/>
                  <w:tcBorders>
                    <w:tl2br w:val="nil"/>
                    <w:tr2bl w:val="nil"/>
                  </w:tcBorders>
                  <w:noWrap w:val="0"/>
                  <w:vAlign w:val="center"/>
                </w:tcPr>
                <w:p w14:paraId="332FD19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r>
            <w:tr w14:paraId="213B18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81" w:type="dxa"/>
                  <w:vMerge w:val="continue"/>
                  <w:tcBorders>
                    <w:tl2br w:val="nil"/>
                    <w:tr2bl w:val="nil"/>
                  </w:tcBorders>
                  <w:noWrap w:val="0"/>
                  <w:vAlign w:val="center"/>
                </w:tcPr>
                <w:p w14:paraId="48E669D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c>
                <w:tcPr>
                  <w:tcW w:w="3818" w:type="dxa"/>
                  <w:tcBorders>
                    <w:tl2br w:val="nil"/>
                    <w:tr2bl w:val="nil"/>
                  </w:tcBorders>
                  <w:noWrap w:val="0"/>
                  <w:vAlign w:val="center"/>
                </w:tcPr>
                <w:p w14:paraId="09FA366D">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4.调整能源利用结构，控制煤炭消费量，实现减量化，鼓励使用清洁能源、新能源和可再生能源。</w:t>
                  </w:r>
                </w:p>
              </w:tc>
              <w:tc>
                <w:tcPr>
                  <w:tcW w:w="1698" w:type="dxa"/>
                  <w:tcBorders>
                    <w:tl2br w:val="nil"/>
                    <w:tr2bl w:val="nil"/>
                  </w:tcBorders>
                  <w:noWrap w:val="0"/>
                  <w:vAlign w:val="center"/>
                </w:tcPr>
                <w:p w14:paraId="63910BC1">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本项目不涉及</w:t>
                  </w:r>
                  <w:r>
                    <w:rPr>
                      <w:rFonts w:hint="default" w:ascii="Times New Roman" w:hAnsi="Times New Roman" w:eastAsia="宋体" w:cs="Times New Roman"/>
                      <w:i w:val="0"/>
                      <w:iCs w:val="0"/>
                      <w:color w:val="auto"/>
                      <w:kern w:val="0"/>
                      <w:sz w:val="21"/>
                      <w:szCs w:val="21"/>
                      <w:u w:val="none"/>
                      <w:lang w:val="en-US" w:eastAsia="zh-CN" w:bidi="ar"/>
                    </w:rPr>
                    <w:t>煤炭使用。</w:t>
                  </w:r>
                </w:p>
              </w:tc>
              <w:tc>
                <w:tcPr>
                  <w:tcW w:w="1178" w:type="dxa"/>
                  <w:vMerge w:val="continue"/>
                  <w:tcBorders>
                    <w:tl2br w:val="nil"/>
                    <w:tr2bl w:val="nil"/>
                  </w:tcBorders>
                  <w:noWrap w:val="0"/>
                  <w:vAlign w:val="center"/>
                </w:tcPr>
                <w:p w14:paraId="6B0CB16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r>
          </w:tbl>
          <w:p w14:paraId="5CEF969D">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与《山东省大气污染防治条例》第三章大气污染防治措施第二节工业符合性分析</w:t>
            </w:r>
          </w:p>
          <w:p w14:paraId="400E582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snapToGrid w:val="0"/>
                <w:color w:val="auto"/>
                <w:kern w:val="0"/>
              </w:rPr>
            </w:pPr>
            <w:r>
              <w:rPr>
                <w:rFonts w:hint="default" w:ascii="Times New Roman" w:hAnsi="Times New Roman" w:cs="Times New Roman"/>
                <w:b/>
                <w:bCs/>
                <w:color w:val="auto"/>
                <w:kern w:val="0"/>
              </w:rPr>
              <w:t>表</w:t>
            </w:r>
            <w:r>
              <w:rPr>
                <w:rFonts w:hint="default" w:ascii="Times New Roman" w:hAnsi="Times New Roman" w:cs="Times New Roman"/>
                <w:b/>
                <w:bCs/>
                <w:color w:val="auto"/>
                <w:kern w:val="0"/>
                <w:lang w:val="en-US" w:eastAsia="zh-CN"/>
              </w:rPr>
              <w:t>1-6</w:t>
            </w:r>
            <w:r>
              <w:rPr>
                <w:rFonts w:hint="default" w:ascii="Times New Roman" w:hAnsi="Times New Roman" w:cs="Times New Roman"/>
                <w:b/>
                <w:color w:val="auto"/>
                <w:sz w:val="21"/>
                <w:szCs w:val="21"/>
              </w:rPr>
              <w:t>符合性分析</w:t>
            </w:r>
            <w:r>
              <w:rPr>
                <w:rFonts w:hint="default" w:ascii="Times New Roman" w:hAnsi="Times New Roman" w:cs="Times New Roman"/>
                <w:b/>
                <w:color w:val="auto"/>
                <w:sz w:val="21"/>
                <w:szCs w:val="21"/>
                <w:lang w:eastAsia="zh-CN"/>
              </w:rPr>
              <w:t>一览表</w:t>
            </w:r>
          </w:p>
          <w:tbl>
            <w:tblPr>
              <w:tblStyle w:val="32"/>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31"/>
              <w:gridCol w:w="1638"/>
            </w:tblGrid>
            <w:tr w14:paraId="32C1F7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6DC058A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文件要求</w:t>
                  </w:r>
                </w:p>
              </w:tc>
              <w:tc>
                <w:tcPr>
                  <w:tcW w:w="1638" w:type="dxa"/>
                  <w:tcBorders>
                    <w:tl2br w:val="nil"/>
                    <w:tr2bl w:val="nil"/>
                  </w:tcBorders>
                  <w:noWrap w:val="0"/>
                  <w:vAlign w:val="center"/>
                </w:tcPr>
                <w:p w14:paraId="3BB03E74">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本项目情况</w:t>
                  </w:r>
                </w:p>
              </w:tc>
            </w:tr>
            <w:tr w14:paraId="72D9B2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48D40812">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县级以上人民政府应当合理确定产业布局和发展规模，制定产业投资项目负面清单，严格控制新建、扩建钢铁、石化、化工、有色金属冶炼、水泥、平板玻璃、建筑陶瓷等工业项目，鼓励、支持现有的工业企业进行技术升级改造。</w:t>
                  </w:r>
                </w:p>
                <w:p w14:paraId="4214631E">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eastAsia="宋体" w:cs="Times New Roman"/>
                      <w:color w:val="auto"/>
                      <w:szCs w:val="21"/>
                    </w:rPr>
                    <w:t>在城市建成区及其周边的重污染企业，应当逐步进行搬迁改造或者转型退出</w:t>
                  </w:r>
                </w:p>
              </w:tc>
              <w:tc>
                <w:tcPr>
                  <w:tcW w:w="1638" w:type="dxa"/>
                  <w:tcBorders>
                    <w:tl2br w:val="nil"/>
                    <w:tr2bl w:val="nil"/>
                  </w:tcBorders>
                  <w:noWrap w:val="0"/>
                  <w:vAlign w:val="center"/>
                </w:tcPr>
                <w:p w14:paraId="191E556A">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lang w:eastAsia="zh-CN"/>
                    </w:rPr>
                    <w:t>本项目不涉及左列企业。</w:t>
                  </w:r>
                </w:p>
              </w:tc>
            </w:tr>
            <w:tr w14:paraId="73BEF5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29C6E2F1">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eastAsia="宋体" w:cs="Times New Roman"/>
                      <w:color w:val="auto"/>
                      <w:szCs w:val="21"/>
                      <w:lang w:val="en-US" w:eastAsia="zh-CN"/>
                    </w:rPr>
                    <w:t>石化、重点有机化工等工业企业应当建立泄漏检测与修复体系，对管道、设备等进行日常检修、维护，及时收集处理泄漏物料。</w:t>
                  </w:r>
                </w:p>
              </w:tc>
              <w:tc>
                <w:tcPr>
                  <w:tcW w:w="1638" w:type="dxa"/>
                  <w:tcBorders>
                    <w:tl2br w:val="nil"/>
                    <w:tr2bl w:val="nil"/>
                  </w:tcBorders>
                  <w:noWrap w:val="0"/>
                  <w:vAlign w:val="center"/>
                </w:tcPr>
                <w:p w14:paraId="024737FB">
                  <w:pPr>
                    <w:keepNext w:val="0"/>
                    <w:keepLines w:val="0"/>
                    <w:suppressLineNumbers w:val="0"/>
                    <w:spacing w:before="0" w:beforeAutospacing="0" w:after="0" w:afterAutospacing="0"/>
                    <w:ind w:left="0" w:right="0"/>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val="en-US" w:eastAsia="zh-CN"/>
                    </w:rPr>
                    <w:t>本项目不属于</w:t>
                  </w:r>
                  <w:r>
                    <w:rPr>
                      <w:rFonts w:hint="default" w:ascii="Times New Roman" w:hAnsi="Times New Roman" w:eastAsia="宋体" w:cs="Times New Roman"/>
                      <w:color w:val="auto"/>
                      <w:szCs w:val="21"/>
                      <w:lang w:val="en-US" w:eastAsia="zh-CN"/>
                    </w:rPr>
                    <w:t>石化、重点有机化工等工业企业。</w:t>
                  </w:r>
                </w:p>
              </w:tc>
            </w:tr>
            <w:tr w14:paraId="2CB8E6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7A55FFF7">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生产、销售、使用含挥发性有机物的原材料和产品的，其挥发性有机物含量应当符合质量标准或者要求。</w:t>
                  </w:r>
                </w:p>
                <w:p w14:paraId="3E001944">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省人民政府市场监管部门应当会同生态环境等部门，定期制定、调整低挥发性有机物含量产品目录和高挥发性有机物含量产品目录并向社会公布。</w:t>
                  </w:r>
                </w:p>
                <w:p w14:paraId="475DBE2F">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eastAsia="宋体" w:cs="Times New Roman"/>
                      <w:color w:val="auto"/>
                      <w:szCs w:val="21"/>
                      <w:lang w:val="en-US" w:eastAsia="zh-CN"/>
                    </w:rPr>
                    <w:t>列入高挥发性有机物含量产品目录的产品，应当在其包装或者说明中予以标注。</w:t>
                  </w:r>
                </w:p>
              </w:tc>
              <w:tc>
                <w:tcPr>
                  <w:tcW w:w="1638" w:type="dxa"/>
                  <w:tcBorders>
                    <w:tl2br w:val="nil"/>
                    <w:tr2bl w:val="nil"/>
                  </w:tcBorders>
                  <w:noWrap w:val="0"/>
                  <w:vAlign w:val="center"/>
                </w:tcPr>
                <w:p w14:paraId="5E9E6BB8">
                  <w:pPr>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本项目不涉及</w:t>
                  </w:r>
                  <w:r>
                    <w:rPr>
                      <w:rFonts w:hint="default" w:ascii="Times New Roman" w:hAnsi="Times New Roman" w:cs="Times New Roman"/>
                      <w:color w:val="auto"/>
                      <w:szCs w:val="21"/>
                      <w:lang w:val="en-US" w:eastAsia="zh-CN"/>
                    </w:rPr>
                    <w:t>。</w:t>
                  </w:r>
                </w:p>
              </w:tc>
            </w:tr>
            <w:tr w14:paraId="033B96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69AFAF3B">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下列产生含挥发性有机物废气的活动，应当使用低挥发性有机物含量的原料和工艺，按照规定在密闭空间或者设备中进行并安装、使用污染防治设施；无法密闭的，应当采取措施减少废气排放：</w:t>
                  </w:r>
                </w:p>
                <w:p w14:paraId="1C30B001">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（一）石化、煤化工等含挥发性有机物原料的生产；</w:t>
                  </w:r>
                </w:p>
                <w:p w14:paraId="6D257D5A">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（二）燃油、溶剂的储存、运输和销售；</w:t>
                  </w:r>
                </w:p>
                <w:p w14:paraId="0B73E162">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（三）涂料、油墨、胶粘剂、农药等以挥发性有机物为原料的生产；</w:t>
                  </w:r>
                </w:p>
                <w:p w14:paraId="3CE55CFA">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（四）涂装、印刷、粘合、工业清洗等含挥发性有机物的产品使用；</w:t>
                  </w:r>
                </w:p>
                <w:p w14:paraId="7E1579F2">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eastAsia="宋体" w:cs="Times New Roman"/>
                      <w:color w:val="auto"/>
                      <w:szCs w:val="21"/>
                      <w:lang w:val="en-US" w:eastAsia="zh-CN"/>
                    </w:rPr>
                    <w:t>（五）其他产生挥发性有机物的生产和服务活动</w:t>
                  </w:r>
                </w:p>
              </w:tc>
              <w:tc>
                <w:tcPr>
                  <w:tcW w:w="1638" w:type="dxa"/>
                  <w:tcBorders>
                    <w:tl2br w:val="nil"/>
                    <w:tr2bl w:val="nil"/>
                  </w:tcBorders>
                  <w:noWrap w:val="0"/>
                  <w:vAlign w:val="center"/>
                </w:tcPr>
                <w:p w14:paraId="2E60116F">
                  <w:pPr>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本项目不涉及</w:t>
                  </w:r>
                  <w:r>
                    <w:rPr>
                      <w:rFonts w:hint="default" w:ascii="Times New Roman" w:hAnsi="Times New Roman" w:cs="Times New Roman"/>
                      <w:color w:val="auto"/>
                      <w:szCs w:val="21"/>
                      <w:lang w:val="en-US" w:eastAsia="zh-CN"/>
                    </w:rPr>
                    <w:t>。</w:t>
                  </w:r>
                </w:p>
              </w:tc>
            </w:tr>
            <w:tr w14:paraId="56C1FA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0AF3F274">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eastAsia="宋体" w:cs="Times New Roman"/>
                      <w:color w:val="auto"/>
                      <w:szCs w:val="21"/>
                      <w:lang w:val="en-US" w:eastAsia="zh-CN"/>
                    </w:rPr>
                    <w:t>产生挥发性有机物的工业企业应当建立台账，如实记录生产原料、辅料的使用量、废弃量、去向以及挥发性有机物含量。台账保存期限不得少于三年</w:t>
                  </w:r>
                </w:p>
              </w:tc>
              <w:tc>
                <w:tcPr>
                  <w:tcW w:w="1638" w:type="dxa"/>
                  <w:tcBorders>
                    <w:tl2br w:val="nil"/>
                    <w:tr2bl w:val="nil"/>
                  </w:tcBorders>
                  <w:noWrap w:val="0"/>
                  <w:vAlign w:val="center"/>
                </w:tcPr>
                <w:p w14:paraId="0B193B6B">
                  <w:pPr>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本项目不涉及</w:t>
                  </w:r>
                  <w:r>
                    <w:rPr>
                      <w:rFonts w:hint="default" w:ascii="Times New Roman" w:hAnsi="Times New Roman" w:cs="Times New Roman"/>
                      <w:color w:val="auto"/>
                      <w:szCs w:val="21"/>
                      <w:lang w:val="en-US" w:eastAsia="zh-CN"/>
                    </w:rPr>
                    <w:t>。</w:t>
                  </w:r>
                </w:p>
              </w:tc>
            </w:tr>
            <w:tr w14:paraId="3DCD32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59A13393">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向大气排放恶臭气体的排污单位以及垃圾处置场、污水处理厂，应当按照规定设置合理的防护距离，安装净化装置或者采取其他措施减少恶臭气体排放</w:t>
                  </w:r>
                </w:p>
                <w:p w14:paraId="52216AD7">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在居民住宅区等人口密集区域和医院、学校、幼儿园、养老院等其他需要特殊保护的区域及其周边，不得新建、改建和扩建石化、焦化、制药、油漆、塑料、橡胶、造纸、饲料等产生恶臭气体的生产项目或者从事其他产生恶臭气体的生产经营活动</w:t>
                  </w:r>
                </w:p>
              </w:tc>
              <w:tc>
                <w:tcPr>
                  <w:tcW w:w="1638" w:type="dxa"/>
                  <w:tcBorders>
                    <w:tl2br w:val="nil"/>
                    <w:tr2bl w:val="nil"/>
                  </w:tcBorders>
                  <w:noWrap w:val="0"/>
                  <w:vAlign w:val="center"/>
                </w:tcPr>
                <w:p w14:paraId="4B248172">
                  <w:pPr>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本项目不涉及</w:t>
                  </w:r>
                  <w:r>
                    <w:rPr>
                      <w:rFonts w:hint="default" w:ascii="Times New Roman" w:hAnsi="Times New Roman" w:cs="Times New Roman"/>
                      <w:color w:val="auto"/>
                      <w:szCs w:val="21"/>
                      <w:lang w:val="en-US" w:eastAsia="zh-CN"/>
                    </w:rPr>
                    <w:t>。</w:t>
                  </w:r>
                </w:p>
              </w:tc>
            </w:tr>
            <w:tr w14:paraId="7DB8E1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7C936C6A">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eastAsia="宋体" w:cs="Times New Roman"/>
                      <w:color w:val="auto"/>
                      <w:szCs w:val="21"/>
                      <w:lang w:val="en-US" w:eastAsia="zh-CN"/>
                    </w:rPr>
                    <w:t>向大气排放有毒有害污染物和持久性有机污染物的排污单位，应当按照国家规定采取有利于减少污染物排放的技术方法和工艺，配备有效的净化装置并保持正常运行，实现达标排放</w:t>
                  </w:r>
                </w:p>
              </w:tc>
              <w:tc>
                <w:tcPr>
                  <w:tcW w:w="1638" w:type="dxa"/>
                  <w:tcBorders>
                    <w:tl2br w:val="nil"/>
                    <w:tr2bl w:val="nil"/>
                  </w:tcBorders>
                  <w:noWrap w:val="0"/>
                  <w:vAlign w:val="center"/>
                </w:tcPr>
                <w:p w14:paraId="679589F5">
                  <w:pPr>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本项目不涉及</w:t>
                  </w:r>
                  <w:r>
                    <w:rPr>
                      <w:rFonts w:hint="default" w:ascii="Times New Roman" w:hAnsi="Times New Roman" w:cs="Times New Roman"/>
                      <w:color w:val="auto"/>
                      <w:szCs w:val="21"/>
                      <w:lang w:val="en-US" w:eastAsia="zh-CN"/>
                    </w:rPr>
                    <w:t>。</w:t>
                  </w:r>
                </w:p>
              </w:tc>
            </w:tr>
            <w:tr w14:paraId="558BE07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833" w:type="dxa"/>
                  <w:tcBorders>
                    <w:tl2br w:val="nil"/>
                    <w:tr2bl w:val="nil"/>
                  </w:tcBorders>
                  <w:noWrap w:val="0"/>
                  <w:vAlign w:val="center"/>
                </w:tcPr>
                <w:p w14:paraId="5D4F9D23">
                  <w:pPr>
                    <w:keepNext w:val="0"/>
                    <w:keepLines w:val="0"/>
                    <w:suppressLineNumbers w:val="0"/>
                    <w:spacing w:before="0" w:beforeAutospacing="0" w:after="0" w:afterAutospacing="0"/>
                    <w:ind w:left="0" w:right="0"/>
                    <w:rPr>
                      <w:rFonts w:hint="default" w:ascii="Times New Roman" w:hAnsi="Times New Roman" w:eastAsia="仿宋_GB2312" w:cs="Times New Roman"/>
                      <w:color w:val="auto"/>
                      <w:kern w:val="0"/>
                      <w:sz w:val="32"/>
                      <w:szCs w:val="32"/>
                    </w:rPr>
                  </w:pPr>
                  <w:r>
                    <w:rPr>
                      <w:rFonts w:hint="default" w:ascii="Times New Roman" w:hAnsi="Times New Roman" w:eastAsia="宋体" w:cs="Times New Roman"/>
                      <w:color w:val="auto"/>
                      <w:szCs w:val="21"/>
                      <w:lang w:val="en-US" w:eastAsia="zh-CN"/>
                    </w:rPr>
                    <w:t>企业事业单位和其他生产经营者应当严格执行国家有关消耗臭氧层物质的生产、销售、使用和进出口管理规定，建立科学有效的回收利用和安全处置制度，不得随意排放、抛洒或者丢弃</w:t>
                  </w:r>
                </w:p>
              </w:tc>
              <w:tc>
                <w:tcPr>
                  <w:tcW w:w="1638" w:type="dxa"/>
                  <w:tcBorders>
                    <w:tl2br w:val="nil"/>
                    <w:tr2bl w:val="nil"/>
                  </w:tcBorders>
                  <w:noWrap w:val="0"/>
                  <w:vAlign w:val="center"/>
                </w:tcPr>
                <w:p w14:paraId="639BF17D">
                  <w:pPr>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本项目不涉及</w:t>
                  </w:r>
                  <w:r>
                    <w:rPr>
                      <w:rFonts w:hint="default" w:ascii="Times New Roman" w:hAnsi="Times New Roman" w:eastAsia="宋体" w:cs="Times New Roman"/>
                      <w:color w:val="auto"/>
                      <w:szCs w:val="21"/>
                      <w:lang w:val="en-US" w:eastAsia="zh-CN"/>
                    </w:rPr>
                    <w:t>消耗臭氧层物质。</w:t>
                  </w:r>
                </w:p>
              </w:tc>
            </w:tr>
          </w:tbl>
          <w:p w14:paraId="6ACCAA4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bCs/>
                <w:color w:val="auto"/>
                <w:sz w:val="24"/>
                <w:highlight w:val="none"/>
              </w:rPr>
            </w:pPr>
            <w:r>
              <w:rPr>
                <w:rFonts w:hint="default" w:ascii="Times New Roman" w:hAnsi="Times New Roman" w:eastAsia="宋体" w:cs="Times New Roman"/>
                <w:snapToGrid w:val="0"/>
                <w:color w:val="auto"/>
                <w:kern w:val="0"/>
                <w:sz w:val="24"/>
                <w:szCs w:val="32"/>
                <w:highlight w:val="none"/>
                <w:lang w:val="en-US" w:eastAsia="zh-CN"/>
              </w:rPr>
              <w:t>本</w:t>
            </w:r>
            <w:r>
              <w:rPr>
                <w:rFonts w:hint="default" w:ascii="Times New Roman" w:hAnsi="Times New Roman" w:eastAsia="宋体" w:cs="Times New Roman"/>
                <w:snapToGrid w:val="0"/>
                <w:color w:val="auto"/>
                <w:kern w:val="0"/>
                <w:sz w:val="24"/>
                <w:szCs w:val="32"/>
                <w:highlight w:val="none"/>
              </w:rPr>
              <w:t>项目的建设符合《山东省大气污染防治条例》第三章大气污染防治措施第二节工业要求。</w:t>
            </w:r>
          </w:p>
          <w:p w14:paraId="3A2074B4">
            <w:pPr>
              <w:keepNext w:val="0"/>
              <w:keepLines w:val="0"/>
              <w:suppressLineNumbers w:val="0"/>
              <w:spacing w:before="0" w:beforeAutospacing="0" w:after="0" w:afterAutospacing="0"/>
              <w:ind w:left="0" w:right="0" w:firstLine="482" w:firstLineChars="200"/>
              <w:rPr>
                <w:rFonts w:hint="default" w:ascii="Times New Roman" w:hAnsi="Times New Roman" w:cs="Times New Roman"/>
                <w:b/>
                <w:color w:val="auto"/>
                <w:sz w:val="24"/>
                <w:highlight w:val="none"/>
              </w:rPr>
            </w:pPr>
            <w:r>
              <w:rPr>
                <w:rFonts w:hint="default" w:ascii="Times New Roman" w:hAnsi="Times New Roman" w:cs="Times New Roman"/>
                <w:b/>
                <w:bCs/>
                <w:color w:val="auto"/>
                <w:sz w:val="24"/>
                <w:highlight w:val="none"/>
                <w:lang w:val="en-US" w:eastAsia="zh-CN"/>
              </w:rPr>
              <w:t>5</w:t>
            </w:r>
            <w:r>
              <w:rPr>
                <w:rFonts w:hint="default" w:ascii="Times New Roman" w:hAnsi="Times New Roman" w:cs="Times New Roman"/>
                <w:b/>
                <w:bCs/>
                <w:color w:val="auto"/>
                <w:sz w:val="24"/>
                <w:highlight w:val="none"/>
              </w:rPr>
              <w:t>、与《山东省环境保护条例》（2018.11.30修订）符合性分析</w:t>
            </w:r>
          </w:p>
          <w:p w14:paraId="759C0D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表1-7符合性分析一览表</w:t>
            </w:r>
          </w:p>
          <w:tbl>
            <w:tblPr>
              <w:tblStyle w:val="32"/>
              <w:tblW w:w="4992"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64"/>
              <w:gridCol w:w="4459"/>
              <w:gridCol w:w="2240"/>
            </w:tblGrid>
            <w:tr w14:paraId="3B7853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64" w:type="dxa"/>
                  <w:noWrap w:val="0"/>
                  <w:vAlign w:val="center"/>
                </w:tcPr>
                <w:p w14:paraId="43914B7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4461" w:type="dxa"/>
                  <w:noWrap w:val="0"/>
                  <w:vAlign w:val="center"/>
                </w:tcPr>
                <w:p w14:paraId="0BC1BF9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《山东省环境保护条例》具体规定</w:t>
                  </w:r>
                </w:p>
              </w:tc>
              <w:tc>
                <w:tcPr>
                  <w:tcW w:w="2241" w:type="dxa"/>
                  <w:noWrap w:val="0"/>
                  <w:vAlign w:val="center"/>
                </w:tcPr>
                <w:p w14:paraId="30FFA3CA">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本项目情况</w:t>
                  </w:r>
                </w:p>
              </w:tc>
            </w:tr>
            <w:tr w14:paraId="1DF8B7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64" w:type="dxa"/>
                  <w:vMerge w:val="restart"/>
                  <w:noWrap w:val="0"/>
                  <w:vAlign w:val="center"/>
                </w:tcPr>
                <w:p w14:paraId="3D401AC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防治污染和其他公害</w:t>
                  </w:r>
                </w:p>
              </w:tc>
              <w:tc>
                <w:tcPr>
                  <w:tcW w:w="4461" w:type="dxa"/>
                  <w:noWrap w:val="0"/>
                  <w:vAlign w:val="center"/>
                </w:tcPr>
                <w:p w14:paraId="6ACCC33F">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污单位应采取措施，防治在生产建设或者其他活动中产生的废气、废水、废渣、医疗废物、颗粒物、恶臭气体、放射性物质以及噪声、振动、光辐射、电磁辐射等对环境的污染和危害，其污染排放不得超过排放标准和重点污染物排放总量控制指标。</w:t>
                  </w:r>
                </w:p>
              </w:tc>
              <w:tc>
                <w:tcPr>
                  <w:tcW w:w="2241" w:type="dxa"/>
                  <w:noWrap w:val="0"/>
                  <w:vAlign w:val="center"/>
                </w:tcPr>
                <w:p w14:paraId="1D217ED0">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eastAsia="宋体" w:cs="Times New Roman"/>
                      <w:color w:val="auto"/>
                      <w:sz w:val="21"/>
                      <w:szCs w:val="21"/>
                      <w:highlight w:val="none"/>
                      <w:lang w:val="en-US" w:eastAsia="zh-CN"/>
                    </w:rPr>
                    <w:t>盐酸配置过程产生的氯化氢，一次搅拌投料过程产生的氯化氢、颗粒物一同由密闭管道收集，经二级水喷淋+除雾器+布袋除尘器处理后，由15m高DA001排气筒有组织排放；烘干过程产生的颗粒物、二氧化硫、氮氧化物由密闭管道收集，经SNCR脱硝装置+布袋除尘器处理后，与SNCR脱硝设备逃逸的氨一同由15m高DA002排气筒有组织排放</w:t>
                  </w:r>
                  <w:r>
                    <w:rPr>
                      <w:rFonts w:hint="default" w:ascii="Times New Roman" w:hAnsi="Times New Roman" w:eastAsia="宋体" w:cs="Times New Roman"/>
                      <w:color w:val="auto"/>
                      <w:sz w:val="21"/>
                      <w:szCs w:val="21"/>
                      <w:highlight w:val="none"/>
                      <w:lang w:val="en-US" w:eastAsia="zh-CN"/>
                    </w:rPr>
                    <w:t>，能够实现达标排放。</w:t>
                  </w:r>
                </w:p>
              </w:tc>
            </w:tr>
            <w:tr w14:paraId="6D598E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64" w:type="dxa"/>
                  <w:vMerge w:val="continue"/>
                  <w:noWrap w:val="0"/>
                  <w:vAlign w:val="center"/>
                </w:tcPr>
                <w:p w14:paraId="5352ED96">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tc>
              <w:tc>
                <w:tcPr>
                  <w:tcW w:w="4461" w:type="dxa"/>
                  <w:noWrap w:val="0"/>
                  <w:vAlign w:val="center"/>
                </w:tcPr>
                <w:p w14:paraId="61B8F336">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w:t>
                  </w:r>
                </w:p>
              </w:tc>
              <w:tc>
                <w:tcPr>
                  <w:tcW w:w="2241" w:type="dxa"/>
                  <w:noWrap w:val="0"/>
                  <w:vAlign w:val="center"/>
                </w:tcPr>
                <w:p w14:paraId="16048B75">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企业不属于重点排污单位，符合。</w:t>
                  </w:r>
                </w:p>
              </w:tc>
            </w:tr>
            <w:tr w14:paraId="3C0302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64" w:type="dxa"/>
                  <w:vMerge w:val="continue"/>
                  <w:noWrap w:val="0"/>
                  <w:vAlign w:val="center"/>
                </w:tcPr>
                <w:p w14:paraId="7177FF71">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tc>
              <w:tc>
                <w:tcPr>
                  <w:tcW w:w="4461" w:type="dxa"/>
                  <w:noWrap w:val="0"/>
                  <w:vAlign w:val="center"/>
                </w:tcPr>
                <w:p w14:paraId="4D8683BF">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各级人民政府及其有关部门应当加强重金属污染防治，确定重点防控的重金属污染地区、行业和企业，加强对涉铅、镉、汞、铬和类金属砷等加工企业的环境监管，推进涉重金属企业的技术改造和集中治理，实现重金属深度处理和循环利用，减少污染排放。禁止在重点防控区域内新建、改建、扩建增加重金属污染物排放总量的建设项目。</w:t>
                  </w:r>
                </w:p>
              </w:tc>
              <w:tc>
                <w:tcPr>
                  <w:tcW w:w="2241" w:type="dxa"/>
                  <w:noWrap w:val="0"/>
                  <w:vAlign w:val="center"/>
                </w:tcPr>
                <w:p w14:paraId="6977F98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本项目不涉及重金属产生及排放；符合。</w:t>
                  </w:r>
                </w:p>
              </w:tc>
            </w:tr>
            <w:tr w14:paraId="5A9476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64" w:type="dxa"/>
                  <w:vMerge w:val="continue"/>
                  <w:noWrap w:val="0"/>
                  <w:vAlign w:val="center"/>
                </w:tcPr>
                <w:p w14:paraId="6128779B">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rPr>
                  </w:pPr>
                </w:p>
              </w:tc>
              <w:tc>
                <w:tcPr>
                  <w:tcW w:w="4461" w:type="dxa"/>
                  <w:noWrap w:val="0"/>
                  <w:vAlign w:val="center"/>
                </w:tcPr>
                <w:p w14:paraId="01B636BE">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新建有污染物排放的工业项目，除在安全生产等方面有特殊要求的以外，应当进入工业园区或者工业集聚区</w:t>
                  </w:r>
                </w:p>
              </w:tc>
              <w:tc>
                <w:tcPr>
                  <w:tcW w:w="2241" w:type="dxa"/>
                  <w:noWrap w:val="0"/>
                  <w:vAlign w:val="center"/>
                </w:tcPr>
                <w:p w14:paraId="62143B06">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本项目位于双杨镇工业集聚区内。</w:t>
                  </w:r>
                </w:p>
              </w:tc>
            </w:tr>
          </w:tbl>
          <w:p w14:paraId="1601EE91">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综上，本项目建设符合《山东省环境保护条例》（2018年11月30日修订）要求。</w:t>
            </w:r>
          </w:p>
          <w:p w14:paraId="297549F4">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6、与《关于做好环境影响评价制度与排污许可制衔接相关工作的通知》（环办环评〔2017〕84号）符合性分析</w:t>
            </w:r>
          </w:p>
          <w:p w14:paraId="364FA36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表1-</w:t>
            </w:r>
            <w:r>
              <w:rPr>
                <w:rFonts w:hint="default" w:ascii="Times New Roman" w:hAnsi="Times New Roman" w:cs="Times New Roman"/>
                <w:b/>
                <w:color w:val="auto"/>
                <w:szCs w:val="21"/>
                <w:lang w:val="en-US" w:eastAsia="zh-CN"/>
              </w:rPr>
              <w:t>8</w:t>
            </w:r>
            <w:r>
              <w:rPr>
                <w:rFonts w:hint="default" w:ascii="Times New Roman" w:hAnsi="Times New Roman" w:cs="Times New Roman"/>
                <w:b/>
                <w:color w:val="auto"/>
                <w:szCs w:val="21"/>
              </w:rPr>
              <w:t>符合性分析一览表</w:t>
            </w:r>
          </w:p>
          <w:tbl>
            <w:tblPr>
              <w:tblStyle w:val="32"/>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33"/>
              <w:gridCol w:w="1638"/>
            </w:tblGrid>
            <w:tr w14:paraId="278726A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283" w:type="dxa"/>
                  <w:noWrap w:val="0"/>
                  <w:vAlign w:val="center"/>
                </w:tcPr>
                <w:p w14:paraId="27341E94">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文件要求</w:t>
                  </w:r>
                </w:p>
              </w:tc>
              <w:tc>
                <w:tcPr>
                  <w:tcW w:w="1483" w:type="dxa"/>
                  <w:noWrap w:val="0"/>
                  <w:vAlign w:val="center"/>
                </w:tcPr>
                <w:p w14:paraId="0D73C1FF">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本项目情况</w:t>
                  </w:r>
                </w:p>
              </w:tc>
            </w:tr>
            <w:tr w14:paraId="1A8D27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9" w:hRule="atLeast"/>
                <w:jc w:val="center"/>
              </w:trPr>
              <w:tc>
                <w:tcPr>
                  <w:tcW w:w="5283" w:type="dxa"/>
                  <w:noWrap w:val="0"/>
                  <w:vAlign w:val="center"/>
                </w:tcPr>
                <w:p w14:paraId="3E19801F">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改扩建项目的环境影响评价，应当将排污许可证执行情况作为现有工程回顾评价的主要依据。现有工程应按照相关法律、法规、规章关于排污许可实施范围和步骤的规定，按时申请并获取排污许可证，并在申请改扩建项目环境影响报告书（表）时，依法提交相关排污许可证执行报告。</w:t>
                  </w:r>
                </w:p>
              </w:tc>
              <w:tc>
                <w:tcPr>
                  <w:tcW w:w="1483" w:type="dxa"/>
                  <w:noWrap w:val="0"/>
                  <w:vAlign w:val="center"/>
                </w:tcPr>
                <w:p w14:paraId="521462B5">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企业实行排污许可证登记管理；符合。</w:t>
                  </w:r>
                </w:p>
              </w:tc>
            </w:tr>
            <w:tr w14:paraId="50B30E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9" w:hRule="atLeast"/>
                <w:jc w:val="center"/>
              </w:trPr>
              <w:tc>
                <w:tcPr>
                  <w:tcW w:w="5283" w:type="dxa"/>
                  <w:noWrap w:val="0"/>
                  <w:vAlign w:val="center"/>
                </w:tcPr>
                <w:p w14:paraId="5F3361B0">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国家将分行业制定建设项目重大变动清单。建设项目的环境影响报告书（表）经批准后，建设项目的性质、规模、地点、采用的生产工艺或者防治污染、防止生态破坏的措施发生重大变动的，建设单位应当依法重新报批环境影响评价文件，并在申请排污许可时提交重新报批的环评批复（文号）。发生变动但不属于重大变动情形的建设项目，环境影响报告书（表）2015年1月1日（含）后获得批准的，排污许可证核发部门按照污染物排放标准、总量控制要求、环境影响报告书（表）以及审批文件从严核发，其他建设项目由排污许可证核发部门按照排污许可证申请与核发技术规范要求核发。</w:t>
                  </w:r>
                </w:p>
              </w:tc>
              <w:tc>
                <w:tcPr>
                  <w:tcW w:w="1483" w:type="dxa"/>
                  <w:noWrap w:val="0"/>
                  <w:vAlign w:val="center"/>
                </w:tcPr>
                <w:p w14:paraId="6FD106A7">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 xml:space="preserve">严格按文件要求执行。 </w:t>
                  </w:r>
                </w:p>
              </w:tc>
            </w:tr>
            <w:tr w14:paraId="294AEF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9" w:hRule="atLeast"/>
                <w:jc w:val="center"/>
              </w:trPr>
              <w:tc>
                <w:tcPr>
                  <w:tcW w:w="5283" w:type="dxa"/>
                  <w:noWrap w:val="0"/>
                  <w:vAlign w:val="center"/>
                </w:tcPr>
                <w:p w14:paraId="05B9A362">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做好《建设项目环境影响评价分类管理名录》和《固定污染源排污许可分类管理名录》的衔接，按照建设项目对环境的影响程度、污染物产生量和排放量，实行统一分类管理。纳入排污许可管理的建设项目，可能造成重大环境影响、应当编制环境影响报告书的，原则上实行排污许可重点管理；可能造成轻度环境影响、应当编制环境影响报告表的，原则上实行排污许可简化管理。</w:t>
                  </w:r>
                </w:p>
              </w:tc>
              <w:tc>
                <w:tcPr>
                  <w:tcW w:w="1483" w:type="dxa"/>
                  <w:noWrap w:val="0"/>
                  <w:vAlign w:val="center"/>
                </w:tcPr>
                <w:p w14:paraId="00587291">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企业实行排污许可证登记管理，按时申请并获取排污许可</w:t>
                  </w:r>
                  <w:r>
                    <w:rPr>
                      <w:rFonts w:hint="eastAsia" w:ascii="Times New Roman" w:hAnsi="Times New Roman" w:cs="Times New Roman"/>
                      <w:color w:val="auto"/>
                      <w:szCs w:val="21"/>
                      <w:lang w:val="en-US" w:eastAsia="zh-CN"/>
                    </w:rPr>
                    <w:t>回执</w:t>
                  </w:r>
                  <w:r>
                    <w:rPr>
                      <w:rFonts w:hint="default" w:ascii="Times New Roman" w:hAnsi="Times New Roman" w:cs="Times New Roman"/>
                      <w:color w:val="auto"/>
                      <w:szCs w:val="21"/>
                    </w:rPr>
                    <w:t>；符合。</w:t>
                  </w:r>
                </w:p>
              </w:tc>
            </w:tr>
          </w:tbl>
          <w:p w14:paraId="7BB6DA48">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
                <w:bCs/>
                <w:color w:val="auto"/>
                <w:sz w:val="24"/>
                <w:szCs w:val="32"/>
                <w:highlight w:val="none"/>
                <w:lang w:val="en-US" w:eastAsia="zh-CN"/>
              </w:rPr>
            </w:pPr>
            <w:r>
              <w:rPr>
                <w:rFonts w:hint="default" w:ascii="Times New Roman" w:hAnsi="Times New Roman" w:cs="Times New Roman"/>
                <w:snapToGrid w:val="0"/>
                <w:color w:val="auto"/>
                <w:kern w:val="0"/>
              </w:rPr>
              <w:t>综上，本项目建设符合《关于做好环境影响评价制度与排污许可制衔接相关工作的通知》（环办环评〔2017〕84号）要求。</w:t>
            </w:r>
          </w:p>
          <w:p w14:paraId="147C86D9">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color w:val="auto"/>
                <w:szCs w:val="21"/>
                <w:highlight w:val="none"/>
              </w:rPr>
            </w:pPr>
            <w:r>
              <w:rPr>
                <w:rFonts w:hint="default" w:ascii="Times New Roman" w:hAnsi="Times New Roman" w:cs="Times New Roman"/>
                <w:b/>
                <w:bCs/>
                <w:color w:val="auto"/>
                <w:sz w:val="24"/>
                <w:szCs w:val="32"/>
                <w:highlight w:val="none"/>
                <w:lang w:val="en-US" w:eastAsia="zh-CN"/>
              </w:rPr>
              <w:t>7</w:t>
            </w:r>
            <w:r>
              <w:rPr>
                <w:rFonts w:hint="default" w:ascii="Times New Roman" w:hAnsi="Times New Roman" w:cs="Times New Roman"/>
                <w:b/>
                <w:bCs/>
                <w:color w:val="auto"/>
                <w:sz w:val="24"/>
                <w:szCs w:val="32"/>
                <w:highlight w:val="none"/>
              </w:rPr>
              <w:t>、</w:t>
            </w:r>
            <w:r>
              <w:rPr>
                <w:rFonts w:hint="default" w:ascii="Times New Roman" w:hAnsi="Times New Roman" w:cs="Times New Roman"/>
                <w:b/>
                <w:bCs/>
                <w:color w:val="auto"/>
                <w:sz w:val="24"/>
                <w:highlight w:val="none"/>
              </w:rPr>
              <w:t>与《山东省生态环境厅关于印发山东省工业企业无组织排放分行业管控指导意见的通知》（鲁环发〔2020〕30号）符合性分析</w:t>
            </w:r>
          </w:p>
          <w:p w14:paraId="4734BE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w:t>
            </w:r>
            <w:r>
              <w:rPr>
                <w:rFonts w:hint="eastAsia" w:ascii="Times New Roman" w:hAnsi="Times New Roman" w:eastAsia="宋体" w:cs="Times New Roman"/>
                <w:b/>
                <w:color w:val="auto"/>
                <w:szCs w:val="21"/>
                <w:highlight w:val="none"/>
                <w:lang w:val="en-US" w:eastAsia="zh-CN"/>
              </w:rPr>
              <w:t>9</w:t>
            </w:r>
            <w:r>
              <w:rPr>
                <w:rFonts w:hint="default" w:ascii="Times New Roman" w:hAnsi="Times New Roman" w:eastAsia="宋体" w:cs="Times New Roman"/>
                <w:b/>
                <w:color w:val="auto"/>
                <w:szCs w:val="21"/>
                <w:highlight w:val="none"/>
                <w:lang w:val="en-US" w:eastAsia="zh-CN"/>
              </w:rPr>
              <w:t>建设项目与鲁环发〔2020〕30号符合性分析</w:t>
            </w:r>
          </w:p>
          <w:tbl>
            <w:tblPr>
              <w:tblStyle w:val="32"/>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779"/>
              <w:gridCol w:w="4261"/>
              <w:gridCol w:w="1748"/>
              <w:gridCol w:w="686"/>
            </w:tblGrid>
            <w:tr w14:paraId="4FB17A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779" w:type="dxa"/>
                  <w:tcBorders>
                    <w:tl2br w:val="nil"/>
                    <w:tr2bl w:val="nil"/>
                  </w:tcBorders>
                  <w:noWrap w:val="0"/>
                  <w:tcMar>
                    <w:top w:w="0" w:type="dxa"/>
                    <w:left w:w="45" w:type="dxa"/>
                    <w:bottom w:w="0" w:type="dxa"/>
                    <w:right w:w="45" w:type="dxa"/>
                  </w:tcMar>
                  <w:vAlign w:val="center"/>
                </w:tcPr>
                <w:p w14:paraId="5EA7AA1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文件要求</w:t>
                  </w:r>
                </w:p>
              </w:tc>
              <w:tc>
                <w:tcPr>
                  <w:tcW w:w="4262" w:type="dxa"/>
                  <w:tcBorders>
                    <w:tl2br w:val="nil"/>
                    <w:tr2bl w:val="nil"/>
                  </w:tcBorders>
                  <w:noWrap w:val="0"/>
                  <w:tcMar>
                    <w:top w:w="0" w:type="dxa"/>
                    <w:left w:w="45" w:type="dxa"/>
                    <w:bottom w:w="0" w:type="dxa"/>
                    <w:right w:w="45" w:type="dxa"/>
                  </w:tcMar>
                  <w:vAlign w:val="center"/>
                </w:tcPr>
                <w:p w14:paraId="02E06FEF">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具体规定</w:t>
                  </w:r>
                </w:p>
              </w:tc>
              <w:tc>
                <w:tcPr>
                  <w:tcW w:w="1748" w:type="dxa"/>
                  <w:tcBorders>
                    <w:tl2br w:val="nil"/>
                    <w:tr2bl w:val="nil"/>
                  </w:tcBorders>
                  <w:noWrap w:val="0"/>
                  <w:tcMar>
                    <w:top w:w="0" w:type="dxa"/>
                    <w:left w:w="45" w:type="dxa"/>
                    <w:bottom w:w="0" w:type="dxa"/>
                    <w:right w:w="45" w:type="dxa"/>
                  </w:tcMar>
                  <w:vAlign w:val="center"/>
                </w:tcPr>
                <w:p w14:paraId="31495941">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本项目情况</w:t>
                  </w:r>
                </w:p>
              </w:tc>
              <w:tc>
                <w:tcPr>
                  <w:tcW w:w="686" w:type="dxa"/>
                  <w:tcBorders>
                    <w:tl2br w:val="nil"/>
                    <w:tr2bl w:val="nil"/>
                  </w:tcBorders>
                  <w:noWrap w:val="0"/>
                  <w:tcMar>
                    <w:top w:w="0" w:type="dxa"/>
                    <w:left w:w="45" w:type="dxa"/>
                    <w:bottom w:w="0" w:type="dxa"/>
                    <w:right w:w="45" w:type="dxa"/>
                  </w:tcMar>
                  <w:vAlign w:val="center"/>
                </w:tcPr>
                <w:p w14:paraId="52DA18B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符合</w:t>
                  </w:r>
                </w:p>
                <w:p w14:paraId="3757505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情况</w:t>
                  </w:r>
                </w:p>
              </w:tc>
            </w:tr>
            <w:tr w14:paraId="26887D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779" w:type="dxa"/>
                  <w:tcBorders>
                    <w:tl2br w:val="nil"/>
                    <w:tr2bl w:val="nil"/>
                  </w:tcBorders>
                  <w:noWrap w:val="0"/>
                  <w:tcMar>
                    <w:top w:w="0" w:type="dxa"/>
                    <w:left w:w="45" w:type="dxa"/>
                    <w:bottom w:w="0" w:type="dxa"/>
                    <w:right w:w="45" w:type="dxa"/>
                  </w:tcMar>
                  <w:vAlign w:val="center"/>
                </w:tcPr>
                <w:p w14:paraId="484DCCF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加强物料运输、装卸环节管控</w:t>
                  </w:r>
                </w:p>
              </w:tc>
              <w:tc>
                <w:tcPr>
                  <w:tcW w:w="4262" w:type="dxa"/>
                  <w:tcBorders>
                    <w:tl2br w:val="nil"/>
                    <w:tr2bl w:val="nil"/>
                  </w:tcBorders>
                  <w:noWrap w:val="0"/>
                  <w:tcMar>
                    <w:top w:w="0" w:type="dxa"/>
                    <w:left w:w="45" w:type="dxa"/>
                    <w:bottom w:w="0" w:type="dxa"/>
                    <w:right w:w="45" w:type="dxa"/>
                  </w:tcMar>
                  <w:vAlign w:val="center"/>
                </w:tcPr>
                <w:p w14:paraId="646B5592">
                  <w:pPr>
                    <w:keepNext w:val="0"/>
                    <w:keepLines w:val="0"/>
                    <w:suppressLineNumbers w:val="0"/>
                    <w:spacing w:before="0" w:beforeAutospacing="0" w:after="0" w:afterAutospacing="0"/>
                    <w:ind w:left="0" w:right="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w:t>
                  </w:r>
                </w:p>
              </w:tc>
              <w:tc>
                <w:tcPr>
                  <w:tcW w:w="1748" w:type="dxa"/>
                  <w:tcBorders>
                    <w:tl2br w:val="nil"/>
                    <w:tr2bl w:val="nil"/>
                  </w:tcBorders>
                  <w:noWrap w:val="0"/>
                  <w:tcMar>
                    <w:top w:w="0" w:type="dxa"/>
                    <w:left w:w="45" w:type="dxa"/>
                    <w:bottom w:w="0" w:type="dxa"/>
                    <w:right w:w="45" w:type="dxa"/>
                  </w:tcMar>
                  <w:vAlign w:val="center"/>
                </w:tcPr>
                <w:p w14:paraId="5C6CB79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本项目所在厂区道路已硬化，无裸露土地。</w:t>
                  </w:r>
                </w:p>
              </w:tc>
              <w:tc>
                <w:tcPr>
                  <w:tcW w:w="686" w:type="dxa"/>
                  <w:tcBorders>
                    <w:tl2br w:val="nil"/>
                    <w:tr2bl w:val="nil"/>
                  </w:tcBorders>
                  <w:noWrap w:val="0"/>
                  <w:tcMar>
                    <w:top w:w="0" w:type="dxa"/>
                    <w:left w:w="45" w:type="dxa"/>
                    <w:bottom w:w="0" w:type="dxa"/>
                    <w:right w:w="45" w:type="dxa"/>
                  </w:tcMar>
                  <w:vAlign w:val="center"/>
                </w:tcPr>
                <w:p w14:paraId="32B993F7">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6F475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779" w:type="dxa"/>
                  <w:tcBorders>
                    <w:tl2br w:val="nil"/>
                    <w:tr2bl w:val="nil"/>
                  </w:tcBorders>
                  <w:noWrap w:val="0"/>
                  <w:tcMar>
                    <w:top w:w="0" w:type="dxa"/>
                    <w:left w:w="45" w:type="dxa"/>
                    <w:bottom w:w="0" w:type="dxa"/>
                    <w:right w:w="45" w:type="dxa"/>
                  </w:tcMar>
                  <w:vAlign w:val="center"/>
                </w:tcPr>
                <w:p w14:paraId="6A889DE7">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加强生产环节管控。</w:t>
                  </w:r>
                </w:p>
              </w:tc>
              <w:tc>
                <w:tcPr>
                  <w:tcW w:w="4262" w:type="dxa"/>
                  <w:tcBorders>
                    <w:tl2br w:val="nil"/>
                    <w:tr2bl w:val="nil"/>
                  </w:tcBorders>
                  <w:noWrap w:val="0"/>
                  <w:tcMar>
                    <w:top w:w="0" w:type="dxa"/>
                    <w:left w:w="45" w:type="dxa"/>
                    <w:bottom w:w="0" w:type="dxa"/>
                    <w:right w:w="45" w:type="dxa"/>
                  </w:tcMar>
                  <w:vAlign w:val="center"/>
                </w:tcPr>
                <w:p w14:paraId="4816719F">
                  <w:pPr>
                    <w:keepNext w:val="0"/>
                    <w:keepLines w:val="0"/>
                    <w:suppressLineNumbers w:val="0"/>
                    <w:spacing w:before="0" w:beforeAutospacing="0" w:after="0" w:afterAutospacing="0"/>
                    <w:ind w:left="0" w:right="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生产过程中的产尘点和VOCs产生点密闭、封闭或采取有效收集处理措施。生产设备和废气收集处理设施同步运行，废气收集处理设施发生故障或检修时，停止运行对应的生产设备，待检修完毕后投入使用。</w:t>
                  </w:r>
                </w:p>
              </w:tc>
              <w:tc>
                <w:tcPr>
                  <w:tcW w:w="1748" w:type="dxa"/>
                  <w:tcBorders>
                    <w:tl2br w:val="nil"/>
                    <w:tr2bl w:val="nil"/>
                  </w:tcBorders>
                  <w:noWrap w:val="0"/>
                  <w:tcMar>
                    <w:top w:w="0" w:type="dxa"/>
                    <w:left w:w="45" w:type="dxa"/>
                    <w:bottom w:w="0" w:type="dxa"/>
                    <w:right w:w="45" w:type="dxa"/>
                  </w:tcMar>
                  <w:vAlign w:val="center"/>
                </w:tcPr>
                <w:p w14:paraId="2E4AF939">
                  <w:pPr>
                    <w:pStyle w:val="84"/>
                    <w:keepNext w:val="0"/>
                    <w:keepLines w:val="0"/>
                    <w:suppressLineNumbers w:val="0"/>
                    <w:spacing w:before="0" w:beforeLines="0" w:beforeAutospacing="0" w:after="0" w:afterAutospacing="0"/>
                    <w:ind w:left="0" w:right="0" w:firstLine="0" w:firstLineChars="0"/>
                    <w:jc w:val="both"/>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盐酸配置罐、一次搅拌工序（一次搅拌罐）、天然气烘干窑均为密闭设备，废气通过密闭管道收集。</w:t>
                  </w:r>
                </w:p>
              </w:tc>
              <w:tc>
                <w:tcPr>
                  <w:tcW w:w="686" w:type="dxa"/>
                  <w:tcBorders>
                    <w:tl2br w:val="nil"/>
                    <w:tr2bl w:val="nil"/>
                  </w:tcBorders>
                  <w:noWrap w:val="0"/>
                  <w:tcMar>
                    <w:top w:w="0" w:type="dxa"/>
                    <w:left w:w="45" w:type="dxa"/>
                    <w:bottom w:w="0" w:type="dxa"/>
                    <w:right w:w="45" w:type="dxa"/>
                  </w:tcMar>
                  <w:vAlign w:val="center"/>
                </w:tcPr>
                <w:p w14:paraId="7BD281B8">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753D2430">
            <w:pPr>
              <w:keepNext w:val="0"/>
              <w:keepLines w:val="0"/>
              <w:suppressLineNumbers w:val="0"/>
              <w:spacing w:before="0" w:beforeAutospacing="0" w:after="0" w:afterAutospacing="0" w:line="360" w:lineRule="auto"/>
              <w:ind w:left="0" w:right="0" w:firstLine="456"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综上，拟建项目符合《山东省生态环境厅关于印发山东省工业企业无组织排放分行业管控指导意见的通知》（鲁环发〔2020〕30号）相关要求。</w:t>
            </w:r>
          </w:p>
          <w:p w14:paraId="23EE00D6">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与《山东省深入打好蓝天保卫战行动计划（2021—2025年）》、《山东省深入打好碧水保卫战行动计划（2021—2025年）》、《山东省深入打好净土保卫战行动计划（2021—2025年）》符合性分析</w:t>
            </w:r>
          </w:p>
          <w:p w14:paraId="751BC5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表1-1</w:t>
            </w:r>
            <w:r>
              <w:rPr>
                <w:rFonts w:hint="eastAsia" w:ascii="Times New Roman" w:hAnsi="Times New Roman" w:eastAsia="宋体" w:cs="Times New Roman"/>
                <w:b/>
                <w:color w:val="auto"/>
                <w:szCs w:val="21"/>
                <w:highlight w:val="none"/>
                <w:lang w:val="en-US" w:eastAsia="zh-CN"/>
              </w:rPr>
              <w:t>0</w:t>
            </w:r>
            <w:r>
              <w:rPr>
                <w:rFonts w:hint="default" w:ascii="Times New Roman" w:hAnsi="Times New Roman" w:eastAsia="宋体" w:cs="Times New Roman"/>
                <w:b/>
                <w:color w:val="auto"/>
                <w:szCs w:val="21"/>
                <w:highlight w:val="none"/>
                <w:lang w:val="en-US" w:eastAsia="zh-CN"/>
              </w:rPr>
              <w:t xml:space="preserve"> 符合性分析一览表</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95"/>
              <w:gridCol w:w="740"/>
              <w:gridCol w:w="3321"/>
              <w:gridCol w:w="1699"/>
              <w:gridCol w:w="820"/>
            </w:tblGrid>
            <w:tr w14:paraId="7074FA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315" w:type="pct"/>
                  <w:gridSpan w:val="3"/>
                  <w:tcBorders>
                    <w:tl2br w:val="nil"/>
                    <w:tr2bl w:val="nil"/>
                  </w:tcBorders>
                  <w:noWrap w:val="0"/>
                  <w:vAlign w:val="center"/>
                </w:tcPr>
                <w:p w14:paraId="4C2FD741">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文件要求</w:t>
                  </w:r>
                </w:p>
              </w:tc>
              <w:tc>
                <w:tcPr>
                  <w:tcW w:w="1135" w:type="pct"/>
                  <w:tcBorders>
                    <w:tl2br w:val="nil"/>
                    <w:tr2bl w:val="nil"/>
                  </w:tcBorders>
                  <w:noWrap w:val="0"/>
                  <w:vAlign w:val="center"/>
                </w:tcPr>
                <w:p w14:paraId="5BDE1837">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项目相关</w:t>
                  </w:r>
                </w:p>
              </w:tc>
              <w:tc>
                <w:tcPr>
                  <w:tcW w:w="548" w:type="pct"/>
                  <w:tcBorders>
                    <w:tl2br w:val="nil"/>
                    <w:tr2bl w:val="nil"/>
                  </w:tcBorders>
                  <w:noWrap w:val="0"/>
                  <w:vAlign w:val="center"/>
                </w:tcPr>
                <w:p w14:paraId="4CB3BF32">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符合性</w:t>
                  </w:r>
                </w:p>
              </w:tc>
            </w:tr>
            <w:tr w14:paraId="405FF8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restart"/>
                  <w:tcBorders>
                    <w:tl2br w:val="nil"/>
                    <w:tr2bl w:val="nil"/>
                  </w:tcBorders>
                  <w:noWrap w:val="0"/>
                  <w:vAlign w:val="center"/>
                </w:tcPr>
                <w:p w14:paraId="55445DA0">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《山东省深入打好蓝天保卫战行动计划》（2021-2025年</w:t>
                  </w:r>
                </w:p>
              </w:tc>
              <w:tc>
                <w:tcPr>
                  <w:tcW w:w="495" w:type="pct"/>
                  <w:tcBorders>
                    <w:tl2br w:val="nil"/>
                    <w:tr2bl w:val="nil"/>
                  </w:tcBorders>
                  <w:noWrap w:val="0"/>
                  <w:vAlign w:val="center"/>
                </w:tcPr>
                <w:p w14:paraId="65DB971C">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淘汰低效落后产能</w:t>
                  </w:r>
                </w:p>
              </w:tc>
              <w:tc>
                <w:tcPr>
                  <w:tcW w:w="2220" w:type="pct"/>
                  <w:tcBorders>
                    <w:tl2br w:val="nil"/>
                    <w:tr2bl w:val="nil"/>
                  </w:tcBorders>
                  <w:noWrap w:val="0"/>
                  <w:vAlign w:val="center"/>
                </w:tcPr>
                <w:p w14:paraId="26E7701D">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聚焦钢铁、地炼、焦化、煤电、水泥、轮胎、煤炭、化工8个重点行业，加快淘汰低效落后产能。严格执行质量、环保、能耗、安全等法规标准，按照《产业结构调整指导目录》，对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淘汰类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落后生产工艺装备和落后产品全部淘汰出清。各市聚焦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高耗能、高污染、高排放、高风险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等行业，分类组织实施转移、压减、整合、关停任务。按照</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发现一起、处置一起</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的原则，实行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散乱污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企业动态清零。严格项目准入，高耗能、高排放（以下简称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两高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）项目建设做到产能减量、能耗减量、煤炭减量、碳排放减量和污染物排放减量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五个减量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替代。有序推进</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两高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项目清理工作，确保</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三个坚决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落实到位，未纳入国家规划的炼油、乙烯、对二甲苯、煤制油气项目，一律不得建设。</w:t>
                  </w:r>
                </w:p>
              </w:tc>
              <w:tc>
                <w:tcPr>
                  <w:tcW w:w="1135" w:type="pct"/>
                  <w:tcBorders>
                    <w:tl2br w:val="nil"/>
                    <w:tr2bl w:val="nil"/>
                  </w:tcBorders>
                  <w:noWrap w:val="0"/>
                  <w:vAlign w:val="center"/>
                </w:tcPr>
                <w:p w14:paraId="772FF5CF">
                  <w:pPr>
                    <w:keepNext w:val="0"/>
                    <w:keepLines w:val="0"/>
                    <w:suppressLineNumbers w:val="0"/>
                    <w:autoSpaceDE w:val="0"/>
                    <w:autoSpaceDN w:val="0"/>
                    <w:adjustRightInd w:val="0"/>
                    <w:snapToGrid w:val="0"/>
                    <w:spacing w:before="0" w:beforeAutospacing="0" w:after="0" w:afterAutospacing="0" w:line="312"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本项目不属于</w:t>
                  </w:r>
                  <w:r>
                    <w:rPr>
                      <w:rFonts w:hint="default" w:ascii="Times New Roman" w:hAnsi="Times New Roman" w:eastAsia="宋体" w:cs="Times New Roman"/>
                      <w:color w:val="auto"/>
                      <w:sz w:val="21"/>
                      <w:szCs w:val="21"/>
                      <w:highlight w:val="none"/>
                      <w:lang w:eastAsia="zh-CN"/>
                    </w:rPr>
                    <w:t>《产业结构调整指导目录（</w:t>
                  </w:r>
                  <w:r>
                    <w:rPr>
                      <w:rFonts w:hint="default" w:ascii="Times New Roman" w:hAnsi="Times New Roman" w:eastAsia="宋体" w:cs="Times New Roman"/>
                      <w:color w:val="auto"/>
                      <w:sz w:val="21"/>
                      <w:szCs w:val="21"/>
                      <w:highlight w:val="none"/>
                      <w:lang w:val="en-US" w:eastAsia="zh-CN"/>
                    </w:rPr>
                    <w:t>2024年本</w:t>
                  </w:r>
                  <w:r>
                    <w:rPr>
                      <w:rFonts w:hint="default" w:ascii="Times New Roman" w:hAnsi="Times New Roman" w:eastAsia="宋体" w:cs="Times New Roman"/>
                      <w:color w:val="auto"/>
                      <w:sz w:val="21"/>
                      <w:szCs w:val="21"/>
                      <w:highlight w:val="none"/>
                      <w:lang w:eastAsia="zh-CN"/>
                    </w:rPr>
                    <w:t>）》中的鼓励类、限制类、淘汰类项目，属于允许建设项目；本项目</w:t>
                  </w:r>
                  <w:r>
                    <w:rPr>
                      <w:rFonts w:hint="default" w:ascii="Times New Roman" w:hAnsi="Times New Roman" w:eastAsia="宋体" w:cs="Times New Roman"/>
                      <w:color w:val="auto"/>
                      <w:kern w:val="2"/>
                      <w:sz w:val="21"/>
                      <w:szCs w:val="21"/>
                      <w:highlight w:val="none"/>
                      <w:lang w:val="en-US" w:eastAsia="zh-CN" w:bidi="ar-SA"/>
                    </w:rPr>
                    <w:t>不属于“两高”项目。</w:t>
                  </w:r>
                </w:p>
              </w:tc>
              <w:tc>
                <w:tcPr>
                  <w:tcW w:w="548" w:type="pct"/>
                  <w:tcBorders>
                    <w:tl2br w:val="nil"/>
                    <w:tr2bl w:val="nil"/>
                  </w:tcBorders>
                  <w:noWrap w:val="0"/>
                  <w:vAlign w:val="center"/>
                </w:tcPr>
                <w:p w14:paraId="38462B1F">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5CE56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continue"/>
                  <w:tcBorders>
                    <w:tl2br w:val="nil"/>
                    <w:tr2bl w:val="nil"/>
                  </w:tcBorders>
                  <w:noWrap w:val="0"/>
                  <w:vAlign w:val="center"/>
                </w:tcPr>
                <w:p w14:paraId="07D0F83E">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sz w:val="21"/>
                      <w:szCs w:val="21"/>
                      <w:highlight w:val="none"/>
                    </w:rPr>
                  </w:pPr>
                </w:p>
              </w:tc>
              <w:tc>
                <w:tcPr>
                  <w:tcW w:w="495" w:type="pct"/>
                  <w:tcBorders>
                    <w:tl2br w:val="nil"/>
                    <w:tr2bl w:val="nil"/>
                  </w:tcBorders>
                  <w:noWrap w:val="0"/>
                  <w:vAlign w:val="center"/>
                </w:tcPr>
                <w:p w14:paraId="2F1E7D98">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压减煤炭消费量</w:t>
                  </w:r>
                </w:p>
              </w:tc>
              <w:tc>
                <w:tcPr>
                  <w:tcW w:w="2220" w:type="pct"/>
                  <w:tcBorders>
                    <w:tl2br w:val="nil"/>
                    <w:tr2bl w:val="nil"/>
                  </w:tcBorders>
                  <w:noWrap w:val="0"/>
                  <w:vAlign w:val="center"/>
                </w:tcPr>
                <w:p w14:paraId="01C3C1F2">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持续压减煤炭消费总量，</w:t>
                  </w:r>
                  <w:r>
                    <w:rPr>
                      <w:rFonts w:hint="default" w:ascii="Times New Roman" w:hAnsi="Times New Roman" w:eastAsia="宋体"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十四五</w:t>
                  </w:r>
                  <w:r>
                    <w:rPr>
                      <w:rFonts w:hint="default" w:ascii="Times New Roman" w:hAnsi="Times New Roman" w:eastAsia="宋体"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期间，全省煤炭消费总量下降10%，控制在3.5亿吨左右。非化石能源消费比重提高到13%左右。制定碳达峰方案，推动钢铁、建材、有色、电力等重点行业率先达峰。新、改、扩建熔化炉、加热炉、热处理炉、干燥炉原则上使用清洁低碳能源，不得使用煤炭、重油。按照</w:t>
                  </w:r>
                  <w:r>
                    <w:rPr>
                      <w:rFonts w:hint="default" w:ascii="Times New Roman" w:hAnsi="Times New Roman" w:eastAsia="宋体"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先立后破</w:t>
                  </w:r>
                  <w:r>
                    <w:rPr>
                      <w:rFonts w:hint="default" w:ascii="Times New Roman" w:hAnsi="Times New Roman" w:eastAsia="宋体"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的原则，持续推进清洁取暖改造，扩大集中供热范围，因地制宜推行气代煤、电代煤、热代煤、集中生物质等清洁采暖方式。</w:t>
                  </w:r>
                </w:p>
              </w:tc>
              <w:tc>
                <w:tcPr>
                  <w:tcW w:w="1135" w:type="pct"/>
                  <w:tcBorders>
                    <w:tl2br w:val="nil"/>
                    <w:tr2bl w:val="nil"/>
                  </w:tcBorders>
                  <w:noWrap w:val="0"/>
                  <w:vAlign w:val="center"/>
                </w:tcPr>
                <w:p w14:paraId="7526E68F">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项目不涉及燃煤，冬季采用空调取暖</w:t>
                  </w:r>
                  <w:r>
                    <w:rPr>
                      <w:rFonts w:hint="default" w:ascii="Times New Roman" w:hAnsi="Times New Roman" w:cs="Times New Roman"/>
                      <w:color w:val="auto"/>
                      <w:sz w:val="21"/>
                      <w:szCs w:val="21"/>
                      <w:highlight w:val="none"/>
                      <w:lang w:eastAsia="zh-CN"/>
                    </w:rPr>
                    <w:t>。</w:t>
                  </w:r>
                </w:p>
              </w:tc>
              <w:tc>
                <w:tcPr>
                  <w:tcW w:w="548" w:type="pct"/>
                  <w:tcBorders>
                    <w:tl2br w:val="nil"/>
                    <w:tr2bl w:val="nil"/>
                  </w:tcBorders>
                  <w:noWrap w:val="0"/>
                  <w:vAlign w:val="center"/>
                </w:tcPr>
                <w:p w14:paraId="3B468D79">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7EA30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continue"/>
                  <w:tcBorders>
                    <w:tl2br w:val="nil"/>
                    <w:tr2bl w:val="nil"/>
                  </w:tcBorders>
                  <w:noWrap w:val="0"/>
                  <w:vAlign w:val="center"/>
                </w:tcPr>
                <w:p w14:paraId="6F6E8E87">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sz w:val="21"/>
                      <w:szCs w:val="21"/>
                      <w:highlight w:val="none"/>
                    </w:rPr>
                  </w:pPr>
                </w:p>
              </w:tc>
              <w:tc>
                <w:tcPr>
                  <w:tcW w:w="495" w:type="pct"/>
                  <w:tcBorders>
                    <w:tl2br w:val="nil"/>
                    <w:tr2bl w:val="nil"/>
                  </w:tcBorders>
                  <w:noWrap w:val="0"/>
                  <w:vAlign w:val="center"/>
                </w:tcPr>
                <w:p w14:paraId="0E14037B">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严格扬尘污染管控</w:t>
                  </w:r>
                </w:p>
              </w:tc>
              <w:tc>
                <w:tcPr>
                  <w:tcW w:w="2220" w:type="pct"/>
                  <w:tcBorders>
                    <w:tl2br w:val="nil"/>
                    <w:tr2bl w:val="nil"/>
                  </w:tcBorders>
                  <w:noWrap w:val="0"/>
                  <w:vAlign w:val="center"/>
                </w:tcPr>
                <w:p w14:paraId="4524D9D0">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加强施工扬尘精细化管控，建立并动态更新施工工地清单。全面推行绿色施工，将扬尘污染防治费用纳入工程造价，各类施工工地严格落实扬尘污染防治措施，其中建筑施工工地严格执行</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六项措施</w:t>
                  </w:r>
                  <w:r>
                    <w:rPr>
                      <w:rFonts w:hint="default" w:ascii="Times New Roman" w:hAnsi="Times New Roman" w:cs="Times New Roman"/>
                      <w:color w:val="auto"/>
                      <w:sz w:val="21"/>
                      <w:szCs w:val="21"/>
                      <w:highlight w:val="none"/>
                      <w:lang w:eastAsia="zh-CN"/>
                    </w:rPr>
                    <w:t>”</w:t>
                  </w:r>
                </w:p>
              </w:tc>
              <w:tc>
                <w:tcPr>
                  <w:tcW w:w="1135" w:type="pct"/>
                  <w:tcBorders>
                    <w:tl2br w:val="nil"/>
                    <w:tr2bl w:val="nil"/>
                  </w:tcBorders>
                  <w:noWrap w:val="0"/>
                  <w:vAlign w:val="center"/>
                </w:tcPr>
                <w:p w14:paraId="1FE3433A">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项目施工期</w:t>
                  </w:r>
                  <w:r>
                    <w:rPr>
                      <w:rFonts w:hint="default" w:ascii="Times New Roman" w:hAnsi="Times New Roman" w:eastAsia="宋体" w:cs="Times New Roman"/>
                      <w:color w:val="auto"/>
                      <w:sz w:val="21"/>
                      <w:szCs w:val="21"/>
                      <w:highlight w:val="none"/>
                      <w:lang w:val="en-US" w:eastAsia="zh-CN"/>
                    </w:rPr>
                    <w:t>不涉及土建工程。</w:t>
                  </w:r>
                </w:p>
              </w:tc>
              <w:tc>
                <w:tcPr>
                  <w:tcW w:w="548" w:type="pct"/>
                  <w:tcBorders>
                    <w:tl2br w:val="nil"/>
                    <w:tr2bl w:val="nil"/>
                  </w:tcBorders>
                  <w:noWrap w:val="0"/>
                  <w:vAlign w:val="center"/>
                </w:tcPr>
                <w:p w14:paraId="7E0F6058">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9110E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continue"/>
                  <w:tcBorders>
                    <w:tl2br w:val="nil"/>
                    <w:tr2bl w:val="nil"/>
                  </w:tcBorders>
                  <w:noWrap w:val="0"/>
                  <w:vAlign w:val="center"/>
                </w:tcPr>
                <w:p w14:paraId="26A374F6">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sz w:val="21"/>
                      <w:szCs w:val="21"/>
                      <w:highlight w:val="none"/>
                    </w:rPr>
                  </w:pPr>
                </w:p>
              </w:tc>
              <w:tc>
                <w:tcPr>
                  <w:tcW w:w="495" w:type="pct"/>
                  <w:tcBorders>
                    <w:tl2br w:val="nil"/>
                    <w:tr2bl w:val="nil"/>
                  </w:tcBorders>
                  <w:noWrap w:val="0"/>
                  <w:vAlign w:val="center"/>
                </w:tcPr>
                <w:p w14:paraId="70A3E990">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加强大气环境监管</w:t>
                  </w:r>
                </w:p>
              </w:tc>
              <w:tc>
                <w:tcPr>
                  <w:tcW w:w="2220" w:type="pct"/>
                  <w:tcBorders>
                    <w:tl2br w:val="nil"/>
                    <w:tr2bl w:val="nil"/>
                  </w:tcBorders>
                  <w:noWrap w:val="0"/>
                  <w:vAlign w:val="center"/>
                </w:tcPr>
                <w:p w14:paraId="65706209">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严厉打击不正常运行废气治理设施等环境违法违规行为。对企业自动监测监控设备运行情况开展专项检查，严厉打击自动监测监控设备不正常运行和数据造假等违法行为；对排污单位和第三方机构、人员参与弄虚作假的，分别依法追究责任</w:t>
                  </w:r>
                </w:p>
              </w:tc>
              <w:tc>
                <w:tcPr>
                  <w:tcW w:w="1135" w:type="pct"/>
                  <w:tcBorders>
                    <w:tl2br w:val="nil"/>
                    <w:tr2bl w:val="nil"/>
                  </w:tcBorders>
                  <w:noWrap w:val="0"/>
                  <w:vAlign w:val="center"/>
                </w:tcPr>
                <w:p w14:paraId="05B17821">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不涉及自动监测，按要求执行</w:t>
                  </w:r>
                  <w:r>
                    <w:rPr>
                      <w:rFonts w:hint="default" w:ascii="Times New Roman" w:hAnsi="Times New Roman" w:eastAsia="宋体" w:cs="Times New Roman"/>
                      <w:color w:val="auto"/>
                      <w:sz w:val="21"/>
                      <w:szCs w:val="21"/>
                      <w:highlight w:val="none"/>
                      <w:lang w:val="zh-CN"/>
                    </w:rPr>
                    <w:t>。</w:t>
                  </w:r>
                </w:p>
              </w:tc>
              <w:tc>
                <w:tcPr>
                  <w:tcW w:w="548" w:type="pct"/>
                  <w:tcBorders>
                    <w:tl2br w:val="nil"/>
                    <w:tr2bl w:val="nil"/>
                  </w:tcBorders>
                  <w:noWrap w:val="0"/>
                  <w:vAlign w:val="center"/>
                </w:tcPr>
                <w:p w14:paraId="29DD9818">
                  <w:pPr>
                    <w:pStyle w:val="100"/>
                    <w:keepNext w:val="0"/>
                    <w:keepLines w:val="0"/>
                    <w:suppressLineNumbers w:val="0"/>
                    <w:spacing w:before="0" w:beforeAutospacing="0" w:after="0" w:afterAutospacing="0" w:line="312" w:lineRule="exact"/>
                    <w:ind w:left="0" w:leftChars="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73AB2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tcBorders>
                    <w:tl2br w:val="nil"/>
                    <w:tr2bl w:val="nil"/>
                  </w:tcBorders>
                  <w:noWrap w:val="0"/>
                  <w:vAlign w:val="center"/>
                </w:tcPr>
                <w:p w14:paraId="1B26EE3D">
                  <w:pPr>
                    <w:pStyle w:val="28"/>
                    <w:keepNext w:val="0"/>
                    <w:keepLines w:val="0"/>
                    <w:pageBreakBefore w:val="0"/>
                    <w:suppressLineNumbers w:val="0"/>
                    <w:kinsoku/>
                    <w:overflowPunct/>
                    <w:topLinePunct w:val="0"/>
                    <w:autoSpaceDE/>
                    <w:autoSpaceDN/>
                    <w:bidi w:val="0"/>
                    <w:adjustRightIn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《山东省深入打好碧水保卫战行动计划（2021—2025年）》</w:t>
                  </w:r>
                </w:p>
              </w:tc>
              <w:tc>
                <w:tcPr>
                  <w:tcW w:w="495" w:type="pct"/>
                  <w:tcBorders>
                    <w:tl2br w:val="nil"/>
                    <w:tr2bl w:val="nil"/>
                  </w:tcBorders>
                  <w:noWrap w:val="0"/>
                  <w:vAlign w:val="center"/>
                </w:tcPr>
                <w:p w14:paraId="75562BDC">
                  <w:pPr>
                    <w:pStyle w:val="28"/>
                    <w:keepNext w:val="0"/>
                    <w:keepLines w:val="0"/>
                    <w:pageBreakBefore w:val="0"/>
                    <w:suppressLineNumbers w:val="0"/>
                    <w:kinsoku/>
                    <w:overflowPunct/>
                    <w:topLinePunct w:val="0"/>
                    <w:autoSpaceDE/>
                    <w:autoSpaceDN/>
                    <w:bidi w:val="0"/>
                    <w:adjustRightIn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补齐城镇生活污水治理设施短板</w:t>
                  </w:r>
                </w:p>
              </w:tc>
              <w:tc>
                <w:tcPr>
                  <w:tcW w:w="2220" w:type="pct"/>
                  <w:tcBorders>
                    <w:tl2br w:val="nil"/>
                    <w:tr2bl w:val="nil"/>
                  </w:tcBorders>
                  <w:noWrap w:val="0"/>
                  <w:vAlign w:val="center"/>
                </w:tcPr>
                <w:p w14:paraId="582CA878">
                  <w:pPr>
                    <w:pStyle w:val="28"/>
                    <w:keepNext w:val="0"/>
                    <w:keepLines w:val="0"/>
                    <w:suppressLineNumbers w:val="0"/>
                    <w:spacing w:before="0" w:beforeAutospacing="0" w:after="0" w:afterAutospacing="0" w:line="312" w:lineRule="exact"/>
                    <w:ind w:left="0" w:right="0"/>
                    <w:jc w:val="center"/>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rPr>
                    <w:t>开展</w:t>
                  </w:r>
                  <w:r>
                    <w:rPr>
                      <w:rFonts w:hint="default" w:ascii="Times New Roman" w:hAnsi="Times New Roman" w:eastAsia="宋体"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污水零直排区</w:t>
                  </w:r>
                  <w:r>
                    <w:rPr>
                      <w:rFonts w:hint="default" w:ascii="Times New Roman" w:hAnsi="Times New Roman" w:eastAsia="宋体"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建设，控制城市面源污染。彻底摸清城市（含县城）管网底数，加快雨污分流改造，推进实现整县域合流制管网清零。</w:t>
                  </w:r>
                </w:p>
              </w:tc>
              <w:tc>
                <w:tcPr>
                  <w:tcW w:w="1135" w:type="pct"/>
                  <w:tcBorders>
                    <w:tl2br w:val="nil"/>
                    <w:tr2bl w:val="nil"/>
                  </w:tcBorders>
                  <w:noWrap w:val="0"/>
                  <w:vAlign w:val="center"/>
                </w:tcPr>
                <w:p w14:paraId="02CB017D">
                  <w:pPr>
                    <w:pStyle w:val="19"/>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12" w:lineRule="exact"/>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w:t>
                  </w:r>
                  <w:r>
                    <w:rPr>
                      <w:rFonts w:hint="eastAsia" w:ascii="Times New Roman" w:hAnsi="Times New Roman" w:eastAsia="宋体" w:cs="Times New Roman"/>
                      <w:color w:val="auto"/>
                      <w:kern w:val="2"/>
                      <w:sz w:val="21"/>
                      <w:szCs w:val="21"/>
                      <w:highlight w:val="none"/>
                      <w:lang w:val="en-US" w:eastAsia="zh-CN" w:bidi="ar-SA"/>
                    </w:rPr>
                    <w:t>本项目生活污水经化粪池处理，压滤废水、水喷淋废水通过厂区污水设备处理达标后，与生活污水一同经污水管网排入至葛洲坝水务淄博淄川有限公司</w:t>
                  </w:r>
                  <w:r>
                    <w:rPr>
                      <w:rFonts w:hint="default" w:ascii="Times New Roman" w:hAnsi="Times New Roman" w:eastAsia="宋体" w:cs="Times New Roman"/>
                      <w:color w:val="auto"/>
                      <w:kern w:val="2"/>
                      <w:sz w:val="21"/>
                      <w:szCs w:val="21"/>
                      <w:highlight w:val="none"/>
                      <w:lang w:val="en-US" w:eastAsia="zh-CN" w:bidi="ar-SA"/>
                    </w:rPr>
                    <w:t>。</w:t>
                  </w:r>
                </w:p>
              </w:tc>
              <w:tc>
                <w:tcPr>
                  <w:tcW w:w="548" w:type="pct"/>
                  <w:tcBorders>
                    <w:tl2br w:val="nil"/>
                    <w:tr2bl w:val="nil"/>
                  </w:tcBorders>
                  <w:noWrap w:val="0"/>
                  <w:vAlign w:val="center"/>
                </w:tcPr>
                <w:p w14:paraId="02957766">
                  <w:pPr>
                    <w:pStyle w:val="19"/>
                    <w:keepNext w:val="0"/>
                    <w:keepLines w:val="0"/>
                    <w:pageBreakBefore w:val="0"/>
                    <w:suppressLineNumbers w:val="0"/>
                    <w:kinsoku/>
                    <w:overflowPunct/>
                    <w:topLinePunct w:val="0"/>
                    <w:autoSpaceDE/>
                    <w:autoSpaceDN/>
                    <w:bidi w:val="0"/>
                    <w:adjustRightIn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符合</w:t>
                  </w:r>
                </w:p>
              </w:tc>
            </w:tr>
            <w:tr w14:paraId="6E71EB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restart"/>
                  <w:tcBorders>
                    <w:tl2br w:val="nil"/>
                    <w:tr2bl w:val="nil"/>
                  </w:tcBorders>
                  <w:noWrap w:val="0"/>
                  <w:vAlign w:val="center"/>
                </w:tcPr>
                <w:p w14:paraId="79C07555">
                  <w:pPr>
                    <w:pStyle w:val="28"/>
                    <w:keepNext w:val="0"/>
                    <w:keepLines w:val="0"/>
                    <w:pageBreakBefore w:val="0"/>
                    <w:suppressLineNumbers w:val="0"/>
                    <w:kinsoku/>
                    <w:overflowPunct/>
                    <w:topLinePunct w:val="0"/>
                    <w:autoSpaceDE/>
                    <w:autoSpaceDN/>
                    <w:bidi w:val="0"/>
                    <w:adjustRightIn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《山东省深入打好净土保卫战行动计划（2021-2025年）》</w:t>
                  </w:r>
                </w:p>
              </w:tc>
              <w:tc>
                <w:tcPr>
                  <w:tcW w:w="495" w:type="pct"/>
                  <w:tcBorders>
                    <w:tl2br w:val="nil"/>
                    <w:tr2bl w:val="nil"/>
                  </w:tcBorders>
                  <w:noWrap w:val="0"/>
                  <w:vAlign w:val="center"/>
                </w:tcPr>
                <w:p w14:paraId="70F9B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加强土壤污染重点监管单位环境监管</w:t>
                  </w:r>
                </w:p>
              </w:tc>
              <w:tc>
                <w:tcPr>
                  <w:tcW w:w="2220" w:type="pct"/>
                  <w:tcBorders>
                    <w:tl2br w:val="nil"/>
                    <w:tr2bl w:val="nil"/>
                  </w:tcBorders>
                  <w:noWrap w:val="0"/>
                  <w:vAlign w:val="center"/>
                </w:tcPr>
                <w:p w14:paraId="28C64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每年更新土壤污染重点监管单位名录并向社会公开。全省1415家土壤污染重点监管单位在2021年年底前应完成一轮隐患排查，制定整改方案并落实。新增纳入土壤污染重点监管单位名录的单位，在一年内应开展隐患排查，2025年年底前，至少完成一轮隐患排查。土壤污染重点监管单位应制定、实施自行监测方案，将监测数据公开并报生态环境部门；严格控制有毒有害物质排放，并按年度向生态环境部门报告排放情况；法定义务在排污许可证发放和变更时应予以载明。</w:t>
                  </w:r>
                </w:p>
              </w:tc>
              <w:tc>
                <w:tcPr>
                  <w:tcW w:w="1135" w:type="pct"/>
                  <w:tcBorders>
                    <w:tl2br w:val="nil"/>
                    <w:tr2bl w:val="nil"/>
                  </w:tcBorders>
                  <w:noWrap w:val="0"/>
                  <w:vAlign w:val="center"/>
                </w:tcPr>
                <w:p w14:paraId="0CCF5D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本项目不属于</w:t>
                  </w:r>
                  <w:r>
                    <w:rPr>
                      <w:rFonts w:hint="default" w:ascii="Times New Roman" w:hAnsi="Times New Roman" w:eastAsia="宋体" w:cs="Times New Roman"/>
                      <w:color w:val="auto"/>
                      <w:kern w:val="0"/>
                      <w:szCs w:val="21"/>
                      <w:highlight w:val="none"/>
                      <w:lang w:bidi="ar"/>
                    </w:rPr>
                    <w:t>土壤污染重点监管单位</w:t>
                  </w:r>
                  <w:r>
                    <w:rPr>
                      <w:rFonts w:hint="default" w:ascii="Times New Roman" w:hAnsi="Times New Roman" w:eastAsia="宋体" w:cs="Times New Roman"/>
                      <w:color w:val="auto"/>
                      <w:kern w:val="0"/>
                      <w:szCs w:val="21"/>
                      <w:highlight w:val="none"/>
                      <w:lang w:eastAsia="zh-CN" w:bidi="ar"/>
                    </w:rPr>
                    <w:t>。</w:t>
                  </w:r>
                </w:p>
              </w:tc>
              <w:tc>
                <w:tcPr>
                  <w:tcW w:w="548" w:type="pct"/>
                  <w:tcBorders>
                    <w:tl2br w:val="nil"/>
                    <w:tr2bl w:val="nil"/>
                  </w:tcBorders>
                  <w:noWrap w:val="0"/>
                  <w:vAlign w:val="center"/>
                </w:tcPr>
                <w:p w14:paraId="13E46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符合</w:t>
                  </w:r>
                </w:p>
              </w:tc>
            </w:tr>
            <w:tr w14:paraId="71E1DE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continue"/>
                  <w:tcBorders>
                    <w:tl2br w:val="nil"/>
                    <w:tr2bl w:val="nil"/>
                  </w:tcBorders>
                  <w:noWrap w:val="0"/>
                  <w:vAlign w:val="center"/>
                </w:tcPr>
                <w:p w14:paraId="3994D626">
                  <w:pPr>
                    <w:pStyle w:val="28"/>
                    <w:keepNext w:val="0"/>
                    <w:keepLines w:val="0"/>
                    <w:pageBreakBefore w:val="0"/>
                    <w:suppressLineNumbers w:val="0"/>
                    <w:kinsoku/>
                    <w:overflowPunct/>
                    <w:topLinePunct w:val="0"/>
                    <w:autoSpaceDE/>
                    <w:autoSpaceDN/>
                    <w:bidi w:val="0"/>
                    <w:adjustRightIn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495" w:type="pct"/>
                  <w:tcBorders>
                    <w:tl2br w:val="nil"/>
                    <w:tr2bl w:val="nil"/>
                  </w:tcBorders>
                  <w:noWrap w:val="0"/>
                  <w:vAlign w:val="center"/>
                </w:tcPr>
                <w:p w14:paraId="10390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提升重金属污染防控水平</w:t>
                  </w:r>
                </w:p>
              </w:tc>
              <w:tc>
                <w:tcPr>
                  <w:tcW w:w="2220" w:type="pct"/>
                  <w:tcBorders>
                    <w:tl2br w:val="nil"/>
                    <w:tr2bl w:val="nil"/>
                  </w:tcBorders>
                  <w:noWrap w:val="0"/>
                  <w:vAlign w:val="center"/>
                </w:tcPr>
                <w:p w14:paraId="5C337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持续推进涉镉等重金属重点行业企业排查，2021年年底前，逐一核实纳入涉整治清单的53家企业整治情况，实施污染源整治清单动态更新。完善全口径涉重金属重点行业企业清单，依法依规纳入重点排污单位名录。推动实施一批重金属减排工程，持续减少重金属污染物排放。开展涉铊企业排查整治。</w:t>
                  </w:r>
                </w:p>
              </w:tc>
              <w:tc>
                <w:tcPr>
                  <w:tcW w:w="1135" w:type="pct"/>
                  <w:tcBorders>
                    <w:tl2br w:val="nil"/>
                    <w:tr2bl w:val="nil"/>
                  </w:tcBorders>
                  <w:noWrap w:val="0"/>
                  <w:vAlign w:val="center"/>
                </w:tcPr>
                <w:p w14:paraId="60112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企业不属于涉镉等重金属重点行业企业。</w:t>
                  </w:r>
                </w:p>
              </w:tc>
              <w:tc>
                <w:tcPr>
                  <w:tcW w:w="548" w:type="pct"/>
                  <w:tcBorders>
                    <w:tl2br w:val="nil"/>
                    <w:tr2bl w:val="nil"/>
                  </w:tcBorders>
                  <w:noWrap w:val="0"/>
                  <w:vAlign w:val="center"/>
                </w:tcPr>
                <w:p w14:paraId="5EF28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符合</w:t>
                  </w:r>
                </w:p>
              </w:tc>
            </w:tr>
            <w:tr w14:paraId="08C984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9" w:type="pct"/>
                  <w:vMerge w:val="continue"/>
                  <w:tcBorders>
                    <w:tl2br w:val="nil"/>
                    <w:tr2bl w:val="nil"/>
                  </w:tcBorders>
                  <w:noWrap w:val="0"/>
                  <w:vAlign w:val="center"/>
                </w:tcPr>
                <w:p w14:paraId="2D6B0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Cs w:val="21"/>
                      <w:highlight w:val="none"/>
                      <w:lang w:val="en-US" w:eastAsia="zh-CN" w:bidi="ar"/>
                    </w:rPr>
                  </w:pPr>
                </w:p>
              </w:tc>
              <w:tc>
                <w:tcPr>
                  <w:tcW w:w="495" w:type="pct"/>
                  <w:tcBorders>
                    <w:tl2br w:val="nil"/>
                    <w:tr2bl w:val="nil"/>
                  </w:tcBorders>
                  <w:noWrap w:val="0"/>
                  <w:vAlign w:val="center"/>
                </w:tcPr>
                <w:p w14:paraId="3B50D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bidi="ar"/>
                    </w:rPr>
                    <w:t>加强固体废物环境管理</w:t>
                  </w:r>
                </w:p>
              </w:tc>
              <w:tc>
                <w:tcPr>
                  <w:tcW w:w="2220" w:type="pct"/>
                  <w:tcBorders>
                    <w:tl2br w:val="nil"/>
                    <w:tr2bl w:val="nil"/>
                  </w:tcBorders>
                  <w:noWrap w:val="0"/>
                  <w:vAlign w:val="center"/>
                </w:tcPr>
                <w:p w14:paraId="5CCDD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开展非正规固体废物堆存场所排查整治。构建集污水、垃圾、固废、危废、医废处理处置设施和监测监管能力于一体的环境基础设施体系，形成由城市向建制镇和乡村延伸覆盖的环境基础设施网络。到2025年，试点城市建立起</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无废城市</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建设综合管理制度和监管体系。深入推进生活垃圾分类，建立有害垃圾收集转运体系。严格落实《山东省城市生活垃圾分类制度实施方案》，完善垃圾分类标识体系，健全垃圾分类奖励制度。</w:t>
                  </w:r>
                </w:p>
              </w:tc>
              <w:tc>
                <w:tcPr>
                  <w:tcW w:w="1135" w:type="pct"/>
                  <w:tcBorders>
                    <w:tl2br w:val="nil"/>
                    <w:tr2bl w:val="nil"/>
                  </w:tcBorders>
                  <w:noWrap w:val="0"/>
                  <w:vAlign w:val="center"/>
                </w:tcPr>
                <w:p w14:paraId="7E7734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w:t>
                  </w:r>
                  <w:r>
                    <w:rPr>
                      <w:rFonts w:hint="eastAsia" w:ascii="Times New Roman" w:hAnsi="Times New Roman" w:eastAsia="宋体" w:cs="Times New Roman"/>
                      <w:color w:val="auto"/>
                      <w:szCs w:val="21"/>
                      <w:highlight w:val="none"/>
                      <w:lang w:val="en-US" w:eastAsia="zh-CN"/>
                    </w:rPr>
                    <w:t>废酸桶、污泥</w:t>
                  </w:r>
                  <w:r>
                    <w:rPr>
                      <w:rFonts w:hint="eastAsia"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废布袋暂存于危废暂存间，委托有资质单位处置；废包装袋、废滤料、废离子交换树脂集中收入一般固废暂存处，由车间工作人员统一收集后外售给有处置能力和资质单位处置；</w:t>
                  </w:r>
                  <w:r>
                    <w:rPr>
                      <w:rFonts w:hint="default" w:ascii="Times New Roman" w:hAnsi="Times New Roman" w:eastAsia="宋体" w:cs="Times New Roman"/>
                      <w:color w:val="auto"/>
                      <w:szCs w:val="21"/>
                      <w:highlight w:val="none"/>
                      <w:lang w:val="en-US" w:eastAsia="zh-CN"/>
                    </w:rPr>
                    <w:t>布袋除尘器收集粉尘</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不合格品全部回用生产</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生活垃圾垃圾桶收集后，委托环卫部门定期清运。</w:t>
                  </w:r>
                </w:p>
              </w:tc>
              <w:tc>
                <w:tcPr>
                  <w:tcW w:w="548" w:type="pct"/>
                  <w:tcBorders>
                    <w:tl2br w:val="nil"/>
                    <w:tr2bl w:val="nil"/>
                  </w:tcBorders>
                  <w:noWrap w:val="0"/>
                  <w:vAlign w:val="center"/>
                </w:tcPr>
                <w:p w14:paraId="79ABCE56">
                  <w:pPr>
                    <w:pStyle w:val="19"/>
                    <w:keepNext w:val="0"/>
                    <w:keepLines w:val="0"/>
                    <w:pageBreakBefore w:val="0"/>
                    <w:suppressLineNumbers w:val="0"/>
                    <w:kinsoku/>
                    <w:wordWrap/>
                    <w:overflowPunct/>
                    <w:topLinePunct w:val="0"/>
                    <w:autoSpaceDE/>
                    <w:autoSpaceDN/>
                    <w:bidi w:val="0"/>
                    <w:adjustRightInd/>
                    <w:snapToGrid/>
                    <w:spacing w:before="0" w:beforeAutospacing="0" w:after="0" w:afterAutospacing="0" w:line="312" w:lineRule="exact"/>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符合</w:t>
                  </w:r>
                </w:p>
              </w:tc>
            </w:tr>
          </w:tbl>
          <w:p w14:paraId="1F9AD5F0">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bCs/>
                <w:snapToGrid w:val="0"/>
                <w:color w:val="auto"/>
                <w:kern w:val="0"/>
              </w:rPr>
            </w:pPr>
            <w:r>
              <w:rPr>
                <w:rFonts w:hint="eastAsia" w:ascii="Times New Roman" w:hAnsi="Times New Roman" w:cs="Times New Roman"/>
                <w:b/>
                <w:bCs/>
                <w:color w:val="auto"/>
                <w:lang w:val="en-US" w:eastAsia="zh-CN"/>
              </w:rPr>
              <w:t>9</w:t>
            </w:r>
            <w:r>
              <w:rPr>
                <w:rFonts w:hint="default" w:ascii="Times New Roman" w:hAnsi="Times New Roman" w:cs="Times New Roman"/>
                <w:b/>
                <w:bCs/>
                <w:color w:val="auto"/>
              </w:rPr>
              <w:t>、</w:t>
            </w:r>
            <w:r>
              <w:rPr>
                <w:rFonts w:hint="default" w:ascii="Times New Roman" w:hAnsi="Times New Roman" w:cs="Times New Roman"/>
                <w:b/>
                <w:bCs/>
                <w:snapToGrid w:val="0"/>
                <w:color w:val="auto"/>
                <w:kern w:val="0"/>
              </w:rPr>
              <w:t>与《关于严格项目审批工作坚决防止新上“散乱污”项目的通知》（鲁环字〔2021〕58号）符合性分析</w:t>
            </w:r>
          </w:p>
          <w:p w14:paraId="56C1973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snapToGrid w:val="0"/>
                <w:color w:val="auto"/>
                <w:kern w:val="0"/>
              </w:rPr>
            </w:pPr>
            <w:r>
              <w:rPr>
                <w:rFonts w:hint="default" w:ascii="Times New Roman" w:hAnsi="Times New Roman" w:cs="Times New Roman"/>
                <w:b/>
                <w:bCs/>
                <w:color w:val="auto"/>
                <w:kern w:val="0"/>
              </w:rPr>
              <w:t>表1-</w:t>
            </w:r>
            <w:r>
              <w:rPr>
                <w:rFonts w:hint="default" w:ascii="Times New Roman" w:hAnsi="Times New Roman" w:cs="Times New Roman"/>
                <w:b/>
                <w:bCs/>
                <w:color w:val="auto"/>
                <w:kern w:val="0"/>
                <w:lang w:val="en-US" w:eastAsia="zh-CN"/>
              </w:rPr>
              <w:t>1</w:t>
            </w:r>
            <w:r>
              <w:rPr>
                <w:rFonts w:hint="eastAsia" w:ascii="Times New Roman" w:hAnsi="Times New Roman" w:cs="Times New Roman"/>
                <w:b/>
                <w:bCs/>
                <w:color w:val="auto"/>
                <w:kern w:val="0"/>
                <w:lang w:val="en-US" w:eastAsia="zh-CN"/>
              </w:rPr>
              <w:t>1</w:t>
            </w:r>
            <w:r>
              <w:rPr>
                <w:rFonts w:hint="default" w:ascii="Times New Roman" w:hAnsi="Times New Roman" w:cs="Times New Roman"/>
                <w:b/>
                <w:color w:val="auto"/>
                <w:szCs w:val="21"/>
              </w:rPr>
              <w:t>符合性分析一览表</w:t>
            </w:r>
          </w:p>
          <w:tbl>
            <w:tblPr>
              <w:tblStyle w:val="32"/>
              <w:tblW w:w="48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823"/>
              <w:gridCol w:w="4778"/>
              <w:gridCol w:w="1060"/>
            </w:tblGrid>
            <w:tr w14:paraId="4A4AB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1C1F381A">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序号</w:t>
                  </w:r>
                </w:p>
              </w:tc>
              <w:tc>
                <w:tcPr>
                  <w:tcW w:w="5606" w:type="dxa"/>
                  <w:gridSpan w:val="2"/>
                  <w:tcBorders>
                    <w:top w:val="single" w:color="auto" w:sz="2" w:space="0"/>
                    <w:left w:val="single" w:color="auto" w:sz="2" w:space="0"/>
                    <w:bottom w:val="single" w:color="auto" w:sz="2" w:space="0"/>
                    <w:right w:val="single" w:color="auto" w:sz="2" w:space="0"/>
                  </w:tcBorders>
                  <w:noWrap w:val="0"/>
                  <w:vAlign w:val="center"/>
                </w:tcPr>
                <w:p w14:paraId="28D2E3EC">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snapToGrid w:val="0"/>
                      <w:color w:val="auto"/>
                      <w:kern w:val="0"/>
                    </w:rPr>
                    <w:t>关于严格项目审批工作坚决防止新上“散乱污”项目的通知</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28F530E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项目符合情况</w:t>
                  </w:r>
                </w:p>
              </w:tc>
            </w:tr>
            <w:tr w14:paraId="644BC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2D134EE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824" w:type="dxa"/>
                  <w:tcBorders>
                    <w:top w:val="single" w:color="auto" w:sz="2" w:space="0"/>
                    <w:left w:val="single" w:color="auto" w:sz="2" w:space="0"/>
                    <w:bottom w:val="single" w:color="auto" w:sz="2" w:space="0"/>
                    <w:right w:val="single" w:color="auto" w:sz="2" w:space="0"/>
                  </w:tcBorders>
                  <w:noWrap w:val="0"/>
                  <w:vAlign w:val="center"/>
                </w:tcPr>
                <w:p w14:paraId="4132180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认真贯彻执行产业政策 </w:t>
                  </w:r>
                </w:p>
              </w:tc>
              <w:tc>
                <w:tcPr>
                  <w:tcW w:w="4782" w:type="dxa"/>
                  <w:tcBorders>
                    <w:top w:val="single" w:color="auto" w:sz="2" w:space="0"/>
                    <w:left w:val="single" w:color="auto" w:sz="2" w:space="0"/>
                    <w:bottom w:val="single" w:color="auto" w:sz="2" w:space="0"/>
                    <w:right w:val="single" w:color="auto" w:sz="2" w:space="0"/>
                  </w:tcBorders>
                  <w:noWrap w:val="0"/>
                  <w:vAlign w:val="center"/>
                </w:tcPr>
                <w:p w14:paraId="671C827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新上项目必须符合国家产业政策要求，禁止采用国家公布的淘汰工艺和落后设备，不得引进耗能高、污染大、生产粗放、不符合国家产业政策的项目。各级立项部门在为企业办理手续时，要认真对照《产业结构调整指导目录</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20</w:t>
                  </w:r>
                  <w:r>
                    <w:rPr>
                      <w:rFonts w:hint="default" w:ascii="Times New Roman" w:hAnsi="Times New Roman" w:cs="Times New Roman"/>
                      <w:color w:val="auto"/>
                      <w:szCs w:val="21"/>
                      <w:lang w:val="en-US" w:eastAsia="zh-CN"/>
                    </w:rPr>
                    <w:t>24</w:t>
                  </w:r>
                  <w:r>
                    <w:rPr>
                      <w:rFonts w:hint="default" w:ascii="Times New Roman" w:hAnsi="Times New Roman" w:cs="Times New Roman"/>
                      <w:color w:val="auto"/>
                      <w:szCs w:val="21"/>
                    </w:rPr>
                    <w:t>年本</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如有更新，以更新后文件为准</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对鼓励类项目，按照有关规定审批、核准或备案；对限制类项目，禁止新建，现有生产能力允许在一定期限内改造升级；对淘汰类项目，市场主体不得进入，行政机关不予审批。</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5D66116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14:paraId="6E2EC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2FDE9D8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824" w:type="dxa"/>
                  <w:tcBorders>
                    <w:top w:val="single" w:color="auto" w:sz="2" w:space="0"/>
                    <w:left w:val="single" w:color="auto" w:sz="2" w:space="0"/>
                    <w:bottom w:val="single" w:color="auto" w:sz="2" w:space="0"/>
                    <w:right w:val="single" w:color="auto" w:sz="2" w:space="0"/>
                  </w:tcBorders>
                  <w:noWrap w:val="0"/>
                  <w:vAlign w:val="center"/>
                </w:tcPr>
                <w:p w14:paraId="6611F2B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强化规划刚性约束</w:t>
                  </w:r>
                </w:p>
              </w:tc>
              <w:tc>
                <w:tcPr>
                  <w:tcW w:w="4782" w:type="dxa"/>
                  <w:tcBorders>
                    <w:top w:val="single" w:color="auto" w:sz="2" w:space="0"/>
                    <w:left w:val="single" w:color="auto" w:sz="2" w:space="0"/>
                    <w:bottom w:val="single" w:color="auto" w:sz="2" w:space="0"/>
                    <w:right w:val="single" w:color="auto" w:sz="2" w:space="0"/>
                  </w:tcBorders>
                  <w:noWrap w:val="0"/>
                  <w:vAlign w:val="center"/>
                </w:tcPr>
                <w:p w14:paraId="38F4AA2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新上项目必须符合国土空间规划、 产业发展规划等要求，积极引导产业园区外“散乱污”整治搬迁改造企业进入产业园区或工业集聚区，并鼓励租赁标准厂房。按照 “布局集中、用地集约、产业集聚、空间优化”的原则，高标准制 定产业发展规划，明确主导产业、布局和产业发展方向，引导企业规范化、规模化、集约化发展。</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2D8A8D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项目在工业聚集区</w:t>
                  </w:r>
                </w:p>
              </w:tc>
            </w:tr>
            <w:tr w14:paraId="4FE4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0F241D2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824" w:type="dxa"/>
                  <w:tcBorders>
                    <w:top w:val="single" w:color="auto" w:sz="2" w:space="0"/>
                    <w:left w:val="single" w:color="auto" w:sz="2" w:space="0"/>
                    <w:bottom w:val="single" w:color="auto" w:sz="2" w:space="0"/>
                    <w:right w:val="single" w:color="auto" w:sz="2" w:space="0"/>
                  </w:tcBorders>
                  <w:noWrap w:val="0"/>
                  <w:vAlign w:val="center"/>
                </w:tcPr>
                <w:p w14:paraId="4011F06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科学把好项目选址关</w:t>
                  </w:r>
                </w:p>
              </w:tc>
              <w:tc>
                <w:tcPr>
                  <w:tcW w:w="4782" w:type="dxa"/>
                  <w:tcBorders>
                    <w:top w:val="single" w:color="auto" w:sz="2" w:space="0"/>
                    <w:left w:val="single" w:color="auto" w:sz="2" w:space="0"/>
                    <w:bottom w:val="single" w:color="auto" w:sz="2" w:space="0"/>
                    <w:right w:val="single" w:color="auto" w:sz="2" w:space="0"/>
                  </w:tcBorders>
                  <w:noWrap w:val="0"/>
                  <w:vAlign w:val="center"/>
                </w:tcPr>
                <w:p w14:paraId="50CB3F9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4AB75BD6">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项目在工业聚集区</w:t>
                  </w:r>
                </w:p>
              </w:tc>
            </w:tr>
            <w:tr w14:paraId="02419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654A95A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824" w:type="dxa"/>
                  <w:tcBorders>
                    <w:top w:val="single" w:color="auto" w:sz="2" w:space="0"/>
                    <w:left w:val="single" w:color="auto" w:sz="2" w:space="0"/>
                    <w:bottom w:val="single" w:color="auto" w:sz="2" w:space="0"/>
                    <w:right w:val="single" w:color="auto" w:sz="2" w:space="0"/>
                  </w:tcBorders>
                  <w:noWrap w:val="0"/>
                  <w:vAlign w:val="center"/>
                </w:tcPr>
                <w:p w14:paraId="27FA6B26">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严把项目环评审批关</w:t>
                  </w:r>
                </w:p>
              </w:tc>
              <w:tc>
                <w:tcPr>
                  <w:tcW w:w="4782" w:type="dxa"/>
                  <w:tcBorders>
                    <w:top w:val="single" w:color="auto" w:sz="2" w:space="0"/>
                    <w:left w:val="single" w:color="auto" w:sz="2" w:space="0"/>
                    <w:bottom w:val="single" w:color="auto" w:sz="2" w:space="0"/>
                    <w:right w:val="single" w:color="auto" w:sz="2" w:space="0"/>
                  </w:tcBorders>
                  <w:noWrap w:val="0"/>
                  <w:vAlign w:val="center"/>
                </w:tcPr>
                <w:p w14:paraId="053242A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5576121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按要求执行</w:t>
                  </w:r>
                </w:p>
              </w:tc>
            </w:tr>
            <w:tr w14:paraId="42B62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5659CFB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824" w:type="dxa"/>
                  <w:tcBorders>
                    <w:top w:val="single" w:color="auto" w:sz="2" w:space="0"/>
                    <w:left w:val="single" w:color="auto" w:sz="2" w:space="0"/>
                    <w:bottom w:val="single" w:color="auto" w:sz="2" w:space="0"/>
                    <w:right w:val="single" w:color="auto" w:sz="2" w:space="0"/>
                  </w:tcBorders>
                  <w:noWrap w:val="0"/>
                  <w:vAlign w:val="center"/>
                </w:tcPr>
                <w:p w14:paraId="279DE93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建立部门联动协调机制</w:t>
                  </w:r>
                </w:p>
              </w:tc>
              <w:tc>
                <w:tcPr>
                  <w:tcW w:w="4782" w:type="dxa"/>
                  <w:tcBorders>
                    <w:top w:val="single" w:color="auto" w:sz="2" w:space="0"/>
                    <w:left w:val="single" w:color="auto" w:sz="2" w:space="0"/>
                    <w:bottom w:val="single" w:color="auto" w:sz="2" w:space="0"/>
                    <w:right w:val="single" w:color="auto" w:sz="2" w:space="0"/>
                  </w:tcBorders>
                  <w:noWrap w:val="0"/>
                  <w:vAlign w:val="center"/>
                </w:tcPr>
                <w:p w14:paraId="44DCCE31">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 xml:space="preserve">各级发展改革、工业和信息化、自然资源、生态环境等部门要按照职责分工，建立长效工作机制，密切配合，强化对项目产业政策、固定资产投资、能耗、用地标准、环境等的论证，对不符合要求的，一律不得办理立项、规划、土地、环评等手续。 </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2F302018">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按要求执行</w:t>
                  </w:r>
                </w:p>
              </w:tc>
            </w:tr>
            <w:tr w14:paraId="1137D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2" w:type="dxa"/>
                  <w:tcBorders>
                    <w:top w:val="single" w:color="auto" w:sz="2" w:space="0"/>
                    <w:left w:val="single" w:color="auto" w:sz="2" w:space="0"/>
                    <w:bottom w:val="single" w:color="auto" w:sz="2" w:space="0"/>
                    <w:right w:val="single" w:color="auto" w:sz="2" w:space="0"/>
                  </w:tcBorders>
                  <w:noWrap w:val="0"/>
                  <w:vAlign w:val="center"/>
                </w:tcPr>
                <w:p w14:paraId="7C54C4B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824" w:type="dxa"/>
                  <w:tcBorders>
                    <w:top w:val="single" w:color="auto" w:sz="2" w:space="0"/>
                    <w:left w:val="single" w:color="auto" w:sz="2" w:space="0"/>
                    <w:bottom w:val="single" w:color="auto" w:sz="2" w:space="0"/>
                    <w:right w:val="single" w:color="auto" w:sz="2" w:space="0"/>
                  </w:tcBorders>
                  <w:noWrap w:val="0"/>
                  <w:vAlign w:val="center"/>
                </w:tcPr>
                <w:p w14:paraId="03F2D1F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强化日常监管执法</w:t>
                  </w:r>
                </w:p>
              </w:tc>
              <w:tc>
                <w:tcPr>
                  <w:tcW w:w="4782" w:type="dxa"/>
                  <w:tcBorders>
                    <w:top w:val="single" w:color="auto" w:sz="2" w:space="0"/>
                    <w:left w:val="single" w:color="auto" w:sz="2" w:space="0"/>
                    <w:bottom w:val="single" w:color="auto" w:sz="2" w:space="0"/>
                    <w:right w:val="single" w:color="auto" w:sz="2" w:space="0"/>
                  </w:tcBorders>
                  <w:noWrap w:val="0"/>
                  <w:vAlign w:val="center"/>
                </w:tcPr>
                <w:p w14:paraId="0212748E">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持续加大对违反产业政策、规划、准入规定等违法违规建设行为的查处力度，坚决遏制“未批先建”等违法行为。畅通群众举报投诉渠道，对“散乱污”项目做到早发现、早应对、早处置，严防死灰复燃。</w:t>
                  </w:r>
                </w:p>
              </w:tc>
              <w:tc>
                <w:tcPr>
                  <w:tcW w:w="1061" w:type="dxa"/>
                  <w:tcBorders>
                    <w:top w:val="single" w:color="auto" w:sz="2" w:space="0"/>
                    <w:left w:val="single" w:color="auto" w:sz="2" w:space="0"/>
                    <w:bottom w:val="single" w:color="auto" w:sz="2" w:space="0"/>
                    <w:right w:val="single" w:color="auto" w:sz="2" w:space="0"/>
                  </w:tcBorders>
                  <w:noWrap w:val="0"/>
                  <w:vAlign w:val="center"/>
                </w:tcPr>
                <w:p w14:paraId="296338E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按要求执行</w:t>
                  </w:r>
                </w:p>
              </w:tc>
            </w:tr>
          </w:tbl>
          <w:p w14:paraId="14895751">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4"/>
                <w:highlight w:val="none"/>
              </w:rPr>
            </w:pPr>
            <w:r>
              <w:rPr>
                <w:rFonts w:hint="default" w:ascii="Times New Roman" w:hAnsi="Times New Roman" w:cs="Times New Roman"/>
                <w:snapToGrid w:val="0"/>
                <w:color w:val="auto"/>
                <w:kern w:val="0"/>
              </w:rPr>
              <w:t>由上表可知，项目的建设符合《关于严格项目审批工作坚决防止新上“散乱污”项目的通知》（鲁环字〔2021〕58号）要求。</w:t>
            </w:r>
          </w:p>
          <w:p w14:paraId="54AF837A">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color w:val="auto"/>
                <w:szCs w:val="21"/>
                <w:highlight w:val="none"/>
                <w:lang w:val="en-US" w:eastAsia="zh-CN"/>
              </w:rPr>
            </w:pPr>
            <w:r>
              <w:rPr>
                <w:rFonts w:hint="default" w:ascii="Times New Roman" w:hAnsi="Times New Roman" w:cs="Times New Roman"/>
                <w:b/>
                <w:bCs/>
                <w:color w:val="auto"/>
                <w:sz w:val="24"/>
                <w:highlight w:val="none"/>
                <w:lang w:val="en-US" w:eastAsia="zh-CN"/>
              </w:rPr>
              <w:t>1</w:t>
            </w:r>
            <w:r>
              <w:rPr>
                <w:rFonts w:hint="eastAsia" w:ascii="Times New Roman" w:hAnsi="Times New Roman" w:cs="Times New Roman"/>
                <w:b/>
                <w:bCs/>
                <w:color w:val="auto"/>
                <w:sz w:val="24"/>
                <w:highlight w:val="none"/>
                <w:lang w:val="en-US" w:eastAsia="zh-CN"/>
              </w:rPr>
              <w:t>0</w:t>
            </w:r>
            <w:r>
              <w:rPr>
                <w:rFonts w:hint="default" w:ascii="Times New Roman" w:hAnsi="Times New Roman"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与《山东省“十四五”生态环境保护规划》符合性分析</w:t>
            </w:r>
          </w:p>
          <w:p w14:paraId="34E10709">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表1-1</w:t>
            </w:r>
            <w:r>
              <w:rPr>
                <w:rFonts w:hint="eastAsia" w:ascii="Times New Roman" w:hAnsi="Times New Roman" w:eastAsia="宋体" w:cs="Times New Roman"/>
                <w:b/>
                <w:color w:val="auto"/>
                <w:szCs w:val="21"/>
                <w:highlight w:val="none"/>
                <w:lang w:val="en-US" w:eastAsia="zh-CN"/>
              </w:rPr>
              <w:t>2</w:t>
            </w:r>
            <w:r>
              <w:rPr>
                <w:rFonts w:hint="default" w:ascii="Times New Roman" w:hAnsi="Times New Roman" w:eastAsia="宋体" w:cs="Times New Roman"/>
                <w:b/>
                <w:color w:val="auto"/>
                <w:szCs w:val="21"/>
                <w:highlight w:val="none"/>
                <w:lang w:val="en-US" w:eastAsia="zh-CN"/>
              </w:rPr>
              <w:t>符合性分析一览表</w:t>
            </w:r>
          </w:p>
          <w:tbl>
            <w:tblPr>
              <w:tblStyle w:val="32"/>
              <w:tblW w:w="4994" w:type="pct"/>
              <w:tblInd w:w="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25"/>
              <w:gridCol w:w="1641"/>
            </w:tblGrid>
            <w:tr w14:paraId="142A6E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277" w:type="dxa"/>
                  <w:noWrap w:val="0"/>
                  <w:vAlign w:val="center"/>
                </w:tcPr>
                <w:p w14:paraId="76989528">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文件要求</w:t>
                  </w:r>
                </w:p>
              </w:tc>
              <w:tc>
                <w:tcPr>
                  <w:tcW w:w="1487" w:type="dxa"/>
                  <w:noWrap w:val="0"/>
                  <w:vAlign w:val="center"/>
                </w:tcPr>
                <w:p w14:paraId="67C2C373">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本项目情况</w:t>
                  </w:r>
                </w:p>
              </w:tc>
            </w:tr>
            <w:tr w14:paraId="210362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277" w:type="dxa"/>
                  <w:noWrap w:val="0"/>
                  <w:vAlign w:val="center"/>
                </w:tcPr>
                <w:p w14:paraId="5A746ACA">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坚决淘汰落后动能。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487" w:type="dxa"/>
                  <w:noWrap w:val="0"/>
                  <w:vAlign w:val="center"/>
                </w:tcPr>
                <w:p w14:paraId="6A560A76">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本项目不属于《产业结构调整指导目录</w:t>
                  </w:r>
                  <w:r>
                    <w:rPr>
                      <w:rFonts w:hint="default" w:ascii="Times New Roman" w:hAnsi="Times New Roman" w:cs="Times New Roman"/>
                      <w:color w:val="auto"/>
                      <w:szCs w:val="21"/>
                      <w:lang w:val="en-US" w:eastAsia="zh-CN"/>
                    </w:rPr>
                    <w:t>（2024年本）</w:t>
                  </w:r>
                  <w:r>
                    <w:rPr>
                      <w:rFonts w:hint="default" w:ascii="Times New Roman" w:hAnsi="Times New Roman" w:cs="Times New Roman"/>
                      <w:color w:val="auto"/>
                      <w:szCs w:val="21"/>
                    </w:rPr>
                    <w:t>》中的“淘汰类”，不属于8个重点行业；符合。</w:t>
                  </w:r>
                </w:p>
              </w:tc>
            </w:tr>
            <w:tr w14:paraId="1872B9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277" w:type="dxa"/>
                  <w:noWrap w:val="0"/>
                  <w:vAlign w:val="center"/>
                </w:tcPr>
                <w:p w14:paraId="4F031802">
                  <w:pPr>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着力提高工业园区绿色化水平。提高铸造、有色、化工、砖瓦、玻璃、耐火材料、陶瓷、制革、印染等行业的园区集聚水平，深入推进园区循环化改造。</w:t>
                  </w:r>
                </w:p>
              </w:tc>
              <w:tc>
                <w:tcPr>
                  <w:tcW w:w="1487" w:type="dxa"/>
                  <w:noWrap w:val="0"/>
                  <w:vAlign w:val="center"/>
                </w:tcPr>
                <w:p w14:paraId="639782BD">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本项目不属于所列行业；符合。</w:t>
                  </w:r>
                </w:p>
              </w:tc>
            </w:tr>
            <w:tr w14:paraId="3C4C08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277" w:type="dxa"/>
                  <w:noWrap w:val="0"/>
                  <w:vAlign w:val="center"/>
                </w:tcPr>
                <w:p w14:paraId="6D39D238">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bCs/>
                      <w:color w:val="auto"/>
                      <w:spacing w:val="-6"/>
                      <w:sz w:val="21"/>
                      <w:szCs w:val="21"/>
                    </w:rPr>
                  </w:pPr>
                  <w:r>
                    <w:rPr>
                      <w:rFonts w:hint="default" w:ascii="Times New Roman" w:hAnsi="Times New Roman" w:cs="Times New Roman"/>
                      <w:bCs/>
                      <w:color w:val="auto"/>
                      <w:spacing w:val="-6"/>
                      <w:sz w:val="21"/>
                      <w:szCs w:val="21"/>
                    </w:rPr>
                    <w:t>优化能源供给结构。积极推进能源生产和消费革命，加快构建清洁低碳安全高效能源体系，推进能源低碳化转型。严控化石能源消费总量，推动煤炭等化石能源清洁高效利用。实施可再生能源替代行动，加快推进风电、光伏、生物质等可再生能源发展。</w:t>
                  </w:r>
                </w:p>
              </w:tc>
              <w:tc>
                <w:tcPr>
                  <w:tcW w:w="1487" w:type="dxa"/>
                  <w:noWrap w:val="0"/>
                  <w:vAlign w:val="center"/>
                </w:tcPr>
                <w:p w14:paraId="19C2BADB">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本项目使用的能源为</w:t>
                  </w:r>
                  <w:r>
                    <w:rPr>
                      <w:rFonts w:hint="eastAsia" w:ascii="Times New Roman" w:hAnsi="Times New Roman" w:eastAsia="宋体" w:cs="Times New Roman"/>
                      <w:color w:val="auto"/>
                      <w:szCs w:val="21"/>
                      <w:lang w:val="en-US" w:eastAsia="zh-CN"/>
                    </w:rPr>
                    <w:t>天然气、</w:t>
                  </w:r>
                  <w:r>
                    <w:rPr>
                      <w:rFonts w:hint="default" w:ascii="Times New Roman" w:hAnsi="Times New Roman" w:eastAsia="宋体" w:cs="Times New Roman"/>
                      <w:color w:val="auto"/>
                      <w:szCs w:val="21"/>
                    </w:rPr>
                    <w:t>电</w:t>
                  </w:r>
                  <w:r>
                    <w:rPr>
                      <w:rFonts w:hint="default" w:ascii="Times New Roman" w:hAnsi="Times New Roman" w:eastAsia="宋体" w:cs="Times New Roman"/>
                      <w:color w:val="auto"/>
                      <w:szCs w:val="21"/>
                      <w:lang w:val="en-US" w:eastAsia="zh-CN"/>
                    </w:rPr>
                    <w:t>能</w:t>
                  </w:r>
                  <w:r>
                    <w:rPr>
                      <w:rFonts w:hint="default" w:ascii="Times New Roman" w:hAnsi="Times New Roman" w:eastAsia="宋体" w:cs="Times New Roman"/>
                      <w:color w:val="auto"/>
                      <w:szCs w:val="21"/>
                    </w:rPr>
                    <w:t>；符合。</w:t>
                  </w:r>
                </w:p>
              </w:tc>
            </w:tr>
          </w:tbl>
          <w:p w14:paraId="7E21F61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32"/>
                <w:highlight w:val="none"/>
              </w:rPr>
            </w:pPr>
            <w:r>
              <w:rPr>
                <w:rFonts w:hint="default" w:ascii="Times New Roman" w:hAnsi="Times New Roman" w:eastAsia="宋体" w:cs="Times New Roman"/>
                <w:snapToGrid w:val="0"/>
                <w:color w:val="auto"/>
                <w:kern w:val="0"/>
                <w:sz w:val="24"/>
                <w:szCs w:val="32"/>
                <w:highlight w:val="none"/>
              </w:rPr>
              <w:t>综上，本项目建设符合《山东省“十四五”生态环境保护规划》要求。</w:t>
            </w:r>
          </w:p>
          <w:p w14:paraId="4C35E9DF">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val="en-US" w:eastAsia="zh-CN"/>
              </w:rPr>
              <w:t>、</w:t>
            </w:r>
            <w:r>
              <w:rPr>
                <w:rFonts w:hint="default" w:ascii="Times New Roman" w:hAnsi="Times New Roman" w:eastAsia="宋体" w:cs="Times New Roman"/>
                <w:b/>
                <w:bCs/>
                <w:color w:val="auto"/>
                <w:sz w:val="24"/>
                <w:highlight w:val="none"/>
              </w:rPr>
              <w:t>与《山东省空气</w:t>
            </w:r>
            <w:r>
              <w:rPr>
                <w:rFonts w:hint="default" w:ascii="Times New Roman" w:hAnsi="Times New Roman" w:eastAsia="宋体" w:cs="Times New Roman"/>
                <w:b/>
                <w:bCs/>
                <w:color w:val="auto"/>
                <w:sz w:val="24"/>
                <w:highlight w:val="none"/>
                <w:lang w:val="en-US" w:eastAsia="zh-CN"/>
              </w:rPr>
              <w:t>质量</w:t>
            </w:r>
            <w:r>
              <w:rPr>
                <w:rFonts w:hint="default" w:ascii="Times New Roman" w:hAnsi="Times New Roman" w:eastAsia="宋体" w:cs="Times New Roman"/>
                <w:b/>
                <w:bCs/>
                <w:color w:val="auto"/>
                <w:sz w:val="24"/>
                <w:highlight w:val="none"/>
              </w:rPr>
              <w:t>持续改善暨第三轮“四减四增”行动实施方案》符合性分析</w:t>
            </w:r>
          </w:p>
          <w:p w14:paraId="32301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表1-1</w:t>
            </w:r>
            <w:r>
              <w:rPr>
                <w:rFonts w:hint="eastAsia" w:ascii="Times New Roman" w:hAnsi="Times New Roman" w:eastAsia="宋体" w:cs="Times New Roman"/>
                <w:b/>
                <w:color w:val="auto"/>
                <w:szCs w:val="21"/>
                <w:highlight w:val="none"/>
                <w:lang w:val="en-US" w:eastAsia="zh-CN"/>
              </w:rPr>
              <w:t>3</w:t>
            </w:r>
            <w:r>
              <w:rPr>
                <w:rFonts w:hint="default" w:ascii="Times New Roman" w:hAnsi="Times New Roman" w:eastAsia="宋体" w:cs="Times New Roman"/>
                <w:b/>
                <w:color w:val="auto"/>
                <w:szCs w:val="21"/>
                <w:highlight w:val="none"/>
                <w:lang w:val="en-US" w:eastAsia="zh-CN"/>
              </w:rPr>
              <w:t>与《山东省空气质量持续改善暨第三轮“四减四增”行动</w:t>
            </w:r>
          </w:p>
          <w:p w14:paraId="2B8818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color w:val="auto"/>
                <w:szCs w:val="21"/>
                <w:highlight w:val="none"/>
                <w:lang w:val="en-US" w:eastAsia="zh-CN"/>
              </w:rPr>
              <w:t>实施方案》的符合性分析</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4743"/>
              <w:gridCol w:w="1325"/>
              <w:gridCol w:w="826"/>
            </w:tblGrid>
            <w:tr w14:paraId="2DDED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4" w:type="dxa"/>
                  <w:noWrap w:val="0"/>
                  <w:vAlign w:val="center"/>
                </w:tcPr>
                <w:p w14:paraId="356C943C">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lang w:val="zh-CN"/>
                    </w:rPr>
                    <w:t>序号</w:t>
                  </w:r>
                </w:p>
              </w:tc>
              <w:tc>
                <w:tcPr>
                  <w:tcW w:w="5220" w:type="dxa"/>
                  <w:noWrap w:val="0"/>
                  <w:vAlign w:val="center"/>
                </w:tcPr>
                <w:p w14:paraId="204E0625">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文件要求</w:t>
                  </w:r>
                </w:p>
              </w:tc>
              <w:tc>
                <w:tcPr>
                  <w:tcW w:w="1458" w:type="dxa"/>
                  <w:noWrap w:val="0"/>
                  <w:vAlign w:val="center"/>
                </w:tcPr>
                <w:p w14:paraId="71609F8D">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lang w:val="zh-CN"/>
                    </w:rPr>
                    <w:t>项目情况</w:t>
                  </w:r>
                </w:p>
              </w:tc>
              <w:tc>
                <w:tcPr>
                  <w:tcW w:w="908" w:type="dxa"/>
                  <w:noWrap w:val="0"/>
                  <w:vAlign w:val="center"/>
                </w:tcPr>
                <w:p w14:paraId="59F7E94C">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lang w:val="zh-CN"/>
                    </w:rPr>
                    <w:t>符合性</w:t>
                  </w:r>
                </w:p>
              </w:tc>
            </w:tr>
            <w:tr w14:paraId="5E9AF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4" w:type="dxa"/>
                  <w:noWrap w:val="0"/>
                  <w:vAlign w:val="center"/>
                </w:tcPr>
                <w:p w14:paraId="304E51B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5220" w:type="dxa"/>
                  <w:noWrap w:val="0"/>
                  <w:vAlign w:val="center"/>
                </w:tcPr>
                <w:p w14:paraId="69804A37">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t>（一）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严格落实国家粗钢产量调控目标。推行钢铁、焦化、烧结一体化布局，有序引导高炉—转炉长流程炼钢转型为电炉短流程炼钢，到2025年，电炉钢占比达到7%左右。多措并举治理环保领域低价低质中标乱象，营造公平竞争环境，推动产业健康有序发展。</w:t>
                  </w:r>
                </w:p>
              </w:tc>
              <w:tc>
                <w:tcPr>
                  <w:tcW w:w="1458" w:type="dxa"/>
                  <w:noWrap w:val="0"/>
                  <w:vAlign w:val="center"/>
                </w:tcPr>
                <w:p w14:paraId="3477E1F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本项目不属于高耗能、高排放、低水平项目，项目建设符合国家及地方产业政策，项目不涉及产能置换，不涉及钢铁、焦化等行业。</w:t>
                  </w:r>
                </w:p>
              </w:tc>
              <w:tc>
                <w:tcPr>
                  <w:tcW w:w="908" w:type="dxa"/>
                  <w:noWrap w:val="0"/>
                  <w:vAlign w:val="center"/>
                </w:tcPr>
                <w:p w14:paraId="552A47C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14:paraId="21769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4" w:type="dxa"/>
                  <w:noWrap w:val="0"/>
                  <w:vAlign w:val="center"/>
                </w:tcPr>
                <w:p w14:paraId="5C01E1E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5220" w:type="dxa"/>
                  <w:noWrap w:val="0"/>
                  <w:vAlign w:val="center"/>
                </w:tcPr>
                <w:p w14:paraId="0D58DCEF">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rPr>
                  </w:pPr>
                  <w:r>
                    <w:rPr>
                      <w:rFonts w:hint="default" w:ascii="Times New Roman" w:hAnsi="Times New Roman" w:cs="Times New Roman"/>
                      <w:color w:val="auto"/>
                      <w:szCs w:val="21"/>
                    </w:rPr>
                    <w:t>优化调整重点行业结构。重点区域进一步提高落后产能能耗、环保、质量、安全、技术等要求，逐步退出限制类涉气行业工艺和装备；逐步淘汰步进式烧结机和球团竖炉以及半封闭式硅锰合金、镍铁、高碳铬铁、高碳锰铁电炉。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w:t>
                  </w:r>
                </w:p>
              </w:tc>
              <w:tc>
                <w:tcPr>
                  <w:tcW w:w="1458" w:type="dxa"/>
                  <w:noWrap w:val="0"/>
                  <w:vAlign w:val="center"/>
                </w:tcPr>
                <w:p w14:paraId="66BE49C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本项目不属于落后产能项目，不属于钢铁、水泥、焦化、电解铝等产业项目。</w:t>
                  </w:r>
                </w:p>
              </w:tc>
              <w:tc>
                <w:tcPr>
                  <w:tcW w:w="908" w:type="dxa"/>
                  <w:noWrap w:val="0"/>
                  <w:vAlign w:val="center"/>
                </w:tcPr>
                <w:p w14:paraId="46FEB26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14:paraId="1C83A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4" w:type="dxa"/>
                  <w:noWrap w:val="0"/>
                  <w:vAlign w:val="center"/>
                </w:tcPr>
                <w:p w14:paraId="6839BD5A">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5220" w:type="dxa"/>
                  <w:noWrap w:val="0"/>
                  <w:vAlign w:val="center"/>
                </w:tcPr>
                <w:p w14:paraId="2B3FA0CD">
                  <w:pPr>
                    <w:keepNext w:val="0"/>
                    <w:keepLines w:val="0"/>
                    <w:suppressLineNumbers w:val="0"/>
                    <w:spacing w:before="0" w:beforeAutospacing="0" w:after="0" w:afterAutospacing="0"/>
                    <w:ind w:left="0" w:right="0"/>
                    <w:jc w:val="left"/>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开展传统产业集群升级改造。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w:t>
                  </w:r>
                </w:p>
              </w:tc>
              <w:tc>
                <w:tcPr>
                  <w:tcW w:w="1458" w:type="dxa"/>
                  <w:noWrap w:val="0"/>
                  <w:vAlign w:val="center"/>
                </w:tcPr>
                <w:p w14:paraId="36D7280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本项目选址符合区域要求，废气处置措施合理有效。</w:t>
                  </w:r>
                </w:p>
              </w:tc>
              <w:tc>
                <w:tcPr>
                  <w:tcW w:w="908" w:type="dxa"/>
                  <w:noWrap w:val="0"/>
                  <w:vAlign w:val="center"/>
                </w:tcPr>
                <w:p w14:paraId="47890FDE">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14:paraId="503D37A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32"/>
                <w:highlight w:val="none"/>
              </w:rPr>
            </w:pPr>
          </w:p>
          <w:p w14:paraId="64721EB1">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4E76B61C">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7FCD2BA4">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09F2F546">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1F6E7057">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102E3ABD">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297A5361">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6B644FB7">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5B6469AA">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75BBCB16">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10D5349D">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4C949953">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50507382">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0D305B13">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65F182F4">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679080D1">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24CFD0FC">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78E5415B">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0D9C3447">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23506862">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1F20528D">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39CF6839">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44CAECD2">
            <w:pPr>
              <w:keepNext w:val="0"/>
              <w:keepLines w:val="0"/>
              <w:suppressLineNumbers w:val="0"/>
              <w:adjustRightInd w:val="0"/>
              <w:snapToGrid w:val="0"/>
              <w:spacing w:before="0" w:beforeAutospacing="0" w:after="0" w:afterAutospacing="0" w:line="360" w:lineRule="auto"/>
              <w:ind w:left="0" w:right="0"/>
              <w:rPr>
                <w:rFonts w:hint="eastAsia" w:ascii="Times New Roman" w:hAnsi="Times New Roman" w:eastAsia="宋体" w:cs="Times New Roman"/>
                <w:snapToGrid w:val="0"/>
                <w:color w:val="auto"/>
                <w:kern w:val="0"/>
                <w:sz w:val="24"/>
                <w:szCs w:val="32"/>
                <w:highlight w:val="none"/>
                <w:lang w:val="en-US" w:eastAsia="zh-CN"/>
              </w:rPr>
            </w:pPr>
          </w:p>
          <w:p w14:paraId="0F19FB7A">
            <w:pPr>
              <w:keepNext w:val="0"/>
              <w:keepLines w:val="0"/>
              <w:suppressLineNumbers w:val="0"/>
              <w:adjustRightInd w:val="0"/>
              <w:snapToGrid w:val="0"/>
              <w:spacing w:before="0" w:beforeAutospacing="0" w:after="0" w:afterAutospacing="0" w:line="360" w:lineRule="auto"/>
              <w:ind w:left="0" w:right="0"/>
              <w:rPr>
                <w:rFonts w:hint="eastAsia" w:cs="Times New Roman"/>
                <w:snapToGrid w:val="0"/>
                <w:color w:val="auto"/>
                <w:kern w:val="0"/>
                <w:sz w:val="24"/>
                <w:szCs w:val="32"/>
                <w:highlight w:val="none"/>
                <w:lang w:val="en-US" w:eastAsia="zh-CN"/>
              </w:rPr>
            </w:pPr>
          </w:p>
          <w:p w14:paraId="214D5AE8">
            <w:pPr>
              <w:keepNext w:val="0"/>
              <w:keepLines w:val="0"/>
              <w:suppressLineNumbers w:val="0"/>
              <w:adjustRightInd w:val="0"/>
              <w:snapToGrid w:val="0"/>
              <w:spacing w:before="0" w:beforeAutospacing="0" w:after="0" w:afterAutospacing="0" w:line="360" w:lineRule="auto"/>
              <w:ind w:left="0" w:right="0"/>
              <w:rPr>
                <w:rFonts w:hint="eastAsia" w:cs="Times New Roman"/>
                <w:snapToGrid w:val="0"/>
                <w:color w:val="auto"/>
                <w:kern w:val="0"/>
                <w:sz w:val="24"/>
                <w:szCs w:val="32"/>
                <w:highlight w:val="none"/>
                <w:lang w:val="en-US" w:eastAsia="zh-CN"/>
              </w:rPr>
            </w:pPr>
          </w:p>
          <w:p w14:paraId="473A18CA">
            <w:pPr>
              <w:keepNext w:val="0"/>
              <w:keepLines w:val="0"/>
              <w:suppressLineNumbers w:val="0"/>
              <w:adjustRightInd w:val="0"/>
              <w:snapToGrid w:val="0"/>
              <w:spacing w:before="0" w:beforeAutospacing="0" w:after="0" w:afterAutospacing="0" w:line="360" w:lineRule="auto"/>
              <w:ind w:left="0" w:right="0"/>
              <w:rPr>
                <w:rFonts w:hint="eastAsia" w:cs="Times New Roman"/>
                <w:snapToGrid w:val="0"/>
                <w:color w:val="auto"/>
                <w:kern w:val="0"/>
                <w:sz w:val="24"/>
                <w:szCs w:val="32"/>
                <w:highlight w:val="none"/>
                <w:lang w:val="en-US" w:eastAsia="zh-CN"/>
              </w:rPr>
            </w:pPr>
          </w:p>
          <w:p w14:paraId="4AC74459">
            <w:pPr>
              <w:keepNext w:val="0"/>
              <w:keepLines w:val="0"/>
              <w:suppressLineNumbers w:val="0"/>
              <w:adjustRightInd w:val="0"/>
              <w:snapToGrid w:val="0"/>
              <w:spacing w:before="0" w:beforeAutospacing="0" w:after="0" w:afterAutospacing="0" w:line="360" w:lineRule="auto"/>
              <w:ind w:left="0" w:right="0"/>
              <w:rPr>
                <w:rFonts w:hint="eastAsia" w:cs="Times New Roman"/>
                <w:snapToGrid w:val="0"/>
                <w:color w:val="auto"/>
                <w:kern w:val="0"/>
                <w:sz w:val="24"/>
                <w:szCs w:val="32"/>
                <w:highlight w:val="none"/>
                <w:lang w:val="en-US" w:eastAsia="zh-CN"/>
              </w:rPr>
            </w:pPr>
          </w:p>
          <w:p w14:paraId="73D6A2E9">
            <w:pPr>
              <w:keepNext w:val="0"/>
              <w:keepLines w:val="0"/>
              <w:suppressLineNumbers w:val="0"/>
              <w:adjustRightInd w:val="0"/>
              <w:snapToGrid w:val="0"/>
              <w:spacing w:before="0" w:beforeAutospacing="0" w:after="0" w:afterAutospacing="0" w:line="360" w:lineRule="auto"/>
              <w:ind w:left="0" w:right="0"/>
              <w:rPr>
                <w:rFonts w:hint="eastAsia" w:cs="Times New Roman"/>
                <w:snapToGrid w:val="0"/>
                <w:color w:val="auto"/>
                <w:kern w:val="0"/>
                <w:sz w:val="24"/>
                <w:szCs w:val="32"/>
                <w:highlight w:val="none"/>
                <w:lang w:val="en-US" w:eastAsia="zh-CN"/>
              </w:rPr>
            </w:pPr>
          </w:p>
          <w:p w14:paraId="64F36FFC">
            <w:pPr>
              <w:keepNext w:val="0"/>
              <w:keepLines w:val="0"/>
              <w:suppressLineNumbers w:val="0"/>
              <w:adjustRightInd w:val="0"/>
              <w:snapToGrid w:val="0"/>
              <w:spacing w:before="0" w:beforeAutospacing="0" w:after="0" w:afterAutospacing="0" w:line="360" w:lineRule="auto"/>
              <w:ind w:left="0" w:right="0"/>
              <w:rPr>
                <w:rFonts w:hint="eastAsia" w:cs="Times New Roman"/>
                <w:snapToGrid w:val="0"/>
                <w:color w:val="auto"/>
                <w:kern w:val="0"/>
                <w:sz w:val="24"/>
                <w:szCs w:val="32"/>
                <w:highlight w:val="none"/>
                <w:lang w:val="en-US" w:eastAsia="zh-CN"/>
              </w:rPr>
            </w:pPr>
          </w:p>
          <w:p w14:paraId="173D2406">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snapToGrid w:val="0"/>
                <w:color w:val="auto"/>
                <w:kern w:val="0"/>
                <w:sz w:val="24"/>
                <w:szCs w:val="32"/>
                <w:highlight w:val="none"/>
                <w:lang w:val="en-US" w:eastAsia="zh-CN"/>
              </w:rPr>
            </w:pPr>
            <w:r>
              <w:rPr>
                <w:rFonts w:hint="eastAsia" w:cs="Times New Roman"/>
                <w:snapToGrid w:val="0"/>
                <w:color w:val="auto"/>
                <w:kern w:val="0"/>
                <w:sz w:val="24"/>
                <w:szCs w:val="32"/>
                <w:highlight w:val="none"/>
                <w:lang w:val="en-US" w:eastAsia="zh-CN"/>
              </w:rPr>
              <w:t xml:space="preserve"> </w:t>
            </w:r>
          </w:p>
        </w:tc>
      </w:tr>
    </w:tbl>
    <w:p w14:paraId="6ED23E1C">
      <w:pPr>
        <w:spacing w:line="360" w:lineRule="auto"/>
        <w:rPr>
          <w:rFonts w:hint="default" w:ascii="Times New Roman" w:hAnsi="Times New Roman" w:eastAsia="黑体" w:cs="Times New Roman"/>
          <w:color w:val="auto"/>
          <w:sz w:val="30"/>
          <w:highlight w:val="none"/>
        </w:rPr>
        <w:sectPr>
          <w:footerReference r:id="rId5" w:type="default"/>
          <w:pgSz w:w="11906" w:h="16838"/>
          <w:pgMar w:top="1417" w:right="1134" w:bottom="1417" w:left="1134"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715E8769">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tLeast"/>
        <w:jc w:val="center"/>
        <w:textAlignment w:val="auto"/>
        <w:outlineLvl w:val="0"/>
        <w:rPr>
          <w:rFonts w:hint="default" w:ascii="Times New Roman" w:hAnsi="Times New Roman" w:eastAsia="黑体" w:cs="Times New Roman"/>
          <w:snapToGrid w:val="0"/>
          <w:color w:val="auto"/>
          <w:sz w:val="30"/>
          <w:szCs w:val="30"/>
          <w:highlight w:val="none"/>
        </w:rPr>
      </w:pPr>
      <w:bookmarkStart w:id="8" w:name="_Toc21987"/>
      <w:bookmarkStart w:id="9" w:name="_Toc3780"/>
      <w:bookmarkStart w:id="10" w:name="_Toc14989"/>
      <w:r>
        <w:rPr>
          <w:rFonts w:hint="default" w:ascii="Times New Roman" w:hAnsi="Times New Roman" w:eastAsia="黑体" w:cs="Times New Roman"/>
          <w:snapToGrid w:val="0"/>
          <w:color w:val="auto"/>
          <w:sz w:val="30"/>
          <w:szCs w:val="30"/>
          <w:highlight w:val="none"/>
        </w:rPr>
        <w:t>二、建设项目工程分析</w:t>
      </w:r>
      <w:bookmarkEnd w:id="8"/>
      <w:bookmarkEnd w:id="9"/>
      <w:bookmarkEnd w:id="10"/>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3"/>
        <w:gridCol w:w="8951"/>
      </w:tblGrid>
      <w:tr w14:paraId="2B04D1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4126A6BB">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Cs w:val="24"/>
                <w:highlight w:val="none"/>
              </w:rPr>
              <w:t>建设内容</w:t>
            </w:r>
          </w:p>
        </w:tc>
        <w:tc>
          <w:tcPr>
            <w:tcW w:w="8161" w:type="dxa"/>
            <w:noWrap w:val="0"/>
            <w:vAlign w:val="top"/>
          </w:tcPr>
          <w:p w14:paraId="064C53A6">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一、项目由来</w:t>
            </w:r>
          </w:p>
          <w:p w14:paraId="2BBB6D38">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lang w:eastAsia="zh-CN"/>
              </w:rPr>
            </w:pPr>
            <w:r>
              <w:rPr>
                <w:rFonts w:hint="default" w:ascii="Times New Roman" w:hAnsi="Times New Roman" w:cs="Times New Roman"/>
                <w:color w:val="auto"/>
                <w:sz w:val="24"/>
                <w:szCs w:val="32"/>
                <w:highlight w:val="none"/>
                <w:lang w:eastAsia="zh-CN"/>
              </w:rPr>
              <w:t>淄博鸿安铝业有限公司成立于2019年04月09日，注册地位于山东省淄博市淄川区双杨镇华坞村村委东500米，法定代表人为亓玉霄。经营范围包括氧化铝粉、氧化铝陶瓷件、人造刚玉、耐火材料销售。（依法须经批准的项目，经相关部门批准后方可开展经营活动）</w:t>
            </w:r>
          </w:p>
          <w:p w14:paraId="275D9E7B">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eastAsia="zh-CN"/>
              </w:rPr>
              <w:t>淄博鸿安铝业有限公司</w:t>
            </w:r>
            <w:r>
              <w:rPr>
                <w:rFonts w:hint="default" w:ascii="Times New Roman" w:hAnsi="Times New Roman" w:eastAsia="宋体" w:cs="Times New Roman"/>
                <w:color w:val="auto"/>
                <w:sz w:val="24"/>
                <w:szCs w:val="32"/>
                <w:highlight w:val="none"/>
                <w:lang w:eastAsia="zh-CN"/>
              </w:rPr>
              <w:t>租</w:t>
            </w:r>
            <w:r>
              <w:rPr>
                <w:rFonts w:hint="default" w:ascii="Times New Roman" w:hAnsi="Times New Roman" w:cs="Times New Roman"/>
                <w:color w:val="auto"/>
                <w:sz w:val="24"/>
                <w:szCs w:val="32"/>
                <w:highlight w:val="none"/>
              </w:rPr>
              <w:t>赁</w:t>
            </w:r>
            <w:r>
              <w:rPr>
                <w:rFonts w:hint="eastAsia" w:ascii="Times New Roman" w:hAnsi="Times New Roman" w:eastAsia="宋体" w:cs="Times New Roman"/>
                <w:color w:val="auto"/>
                <w:sz w:val="24"/>
                <w:szCs w:val="32"/>
                <w:highlight w:val="none"/>
                <w:lang w:val="en-US" w:eastAsia="zh-CN"/>
              </w:rPr>
              <w:t>淄川区双杨镇小庄村沿河路东部现有厂房</w:t>
            </w:r>
            <w:r>
              <w:rPr>
                <w:rFonts w:hint="default" w:ascii="Times New Roman" w:hAnsi="Times New Roman" w:eastAsia="宋体" w:cs="Times New Roman"/>
                <w:color w:val="auto"/>
                <w:sz w:val="24"/>
                <w:szCs w:val="32"/>
                <w:highlight w:val="none"/>
                <w:lang w:val="en-US" w:eastAsia="zh-CN"/>
              </w:rPr>
              <w:t>，项目不新增用地，利用</w:t>
            </w:r>
            <w:r>
              <w:rPr>
                <w:rFonts w:hint="eastAsia" w:ascii="Times New Roman" w:hAnsi="Times New Roman" w:eastAsia="宋体" w:cs="Times New Roman"/>
                <w:color w:val="auto"/>
                <w:sz w:val="24"/>
                <w:szCs w:val="32"/>
                <w:highlight w:val="none"/>
                <w:lang w:val="en-US" w:eastAsia="zh-CN"/>
              </w:rPr>
              <w:t>现有厂房</w:t>
            </w:r>
            <w:r>
              <w:rPr>
                <w:rFonts w:hint="default" w:ascii="Times New Roman" w:hAnsi="Times New Roman" w:eastAsia="宋体" w:cs="Times New Roman"/>
                <w:color w:val="auto"/>
                <w:sz w:val="24"/>
                <w:szCs w:val="32"/>
                <w:highlight w:val="none"/>
                <w:lang w:val="en-US" w:eastAsia="zh-CN"/>
              </w:rPr>
              <w:t>约</w:t>
            </w:r>
            <w:r>
              <w:rPr>
                <w:rFonts w:hint="eastAsia" w:cs="Times New Roman"/>
                <w:color w:val="auto"/>
                <w:sz w:val="24"/>
                <w:szCs w:val="32"/>
                <w:highlight w:val="none"/>
                <w:lang w:val="en-US" w:eastAsia="zh-CN"/>
              </w:rPr>
              <w:t>38</w:t>
            </w:r>
            <w:r>
              <w:rPr>
                <w:rFonts w:hint="default" w:ascii="Times New Roman" w:hAnsi="Times New Roman" w:eastAsia="宋体" w:cs="Times New Roman"/>
                <w:color w:val="auto"/>
                <w:sz w:val="24"/>
                <w:szCs w:val="32"/>
                <w:highlight w:val="none"/>
                <w:lang w:val="en-US" w:eastAsia="zh-CN"/>
              </w:rPr>
              <w:t>00平方米，购置</w:t>
            </w:r>
            <w:r>
              <w:rPr>
                <w:rFonts w:hint="eastAsia" w:ascii="Times New Roman" w:hAnsi="Times New Roman" w:eastAsia="宋体" w:cs="Times New Roman"/>
                <w:color w:val="auto"/>
                <w:sz w:val="24"/>
                <w:szCs w:val="32"/>
                <w:highlight w:val="none"/>
                <w:lang w:val="en-US" w:eastAsia="zh-CN"/>
              </w:rPr>
              <w:t>酸洗搅拌罐2</w:t>
            </w:r>
            <w:r>
              <w:rPr>
                <w:rFonts w:hint="default" w:ascii="Times New Roman" w:hAnsi="Times New Roman" w:eastAsia="宋体" w:cs="Times New Roman"/>
                <w:color w:val="auto"/>
                <w:sz w:val="24"/>
                <w:szCs w:val="32"/>
                <w:highlight w:val="none"/>
                <w:lang w:val="en-US" w:eastAsia="zh-CN"/>
              </w:rPr>
              <w:t>台、</w:t>
            </w:r>
            <w:r>
              <w:rPr>
                <w:rFonts w:hint="eastAsia" w:ascii="Times New Roman" w:hAnsi="Times New Roman" w:eastAsia="宋体" w:cs="Times New Roman"/>
                <w:color w:val="auto"/>
                <w:sz w:val="24"/>
                <w:szCs w:val="32"/>
                <w:highlight w:val="none"/>
                <w:lang w:val="en-US" w:eastAsia="zh-CN"/>
              </w:rPr>
              <w:t>搅拌罐10</w:t>
            </w:r>
            <w:r>
              <w:rPr>
                <w:rFonts w:hint="default" w:ascii="Times New Roman" w:hAnsi="Times New Roman" w:eastAsia="宋体" w:cs="Times New Roman"/>
                <w:color w:val="auto"/>
                <w:sz w:val="24"/>
                <w:szCs w:val="32"/>
                <w:highlight w:val="none"/>
                <w:lang w:val="en-US" w:eastAsia="zh-CN"/>
              </w:rPr>
              <w:t>台、</w:t>
            </w:r>
            <w:r>
              <w:rPr>
                <w:rFonts w:hint="eastAsia" w:ascii="Times New Roman" w:hAnsi="Times New Roman" w:eastAsia="宋体" w:cs="Times New Roman"/>
                <w:color w:val="auto"/>
                <w:sz w:val="24"/>
                <w:szCs w:val="32"/>
                <w:highlight w:val="none"/>
                <w:lang w:val="en-US" w:eastAsia="zh-CN"/>
              </w:rPr>
              <w:t>压滤机3</w:t>
            </w:r>
            <w:r>
              <w:rPr>
                <w:rFonts w:hint="default" w:ascii="Times New Roman" w:hAnsi="Times New Roman" w:eastAsia="宋体" w:cs="Times New Roman"/>
                <w:color w:val="auto"/>
                <w:sz w:val="24"/>
                <w:szCs w:val="32"/>
                <w:highlight w:val="none"/>
                <w:lang w:val="en-US" w:eastAsia="zh-CN"/>
              </w:rPr>
              <w:t>台、</w:t>
            </w:r>
            <w:r>
              <w:rPr>
                <w:rFonts w:hint="eastAsia" w:ascii="Times New Roman" w:hAnsi="Times New Roman" w:eastAsia="宋体" w:cs="Times New Roman"/>
                <w:color w:val="auto"/>
                <w:sz w:val="24"/>
                <w:szCs w:val="32"/>
                <w:highlight w:val="none"/>
                <w:lang w:val="en-US" w:eastAsia="zh-CN"/>
              </w:rPr>
              <w:t>天然气烘干窑1</w:t>
            </w:r>
            <w:r>
              <w:rPr>
                <w:rFonts w:hint="default" w:ascii="Times New Roman" w:hAnsi="Times New Roman" w:eastAsia="宋体" w:cs="Times New Roman"/>
                <w:color w:val="auto"/>
                <w:sz w:val="24"/>
                <w:szCs w:val="32"/>
                <w:highlight w:val="none"/>
                <w:lang w:val="en-US" w:eastAsia="zh-CN"/>
              </w:rPr>
              <w:t>台、</w:t>
            </w:r>
            <w:r>
              <w:rPr>
                <w:rFonts w:hint="eastAsia" w:ascii="Times New Roman" w:hAnsi="Times New Roman" w:eastAsia="宋体" w:cs="Times New Roman"/>
                <w:color w:val="auto"/>
                <w:sz w:val="24"/>
                <w:szCs w:val="32"/>
                <w:highlight w:val="none"/>
                <w:lang w:val="en-US" w:eastAsia="zh-CN"/>
              </w:rPr>
              <w:t>料仓包装机2</w:t>
            </w:r>
            <w:r>
              <w:rPr>
                <w:rFonts w:hint="default" w:ascii="Times New Roman" w:hAnsi="Times New Roman" w:eastAsia="宋体" w:cs="Times New Roman"/>
                <w:color w:val="auto"/>
                <w:sz w:val="24"/>
                <w:szCs w:val="32"/>
                <w:highlight w:val="none"/>
                <w:lang w:val="en-US" w:eastAsia="zh-CN"/>
              </w:rPr>
              <w:t>台</w:t>
            </w:r>
            <w:r>
              <w:rPr>
                <w:rFonts w:hint="eastAsia" w:ascii="Times New Roman" w:hAnsi="Times New Roman" w:eastAsia="宋体" w:cs="Times New Roman"/>
                <w:color w:val="auto"/>
                <w:sz w:val="24"/>
                <w:szCs w:val="32"/>
                <w:highlight w:val="none"/>
                <w:lang w:val="en-US" w:eastAsia="zh-CN"/>
              </w:rPr>
              <w:t>、盐酸配置罐1个、盐酸循环储罐1个</w:t>
            </w:r>
            <w:r>
              <w:rPr>
                <w:rFonts w:hint="default" w:ascii="Times New Roman" w:hAnsi="Times New Roman" w:eastAsia="宋体" w:cs="Times New Roman"/>
                <w:color w:val="auto"/>
                <w:sz w:val="24"/>
                <w:szCs w:val="32"/>
                <w:highlight w:val="none"/>
                <w:lang w:val="en-US" w:eastAsia="zh-CN"/>
              </w:rPr>
              <w:t>及配套设备。项目建完成后，具备</w:t>
            </w:r>
            <w:r>
              <w:rPr>
                <w:rFonts w:hint="eastAsia" w:ascii="Times New Roman" w:hAnsi="Times New Roman" w:eastAsia="宋体" w:cs="Times New Roman"/>
                <w:color w:val="auto"/>
                <w:sz w:val="24"/>
                <w:szCs w:val="32"/>
                <w:highlight w:val="none"/>
                <w:lang w:val="en-US" w:eastAsia="zh-CN"/>
              </w:rPr>
              <w:t>年产36000吨新能源电池用高纯晶体纳米新材料</w:t>
            </w:r>
            <w:r>
              <w:rPr>
                <w:rFonts w:hint="default" w:ascii="Times New Roman" w:hAnsi="Times New Roman" w:cs="Times New Roman"/>
                <w:color w:val="auto"/>
                <w:sz w:val="24"/>
                <w:highlight w:val="none"/>
                <w:lang w:val="en-US" w:eastAsia="zh-CN"/>
              </w:rPr>
              <w:t>产能。</w:t>
            </w:r>
          </w:p>
          <w:p w14:paraId="48A37281">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根据《产业结构调整指导目录（2024年本）》，本项目不属于限制和淘汰类项目，属于允许类。</w:t>
            </w:r>
          </w:p>
          <w:p w14:paraId="5796751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rPr>
            </w:pPr>
            <w:r>
              <w:rPr>
                <w:rFonts w:hint="default" w:ascii="Times New Roman" w:hAnsi="Times New Roman" w:cs="Times New Roman"/>
                <w:bCs/>
                <w:color w:val="auto"/>
                <w:sz w:val="24"/>
                <w:highlight w:val="none"/>
              </w:rPr>
              <w:t>根据《中华人民共和国环境保护法</w:t>
            </w:r>
            <w:r>
              <w:rPr>
                <w:rFonts w:hint="default" w:ascii="Times New Roman" w:hAnsi="Times New Roman" w:eastAsia="宋体" w:cs="Times New Roman"/>
                <w:bCs/>
                <w:color w:val="auto"/>
                <w:sz w:val="24"/>
                <w:highlight w:val="none"/>
              </w:rPr>
              <w:t>》、《中华人民共和国环境影响评价法》以及《建设项目环境保护管理条例》，本项目应进行环境影响评价，从环保角度论证该项目的环境可行性。根据《建设项目环境影响评价分类管理名录》（2021年版），本项目属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lang w:val="en-US" w:eastAsia="zh-CN"/>
              </w:rPr>
              <w:t>二十七、非金属矿物制品业30</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中</w:t>
            </w:r>
            <w:r>
              <w:rPr>
                <w:rFonts w:hint="default" w:ascii="Times New Roman" w:hAnsi="Times New Roman" w:eastAsia="宋体" w:cs="Times New Roman"/>
                <w:bCs/>
                <w:color w:val="auto"/>
                <w:sz w:val="24"/>
                <w:highlight w:val="none"/>
                <w:lang w:eastAsia="zh-CN"/>
              </w:rPr>
              <w:t>“</w:t>
            </w:r>
            <w:r>
              <w:rPr>
                <w:rFonts w:hint="eastAsia" w:ascii="Times New Roman" w:hAnsi="Times New Roman" w:eastAsia="宋体" w:cs="Times New Roman"/>
                <w:color w:val="auto"/>
                <w:sz w:val="24"/>
                <w:highlight w:val="none"/>
                <w:lang w:val="en-US" w:eastAsia="zh-CN"/>
              </w:rPr>
              <w:t>60石墨及其他非金属矿物制品制造309</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中的“其他”</w:t>
            </w:r>
            <w:r>
              <w:rPr>
                <w:rFonts w:hint="default" w:ascii="Times New Roman" w:hAnsi="Times New Roman" w:eastAsia="宋体" w:cs="Times New Roman"/>
                <w:bCs/>
                <w:color w:val="auto"/>
                <w:sz w:val="24"/>
                <w:highlight w:val="none"/>
              </w:rPr>
              <w:t>应编制环境影响报告表。</w:t>
            </w:r>
          </w:p>
          <w:p w14:paraId="6A2E81D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本项目属于</w:t>
            </w:r>
            <w:r>
              <w:rPr>
                <w:rFonts w:hint="eastAsia" w:ascii="Times New Roman" w:hAnsi="Times New Roman" w:eastAsia="宋体" w:cs="Times New Roman"/>
                <w:bCs/>
                <w:color w:val="auto"/>
                <w:sz w:val="24"/>
                <w:highlight w:val="none"/>
                <w:lang w:val="en-US" w:eastAsia="zh-CN"/>
              </w:rPr>
              <w:t>C3099其他非金属矿物制品制造</w:t>
            </w:r>
            <w:r>
              <w:rPr>
                <w:rFonts w:hint="default" w:ascii="Times New Roman" w:hAnsi="Times New Roman" w:eastAsia="宋体" w:cs="Times New Roman"/>
                <w:bCs/>
                <w:color w:val="auto"/>
                <w:sz w:val="24"/>
                <w:highlight w:val="none"/>
                <w:lang w:val="en-US" w:eastAsia="zh-CN"/>
              </w:rPr>
              <w:t>，依据《危险化学品目录（2022调整版）》（应急部等十部门公告2022年第8号）本项目不属于危险化学品生产企业。</w:t>
            </w:r>
          </w:p>
          <w:p w14:paraId="5F8D778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eastAsia" w:ascii="Times New Roman" w:hAnsi="Times New Roman" w:eastAsia="宋体" w:cs="Times New Roman"/>
                <w:bCs/>
                <w:color w:val="auto"/>
                <w:sz w:val="24"/>
                <w:highlight w:val="none"/>
                <w:lang w:eastAsia="zh-CN"/>
              </w:rPr>
              <w:t>淄博鸿安铝业有限公司</w:t>
            </w:r>
            <w:r>
              <w:rPr>
                <w:rFonts w:hint="default" w:ascii="Times New Roman" w:hAnsi="Times New Roman" w:eastAsia="宋体" w:cs="Times New Roman"/>
                <w:bCs/>
                <w:color w:val="auto"/>
                <w:sz w:val="24"/>
                <w:highlight w:val="none"/>
              </w:rPr>
              <w:t>委托我单位进行本</w:t>
            </w:r>
            <w:r>
              <w:rPr>
                <w:rFonts w:hint="default" w:ascii="Times New Roman" w:hAnsi="Times New Roman" w:cs="Times New Roman"/>
                <w:bCs/>
                <w:color w:val="auto"/>
                <w:sz w:val="24"/>
                <w:highlight w:val="none"/>
              </w:rPr>
              <w:t>项目环境影响报告表编制工作。接受委托后，我公司立即组织有关人员进行现场踏勘，详细了解与收集了该项目的有关资料，按照国家有关环评技术规范要求，结合该项目的特点，编制、完成了本项目环境影响报告表</w:t>
            </w:r>
            <w:r>
              <w:rPr>
                <w:rFonts w:hint="default" w:ascii="Times New Roman" w:hAnsi="Times New Roman" w:cs="Times New Roman"/>
                <w:color w:val="auto"/>
                <w:sz w:val="24"/>
                <w:highlight w:val="none"/>
              </w:rPr>
              <w:t>。</w:t>
            </w:r>
          </w:p>
          <w:p w14:paraId="7A8EA653">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二、工程概况</w:t>
            </w:r>
          </w:p>
          <w:p w14:paraId="77724C1E">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r>
              <w:rPr>
                <w:rFonts w:hint="default" w:ascii="Times New Roman" w:hAnsi="Times New Roman" w:cs="Times New Roman"/>
                <w:color w:val="auto"/>
                <w:sz w:val="24"/>
                <w:szCs w:val="32"/>
                <w:highlight w:val="none"/>
              </w:rPr>
              <w:t>1、项目名称：</w:t>
            </w:r>
            <w:r>
              <w:rPr>
                <w:rFonts w:hint="eastAsia" w:ascii="Times New Roman" w:hAnsi="Times New Roman" w:cs="Times New Roman"/>
                <w:color w:val="auto"/>
                <w:sz w:val="24"/>
                <w:szCs w:val="32"/>
                <w:highlight w:val="none"/>
                <w:lang w:eastAsia="zh-CN"/>
              </w:rPr>
              <w:t>年产36000吨新能源电池用高纯晶体纳米新材料项目</w:t>
            </w:r>
          </w:p>
          <w:p w14:paraId="6286DF7D">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2、建设性质：新建</w:t>
            </w:r>
          </w:p>
          <w:p w14:paraId="60F2066B">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cs="Times New Roman"/>
                <w:color w:val="auto"/>
                <w:sz w:val="24"/>
                <w:szCs w:val="32"/>
                <w:highlight w:val="none"/>
              </w:rPr>
              <w:t>3、建设地点：项目位于</w:t>
            </w:r>
            <w:r>
              <w:rPr>
                <w:rFonts w:hint="eastAsia" w:ascii="Times New Roman" w:hAnsi="Times New Roman" w:eastAsia="宋体" w:cs="Times New Roman"/>
                <w:color w:val="auto"/>
                <w:sz w:val="24"/>
                <w:highlight w:val="none"/>
                <w:lang w:val="en-US" w:eastAsia="zh-CN"/>
              </w:rPr>
              <w:t>山东省淄博市淄川区双杨镇小庄村沿河路东部现有厂房</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cs="Times New Roman"/>
                <w:color w:val="auto"/>
                <w:sz w:val="24"/>
                <w:szCs w:val="32"/>
                <w:highlight w:val="none"/>
              </w:rPr>
              <w:t>项目具体地理位置见附图1。</w:t>
            </w:r>
          </w:p>
          <w:p w14:paraId="3DA2A920">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4、工作制度：本项目劳动定员</w:t>
            </w:r>
            <w:r>
              <w:rPr>
                <w:rFonts w:hint="eastAsia" w:ascii="Times New Roman" w:hAnsi="Times New Roman" w:cs="Times New Roman"/>
                <w:color w:val="auto"/>
                <w:sz w:val="24"/>
                <w:szCs w:val="32"/>
                <w:highlight w:val="none"/>
                <w:lang w:val="en-US" w:eastAsia="zh-CN"/>
              </w:rPr>
              <w:t>20</w:t>
            </w:r>
            <w:r>
              <w:rPr>
                <w:rFonts w:hint="default" w:ascii="Times New Roman" w:hAnsi="Times New Roman" w:cs="Times New Roman"/>
                <w:color w:val="auto"/>
                <w:sz w:val="24"/>
                <w:szCs w:val="32"/>
                <w:highlight w:val="none"/>
              </w:rPr>
              <w:t>人，</w:t>
            </w:r>
            <w:r>
              <w:rPr>
                <w:rFonts w:hint="eastAsia" w:ascii="Times New Roman" w:hAnsi="Times New Roman" w:cs="Times New Roman"/>
                <w:color w:val="auto"/>
                <w:sz w:val="24"/>
                <w:szCs w:val="32"/>
                <w:highlight w:val="none"/>
                <w:lang w:val="en-US" w:eastAsia="zh-CN"/>
              </w:rPr>
              <w:t>一</w:t>
            </w:r>
            <w:r>
              <w:rPr>
                <w:rFonts w:hint="default" w:ascii="Times New Roman" w:hAnsi="Times New Roman" w:cs="Times New Roman"/>
                <w:color w:val="auto"/>
                <w:sz w:val="24"/>
                <w:szCs w:val="32"/>
                <w:highlight w:val="none"/>
                <w:lang w:val="en-US" w:eastAsia="zh-CN"/>
              </w:rPr>
              <w:t>班</w:t>
            </w:r>
            <w:r>
              <w:rPr>
                <w:rFonts w:hint="default" w:ascii="Times New Roman" w:hAnsi="Times New Roman" w:cs="Times New Roman"/>
                <w:color w:val="auto"/>
                <w:sz w:val="24"/>
                <w:szCs w:val="32"/>
                <w:highlight w:val="none"/>
              </w:rPr>
              <w:t>工作制，</w:t>
            </w:r>
            <w:r>
              <w:rPr>
                <w:rFonts w:hint="eastAsia" w:ascii="Times New Roman" w:hAnsi="Times New Roman" w:cs="Times New Roman"/>
                <w:color w:val="auto"/>
                <w:sz w:val="24"/>
                <w:szCs w:val="32"/>
                <w:highlight w:val="none"/>
                <w:lang w:val="en-US" w:eastAsia="zh-CN"/>
              </w:rPr>
              <w:t>每班8h，</w:t>
            </w:r>
            <w:r>
              <w:rPr>
                <w:rFonts w:hint="default" w:ascii="Times New Roman" w:hAnsi="Times New Roman" w:cs="Times New Roman"/>
                <w:color w:val="auto"/>
                <w:sz w:val="24"/>
                <w:szCs w:val="32"/>
                <w:highlight w:val="none"/>
              </w:rPr>
              <w:t>年工作300天，折合</w:t>
            </w:r>
            <w:r>
              <w:rPr>
                <w:rFonts w:hint="eastAsia" w:ascii="Times New Roman" w:hAnsi="Times New Roman" w:cs="Times New Roman"/>
                <w:color w:val="auto"/>
                <w:sz w:val="24"/>
                <w:szCs w:val="32"/>
                <w:highlight w:val="none"/>
                <w:lang w:val="en-US" w:eastAsia="zh-CN"/>
              </w:rPr>
              <w:t>24</w:t>
            </w:r>
            <w:r>
              <w:rPr>
                <w:rFonts w:hint="default" w:ascii="Times New Roman" w:hAnsi="Times New Roman" w:cs="Times New Roman"/>
                <w:color w:val="auto"/>
                <w:sz w:val="24"/>
                <w:szCs w:val="32"/>
                <w:highlight w:val="none"/>
              </w:rPr>
              <w:t>00h/a。</w:t>
            </w:r>
          </w:p>
          <w:p w14:paraId="46566418">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三、项目组成见下表</w:t>
            </w:r>
          </w:p>
          <w:p w14:paraId="3DAD590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表2-1 项目</w:t>
            </w:r>
            <w:r>
              <w:rPr>
                <w:rFonts w:hint="default" w:ascii="Times New Roman" w:hAnsi="Times New Roman" w:eastAsia="宋体" w:cs="Times New Roman"/>
                <w:b/>
                <w:color w:val="auto"/>
                <w:szCs w:val="21"/>
                <w:highlight w:val="none"/>
                <w:lang w:val="en-US" w:eastAsia="zh-CN"/>
              </w:rPr>
              <w:t>组成</w:t>
            </w:r>
            <w:r>
              <w:rPr>
                <w:rFonts w:hint="default" w:ascii="Times New Roman" w:hAnsi="Times New Roman" w:cs="Times New Roman"/>
                <w:b/>
                <w:bCs/>
                <w:color w:val="auto"/>
                <w:highlight w:val="none"/>
              </w:rPr>
              <w:t>情况一览表</w:t>
            </w:r>
          </w:p>
          <w:tbl>
            <w:tblPr>
              <w:tblStyle w:val="32"/>
              <w:tblW w:w="497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35"/>
              <w:gridCol w:w="1150"/>
              <w:gridCol w:w="5624"/>
              <w:gridCol w:w="773"/>
            </w:tblGrid>
            <w:tr w14:paraId="180BDF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35" w:type="dxa"/>
                  <w:tcBorders>
                    <w:tl2br w:val="nil"/>
                    <w:tr2bl w:val="nil"/>
                  </w:tcBorders>
                  <w:noWrap w:val="0"/>
                  <w:vAlign w:val="center"/>
                </w:tcPr>
                <w:p w14:paraId="48C817C7">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类别</w:t>
                  </w:r>
                </w:p>
              </w:tc>
              <w:tc>
                <w:tcPr>
                  <w:tcW w:w="1150" w:type="dxa"/>
                  <w:tcBorders>
                    <w:tl2br w:val="nil"/>
                    <w:tr2bl w:val="nil"/>
                  </w:tcBorders>
                  <w:noWrap w:val="0"/>
                  <w:vAlign w:val="center"/>
                </w:tcPr>
                <w:p w14:paraId="1A4F7E2E">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建设工程</w:t>
                  </w:r>
                </w:p>
              </w:tc>
              <w:tc>
                <w:tcPr>
                  <w:tcW w:w="5626" w:type="dxa"/>
                  <w:tcBorders>
                    <w:tl2br w:val="nil"/>
                    <w:tr2bl w:val="nil"/>
                  </w:tcBorders>
                  <w:noWrap w:val="0"/>
                  <w:vAlign w:val="center"/>
                </w:tcPr>
                <w:p w14:paraId="5FD8B51E">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建设内容</w:t>
                  </w:r>
                </w:p>
              </w:tc>
              <w:tc>
                <w:tcPr>
                  <w:tcW w:w="773" w:type="dxa"/>
                  <w:tcBorders>
                    <w:tl2br w:val="nil"/>
                    <w:tr2bl w:val="nil"/>
                  </w:tcBorders>
                  <w:noWrap w:val="0"/>
                  <w:vAlign w:val="center"/>
                </w:tcPr>
                <w:p w14:paraId="2D37E99B">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备注</w:t>
                  </w:r>
                </w:p>
              </w:tc>
            </w:tr>
            <w:tr w14:paraId="449763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tcBorders>
                    <w:tl2br w:val="nil"/>
                    <w:tr2bl w:val="nil"/>
                  </w:tcBorders>
                  <w:noWrap w:val="0"/>
                  <w:vAlign w:val="center"/>
                </w:tcPr>
                <w:p w14:paraId="4E15E0E8">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主体工程</w:t>
                  </w:r>
                </w:p>
              </w:tc>
              <w:tc>
                <w:tcPr>
                  <w:tcW w:w="1150" w:type="dxa"/>
                  <w:tcBorders>
                    <w:tl2br w:val="nil"/>
                    <w:tr2bl w:val="nil"/>
                  </w:tcBorders>
                  <w:noWrap w:val="0"/>
                  <w:vAlign w:val="center"/>
                </w:tcPr>
                <w:p w14:paraId="25D66DB5">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生产车间</w:t>
                  </w:r>
                </w:p>
              </w:tc>
              <w:tc>
                <w:tcPr>
                  <w:tcW w:w="5626" w:type="dxa"/>
                  <w:tcBorders>
                    <w:tl2br w:val="nil"/>
                    <w:tr2bl w:val="nil"/>
                  </w:tcBorders>
                  <w:noWrap w:val="0"/>
                  <w:vAlign w:val="center"/>
                </w:tcPr>
                <w:p w14:paraId="1BC7AF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占地</w:t>
                  </w:r>
                  <w:r>
                    <w:rPr>
                      <w:rFonts w:hint="eastAsia" w:cs="Times New Roman"/>
                      <w:color w:val="auto"/>
                      <w:highlight w:val="none"/>
                      <w:lang w:val="en-US" w:eastAsia="zh-CN"/>
                    </w:rPr>
                    <w:t>16</w:t>
                  </w:r>
                  <w:r>
                    <w:rPr>
                      <w:rFonts w:hint="default" w:ascii="Times New Roman" w:hAnsi="Times New Roman" w:eastAsia="宋体" w:cs="Times New Roman"/>
                      <w:color w:val="auto"/>
                      <w:highlight w:val="none"/>
                    </w:rPr>
                    <w:t>00m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高度约10m</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位于厂区东侧，内置</w:t>
                  </w:r>
                  <w:r>
                    <w:rPr>
                      <w:rFonts w:hint="default" w:ascii="Times New Roman" w:hAnsi="Times New Roman" w:eastAsia="宋体" w:cs="Times New Roman"/>
                      <w:color w:val="auto"/>
                      <w:highlight w:val="none"/>
                      <w:lang w:val="en-US" w:eastAsia="zh-CN"/>
                    </w:rPr>
                    <w:t>酸洗搅拌罐2台、搅拌罐10台、压滤机3台、天然气烘干窑1台、料仓包装机2台、盐酸配置罐1个、盐酸循环储罐1个及配套设备</w:t>
                  </w:r>
                </w:p>
              </w:tc>
              <w:tc>
                <w:tcPr>
                  <w:tcW w:w="773" w:type="dxa"/>
                  <w:tcBorders>
                    <w:tl2br w:val="nil"/>
                    <w:tr2bl w:val="nil"/>
                  </w:tcBorders>
                  <w:noWrap w:val="0"/>
                  <w:vAlign w:val="center"/>
                </w:tcPr>
                <w:p w14:paraId="0DCEBA5B">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依托现有</w:t>
                  </w:r>
                </w:p>
              </w:tc>
            </w:tr>
            <w:tr w14:paraId="265082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restart"/>
                  <w:tcBorders>
                    <w:tl2br w:val="nil"/>
                    <w:tr2bl w:val="nil"/>
                  </w:tcBorders>
                  <w:noWrap w:val="0"/>
                  <w:vAlign w:val="center"/>
                </w:tcPr>
                <w:p w14:paraId="40E979E7">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储运工程</w:t>
                  </w:r>
                </w:p>
              </w:tc>
              <w:tc>
                <w:tcPr>
                  <w:tcW w:w="1150" w:type="dxa"/>
                  <w:tcBorders>
                    <w:tl2br w:val="nil"/>
                    <w:tr2bl w:val="nil"/>
                  </w:tcBorders>
                  <w:noWrap w:val="0"/>
                  <w:vAlign w:val="center"/>
                </w:tcPr>
                <w:p w14:paraId="3F24E9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仓库</w:t>
                  </w:r>
                </w:p>
              </w:tc>
              <w:tc>
                <w:tcPr>
                  <w:tcW w:w="5626" w:type="dxa"/>
                  <w:tcBorders>
                    <w:tl2br w:val="nil"/>
                    <w:tr2bl w:val="nil"/>
                  </w:tcBorders>
                  <w:noWrap w:val="0"/>
                  <w:vAlign w:val="center"/>
                </w:tcPr>
                <w:p w14:paraId="40B98B14">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占地</w:t>
                  </w:r>
                  <w:r>
                    <w:rPr>
                      <w:rFonts w:hint="eastAsia"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0</w:t>
                  </w:r>
                  <w:r>
                    <w:rPr>
                      <w:rFonts w:hint="default" w:ascii="Times New Roman" w:hAnsi="Times New Roman" w:eastAsia="宋体" w:cs="Times New Roman"/>
                      <w:color w:val="auto"/>
                      <w:highlight w:val="none"/>
                    </w:rPr>
                    <w:t>00m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高度约10m</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位于厂区西北侧，</w:t>
                  </w:r>
                  <w:r>
                    <w:rPr>
                      <w:rFonts w:hint="default" w:ascii="Times New Roman" w:hAnsi="Times New Roman" w:cs="Times New Roman"/>
                      <w:color w:val="auto"/>
                      <w:highlight w:val="none"/>
                    </w:rPr>
                    <w:t>主要存放原辅料及成品等</w:t>
                  </w:r>
                </w:p>
              </w:tc>
              <w:tc>
                <w:tcPr>
                  <w:tcW w:w="773" w:type="dxa"/>
                  <w:tcBorders>
                    <w:tl2br w:val="nil"/>
                    <w:tr2bl w:val="nil"/>
                  </w:tcBorders>
                  <w:noWrap w:val="0"/>
                  <w:vAlign w:val="center"/>
                </w:tcPr>
                <w:p w14:paraId="635D63AE">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依托现有</w:t>
                  </w:r>
                </w:p>
              </w:tc>
            </w:tr>
            <w:tr w14:paraId="71EE4D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545D3B8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tcBorders>
                    <w:tl2br w:val="nil"/>
                    <w:tr2bl w:val="nil"/>
                  </w:tcBorders>
                  <w:noWrap w:val="0"/>
                  <w:vAlign w:val="center"/>
                </w:tcPr>
                <w:p w14:paraId="47CC98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盐酸仓库</w:t>
                  </w:r>
                </w:p>
              </w:tc>
              <w:tc>
                <w:tcPr>
                  <w:tcW w:w="5626" w:type="dxa"/>
                  <w:tcBorders>
                    <w:tl2br w:val="nil"/>
                    <w:tr2bl w:val="nil"/>
                  </w:tcBorders>
                  <w:noWrap w:val="0"/>
                  <w:vAlign w:val="center"/>
                </w:tcPr>
                <w:p w14:paraId="14CA3A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占地</w:t>
                  </w:r>
                  <w:r>
                    <w:rPr>
                      <w:rFonts w:hint="eastAsia" w:ascii="Times New Roman" w:hAnsi="Times New Roman" w:eastAsia="宋体" w:cs="Times New Roman"/>
                      <w:color w:val="auto"/>
                      <w:highlight w:val="none"/>
                      <w:lang w:val="en-US" w:eastAsia="zh-CN"/>
                    </w:rPr>
                    <w:t>100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位于仓库内，</w:t>
                  </w:r>
                  <w:r>
                    <w:rPr>
                      <w:rFonts w:hint="default" w:ascii="Times New Roman" w:hAnsi="Times New Roman" w:cs="Times New Roman"/>
                      <w:color w:val="auto"/>
                      <w:highlight w:val="none"/>
                    </w:rPr>
                    <w:t>主要存放</w:t>
                  </w:r>
                  <w:r>
                    <w:rPr>
                      <w:rFonts w:hint="eastAsia" w:ascii="Times New Roman" w:hAnsi="Times New Roman" w:cs="Times New Roman"/>
                      <w:color w:val="auto"/>
                      <w:highlight w:val="none"/>
                      <w:lang w:val="en-US" w:eastAsia="zh-CN"/>
                    </w:rPr>
                    <w:t>浓盐酸</w:t>
                  </w:r>
                  <w:r>
                    <w:rPr>
                      <w:rFonts w:hint="eastAsia" w:cs="Times New Roman"/>
                      <w:color w:val="auto"/>
                      <w:highlight w:val="none"/>
                      <w:lang w:val="en-US" w:eastAsia="zh-CN"/>
                    </w:rPr>
                    <w:t>，盐酸通过高密度聚乙烯材质的吨桶储存，厂区最大存储量为30t。</w:t>
                  </w:r>
                </w:p>
              </w:tc>
              <w:tc>
                <w:tcPr>
                  <w:tcW w:w="773" w:type="dxa"/>
                  <w:tcBorders>
                    <w:tl2br w:val="nil"/>
                    <w:tr2bl w:val="nil"/>
                  </w:tcBorders>
                  <w:noWrap w:val="0"/>
                  <w:vAlign w:val="center"/>
                </w:tcPr>
                <w:p w14:paraId="7F5A381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依托现有</w:t>
                  </w:r>
                </w:p>
              </w:tc>
            </w:tr>
            <w:tr w14:paraId="249E0F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restart"/>
                  <w:tcBorders>
                    <w:tl2br w:val="nil"/>
                    <w:tr2bl w:val="nil"/>
                  </w:tcBorders>
                  <w:noWrap w:val="0"/>
                  <w:vAlign w:val="center"/>
                </w:tcPr>
                <w:p w14:paraId="0ABA95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辅助工程</w:t>
                  </w:r>
                </w:p>
              </w:tc>
              <w:tc>
                <w:tcPr>
                  <w:tcW w:w="1150" w:type="dxa"/>
                  <w:tcBorders>
                    <w:tl2br w:val="nil"/>
                    <w:tr2bl w:val="nil"/>
                  </w:tcBorders>
                  <w:noWrap w:val="0"/>
                  <w:vAlign w:val="center"/>
                </w:tcPr>
                <w:p w14:paraId="0BDB2C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办公室</w:t>
                  </w:r>
                </w:p>
              </w:tc>
              <w:tc>
                <w:tcPr>
                  <w:tcW w:w="5626" w:type="dxa"/>
                  <w:tcBorders>
                    <w:tl2br w:val="nil"/>
                    <w:tr2bl w:val="nil"/>
                  </w:tcBorders>
                  <w:noWrap w:val="0"/>
                  <w:vAlign w:val="center"/>
                </w:tcPr>
                <w:p w14:paraId="314184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占地</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00m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高度约4m</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位于厂区西南侧，用于日常办公</w:t>
                  </w:r>
                </w:p>
              </w:tc>
              <w:tc>
                <w:tcPr>
                  <w:tcW w:w="773" w:type="dxa"/>
                  <w:tcBorders>
                    <w:tl2br w:val="nil"/>
                    <w:tr2bl w:val="nil"/>
                  </w:tcBorders>
                  <w:noWrap w:val="0"/>
                  <w:vAlign w:val="center"/>
                </w:tcPr>
                <w:p w14:paraId="52B36C1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依托现有</w:t>
                  </w:r>
                </w:p>
              </w:tc>
            </w:tr>
            <w:tr w14:paraId="1C12CA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7563AABA">
                  <w:pPr>
                    <w:keepNext w:val="0"/>
                    <w:keepLines w:val="0"/>
                    <w:suppressLineNumbers w:val="0"/>
                    <w:spacing w:before="0" w:beforeAutospacing="0" w:after="0" w:afterAutospacing="0"/>
                    <w:ind w:left="0" w:right="0"/>
                    <w:jc w:val="center"/>
                    <w:rPr>
                      <w:rFonts w:hint="eastAsia" w:ascii="Times New Roman" w:hAnsi="Times New Roman" w:cs="Times New Roman"/>
                      <w:color w:val="auto"/>
                      <w:highlight w:val="none"/>
                      <w:lang w:val="en-US" w:eastAsia="zh-CN"/>
                    </w:rPr>
                  </w:pPr>
                </w:p>
              </w:tc>
              <w:tc>
                <w:tcPr>
                  <w:tcW w:w="1150" w:type="dxa"/>
                  <w:tcBorders>
                    <w:tl2br w:val="nil"/>
                    <w:tr2bl w:val="nil"/>
                  </w:tcBorders>
                  <w:noWrap w:val="0"/>
                  <w:vAlign w:val="center"/>
                </w:tcPr>
                <w:p w14:paraId="41C020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闲置房间</w:t>
                  </w:r>
                </w:p>
              </w:tc>
              <w:tc>
                <w:tcPr>
                  <w:tcW w:w="5626" w:type="dxa"/>
                  <w:tcBorders>
                    <w:tl2br w:val="nil"/>
                    <w:tr2bl w:val="nil"/>
                  </w:tcBorders>
                  <w:noWrap w:val="0"/>
                  <w:vAlign w:val="center"/>
                </w:tcPr>
                <w:p w14:paraId="5A479B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占地</w:t>
                  </w:r>
                  <w:r>
                    <w:rPr>
                      <w:rFonts w:hint="eastAsia" w:cs="Times New Roman"/>
                      <w:color w:val="auto"/>
                      <w:highlight w:val="none"/>
                      <w:lang w:val="en-US" w:eastAsia="zh-CN"/>
                    </w:rPr>
                    <w:t>10</w:t>
                  </w:r>
                  <w:r>
                    <w:rPr>
                      <w:rFonts w:hint="default" w:ascii="Times New Roman" w:hAnsi="Times New Roman" w:eastAsia="宋体" w:cs="Times New Roman"/>
                      <w:color w:val="auto"/>
                      <w:highlight w:val="none"/>
                    </w:rPr>
                    <w:t>0m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高度约4m</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位于厂区南侧，</w:t>
                  </w:r>
                  <w:r>
                    <w:rPr>
                      <w:rFonts w:hint="eastAsia" w:cs="Times New Roman"/>
                      <w:color w:val="auto"/>
                      <w:highlight w:val="none"/>
                      <w:lang w:val="en-US" w:eastAsia="zh-CN"/>
                    </w:rPr>
                    <w:t>闲置</w:t>
                  </w:r>
                </w:p>
              </w:tc>
              <w:tc>
                <w:tcPr>
                  <w:tcW w:w="773" w:type="dxa"/>
                  <w:tcBorders>
                    <w:tl2br w:val="nil"/>
                    <w:tr2bl w:val="nil"/>
                  </w:tcBorders>
                  <w:noWrap w:val="0"/>
                  <w:vAlign w:val="center"/>
                </w:tcPr>
                <w:p w14:paraId="220E9343">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依托现有</w:t>
                  </w:r>
                </w:p>
              </w:tc>
            </w:tr>
            <w:tr w14:paraId="69BDC5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restart"/>
                  <w:tcBorders>
                    <w:tl2br w:val="nil"/>
                    <w:tr2bl w:val="nil"/>
                  </w:tcBorders>
                  <w:noWrap w:val="0"/>
                  <w:vAlign w:val="center"/>
                </w:tcPr>
                <w:p w14:paraId="767C356F">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1150" w:type="dxa"/>
                  <w:tcBorders>
                    <w:tl2br w:val="nil"/>
                    <w:tr2bl w:val="nil"/>
                  </w:tcBorders>
                  <w:noWrap w:val="0"/>
                  <w:vAlign w:val="center"/>
                </w:tcPr>
                <w:p w14:paraId="6BBFC147">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供水</w:t>
                  </w:r>
                </w:p>
              </w:tc>
              <w:tc>
                <w:tcPr>
                  <w:tcW w:w="5626" w:type="dxa"/>
                  <w:tcBorders>
                    <w:tl2br w:val="nil"/>
                    <w:tr2bl w:val="nil"/>
                  </w:tcBorders>
                  <w:noWrap w:val="0"/>
                  <w:vAlign w:val="center"/>
                </w:tcPr>
                <w:p w14:paraId="22B7A0C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用水由</w:t>
                  </w:r>
                  <w:r>
                    <w:rPr>
                      <w:rFonts w:hint="default" w:ascii="Times New Roman" w:hAnsi="Times New Roman" w:cs="Times New Roman"/>
                      <w:color w:val="auto"/>
                      <w:highlight w:val="none"/>
                      <w:lang w:val="en-US" w:eastAsia="zh-CN"/>
                    </w:rPr>
                    <w:t>当地</w:t>
                  </w:r>
                  <w:r>
                    <w:rPr>
                      <w:rFonts w:hint="default" w:ascii="Times New Roman" w:hAnsi="Times New Roman" w:cs="Times New Roman"/>
                      <w:color w:val="auto"/>
                      <w:highlight w:val="none"/>
                    </w:rPr>
                    <w:t>自来水管网供给</w:t>
                  </w:r>
                </w:p>
              </w:tc>
              <w:tc>
                <w:tcPr>
                  <w:tcW w:w="773" w:type="dxa"/>
                  <w:tcBorders>
                    <w:tl2br w:val="nil"/>
                    <w:tr2bl w:val="nil"/>
                  </w:tcBorders>
                  <w:noWrap w:val="0"/>
                  <w:vAlign w:val="center"/>
                </w:tcPr>
                <w:p w14:paraId="2B7105FD">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依托现有</w:t>
                  </w:r>
                </w:p>
              </w:tc>
            </w:tr>
            <w:tr w14:paraId="255516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634B23BB">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tcBorders>
                    <w:tl2br w:val="nil"/>
                    <w:tr2bl w:val="nil"/>
                  </w:tcBorders>
                  <w:noWrap w:val="0"/>
                  <w:vAlign w:val="center"/>
                </w:tcPr>
                <w:p w14:paraId="32B8A67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供电</w:t>
                  </w:r>
                </w:p>
              </w:tc>
              <w:tc>
                <w:tcPr>
                  <w:tcW w:w="5626" w:type="dxa"/>
                  <w:tcBorders>
                    <w:tl2br w:val="nil"/>
                    <w:tr2bl w:val="nil"/>
                  </w:tcBorders>
                  <w:noWrap w:val="0"/>
                  <w:vAlign w:val="center"/>
                </w:tcPr>
                <w:p w14:paraId="24E445D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用电由</w:t>
                  </w:r>
                  <w:r>
                    <w:rPr>
                      <w:rFonts w:hint="default" w:ascii="Times New Roman" w:hAnsi="Times New Roman" w:cs="Times New Roman"/>
                      <w:color w:val="auto"/>
                      <w:highlight w:val="none"/>
                      <w:lang w:val="en-US" w:eastAsia="zh-CN"/>
                    </w:rPr>
                    <w:t>当地</w:t>
                  </w:r>
                  <w:r>
                    <w:rPr>
                      <w:rFonts w:hint="default" w:ascii="Times New Roman" w:hAnsi="Times New Roman" w:cs="Times New Roman"/>
                      <w:color w:val="auto"/>
                      <w:highlight w:val="none"/>
                    </w:rPr>
                    <w:t>电网供给</w:t>
                  </w:r>
                </w:p>
              </w:tc>
              <w:tc>
                <w:tcPr>
                  <w:tcW w:w="773" w:type="dxa"/>
                  <w:tcBorders>
                    <w:tl2br w:val="nil"/>
                    <w:tr2bl w:val="nil"/>
                  </w:tcBorders>
                  <w:noWrap w:val="0"/>
                  <w:vAlign w:val="center"/>
                </w:tcPr>
                <w:p w14:paraId="395F8B5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依托现有</w:t>
                  </w:r>
                </w:p>
              </w:tc>
            </w:tr>
            <w:tr w14:paraId="3E57CD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16C1B96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tcBorders>
                    <w:tl2br w:val="nil"/>
                    <w:tr2bl w:val="nil"/>
                  </w:tcBorders>
                  <w:noWrap w:val="0"/>
                  <w:vAlign w:val="center"/>
                </w:tcPr>
                <w:p w14:paraId="0684129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供气</w:t>
                  </w:r>
                </w:p>
              </w:tc>
              <w:tc>
                <w:tcPr>
                  <w:tcW w:w="5626" w:type="dxa"/>
                  <w:tcBorders>
                    <w:tl2br w:val="nil"/>
                    <w:tr2bl w:val="nil"/>
                  </w:tcBorders>
                  <w:noWrap w:val="0"/>
                  <w:vAlign w:val="center"/>
                </w:tcPr>
                <w:p w14:paraId="3BD009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燃气由当地燃气公司供给</w:t>
                  </w:r>
                </w:p>
              </w:tc>
              <w:tc>
                <w:tcPr>
                  <w:tcW w:w="773" w:type="dxa"/>
                  <w:tcBorders>
                    <w:tl2br w:val="nil"/>
                    <w:tr2bl w:val="nil"/>
                  </w:tcBorders>
                  <w:noWrap w:val="0"/>
                  <w:vAlign w:val="center"/>
                </w:tcPr>
                <w:p w14:paraId="470E7B98">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依托现有</w:t>
                  </w:r>
                </w:p>
              </w:tc>
            </w:tr>
            <w:tr w14:paraId="1AF03E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restart"/>
                  <w:tcBorders>
                    <w:tl2br w:val="nil"/>
                    <w:tr2bl w:val="nil"/>
                  </w:tcBorders>
                  <w:noWrap w:val="0"/>
                  <w:vAlign w:val="center"/>
                </w:tcPr>
                <w:p w14:paraId="1C63D0F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1150" w:type="dxa"/>
                  <w:vMerge w:val="restart"/>
                  <w:tcBorders>
                    <w:tl2br w:val="nil"/>
                    <w:tr2bl w:val="nil"/>
                  </w:tcBorders>
                  <w:noWrap w:val="0"/>
                  <w:vAlign w:val="center"/>
                </w:tcPr>
                <w:p w14:paraId="1A1D223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废气治理</w:t>
                  </w:r>
                </w:p>
              </w:tc>
              <w:tc>
                <w:tcPr>
                  <w:tcW w:w="5626" w:type="dxa"/>
                  <w:tcBorders>
                    <w:bottom w:val="single" w:color="auto" w:sz="4" w:space="0"/>
                    <w:tl2br w:val="nil"/>
                    <w:tr2bl w:val="nil"/>
                  </w:tcBorders>
                  <w:noWrap w:val="0"/>
                  <w:vAlign w:val="center"/>
                </w:tcPr>
                <w:p w14:paraId="08A891E5">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highlight w:val="none"/>
                      <w:lang w:val="en-US"/>
                    </w:rPr>
                  </w:pPr>
                  <w:r>
                    <w:rPr>
                      <w:rFonts w:hint="eastAsia" w:ascii="Times New Roman" w:hAnsi="Times New Roman" w:eastAsia="宋体" w:cs="Times New Roman"/>
                      <w:color w:val="auto"/>
                      <w:highlight w:val="none"/>
                      <w:lang w:val="en-US" w:eastAsia="zh-CN"/>
                    </w:rPr>
                    <w:t>盐酸配置过程产生的氯化氢，一次搅拌投料过程产生的氯化氢、颗粒物一同由密闭管道收集，经二级水喷淋+除雾器+布袋除尘器处理后，由15m高DA001排气筒有组织排放；烘干过程产生的颗粒物、二氧化硫、氮氧化物由密闭管道收集，经SNCR脱硝装置+布袋除尘器处理后，与SNCR脱硝设备逃逸的氨一同由15m高DA002排气筒有组织排放</w:t>
                  </w:r>
                  <w:r>
                    <w:rPr>
                      <w:rFonts w:hint="default" w:ascii="Times New Roman" w:hAnsi="Times New Roman" w:eastAsia="宋体" w:cs="Times New Roman"/>
                      <w:color w:val="auto"/>
                      <w:highlight w:val="none"/>
                      <w:lang w:val="en-US" w:eastAsia="zh-CN"/>
                    </w:rPr>
                    <w:t>。</w:t>
                  </w:r>
                </w:p>
              </w:tc>
              <w:tc>
                <w:tcPr>
                  <w:tcW w:w="773" w:type="dxa"/>
                  <w:vMerge w:val="restart"/>
                  <w:tcBorders>
                    <w:tl2br w:val="nil"/>
                    <w:tr2bl w:val="nil"/>
                  </w:tcBorders>
                  <w:noWrap w:val="0"/>
                  <w:vAlign w:val="center"/>
                </w:tcPr>
                <w:p w14:paraId="0541BB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新建</w:t>
                  </w:r>
                </w:p>
              </w:tc>
            </w:tr>
            <w:tr w14:paraId="06E4DE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2DA4EE7A">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vMerge w:val="continue"/>
                  <w:tcBorders>
                    <w:tl2br w:val="nil"/>
                    <w:tr2bl w:val="nil"/>
                  </w:tcBorders>
                  <w:noWrap w:val="0"/>
                  <w:vAlign w:val="center"/>
                </w:tcPr>
                <w:p w14:paraId="31D517C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5626" w:type="dxa"/>
                  <w:tcBorders>
                    <w:top w:val="single" w:color="auto" w:sz="4" w:space="0"/>
                    <w:tl2br w:val="nil"/>
                    <w:tr2bl w:val="nil"/>
                  </w:tcBorders>
                  <w:noWrap w:val="0"/>
                  <w:vAlign w:val="center"/>
                </w:tcPr>
                <w:p w14:paraId="66D79BE9">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4"/>
                      <w:lang w:val="de-DE" w:eastAsia="zh-CN"/>
                    </w:rPr>
                  </w:pPr>
                  <w:r>
                    <w:rPr>
                      <w:rFonts w:hint="default" w:ascii="Times New Roman" w:hAnsi="Times New Roman" w:eastAsia="宋体" w:cs="Times New Roman"/>
                      <w:color w:val="auto"/>
                      <w:sz w:val="21"/>
                      <w:szCs w:val="24"/>
                      <w:lang w:val="de-DE" w:eastAsia="zh-CN"/>
                    </w:rPr>
                    <w:t>本项目</w:t>
                  </w:r>
                  <w:r>
                    <w:rPr>
                      <w:rFonts w:hint="default" w:ascii="Times New Roman" w:hAnsi="Times New Roman" w:eastAsia="宋体" w:cs="Times New Roman"/>
                      <w:color w:val="auto"/>
                      <w:sz w:val="21"/>
                      <w:szCs w:val="24"/>
                      <w:lang w:val="en-US" w:eastAsia="zh-CN"/>
                    </w:rPr>
                    <w:t>无组织</w:t>
                  </w:r>
                  <w:r>
                    <w:rPr>
                      <w:rFonts w:hint="eastAsia" w:ascii="Times New Roman" w:hAnsi="Times New Roman" w:eastAsia="宋体" w:cs="Times New Roman"/>
                      <w:color w:val="auto"/>
                      <w:sz w:val="21"/>
                      <w:szCs w:val="24"/>
                      <w:lang w:val="en-US" w:eastAsia="zh-CN"/>
                    </w:rPr>
                    <w:t>氯化氢、颗粒物</w:t>
                  </w:r>
                  <w:r>
                    <w:rPr>
                      <w:rFonts w:hint="default" w:ascii="Times New Roman" w:hAnsi="Times New Roman" w:eastAsia="宋体" w:cs="Times New Roman"/>
                      <w:color w:val="auto"/>
                      <w:sz w:val="21"/>
                      <w:szCs w:val="24"/>
                      <w:lang w:val="en-US" w:eastAsia="zh-CN"/>
                    </w:rPr>
                    <w:t>，通过厂房密闭阻隔、厂区绿化植物净化，无组织排放。</w:t>
                  </w:r>
                </w:p>
              </w:tc>
              <w:tc>
                <w:tcPr>
                  <w:tcW w:w="773" w:type="dxa"/>
                  <w:vMerge w:val="continue"/>
                  <w:tcBorders>
                    <w:tl2br w:val="nil"/>
                    <w:tr2bl w:val="nil"/>
                  </w:tcBorders>
                  <w:noWrap w:val="0"/>
                  <w:vAlign w:val="center"/>
                </w:tcPr>
                <w:p w14:paraId="062C3E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p>
              </w:tc>
            </w:tr>
            <w:tr w14:paraId="7D0A2D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45FFA9DC">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tcBorders>
                    <w:tl2br w:val="nil"/>
                    <w:tr2bl w:val="nil"/>
                  </w:tcBorders>
                  <w:noWrap w:val="0"/>
                  <w:vAlign w:val="center"/>
                </w:tcPr>
                <w:p w14:paraId="4B6DC37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废水治理</w:t>
                  </w:r>
                </w:p>
              </w:tc>
              <w:tc>
                <w:tcPr>
                  <w:tcW w:w="5626" w:type="dxa"/>
                  <w:tcBorders>
                    <w:tl2br w:val="nil"/>
                    <w:tr2bl w:val="nil"/>
                  </w:tcBorders>
                  <w:noWrap w:val="0"/>
                  <w:vAlign w:val="center"/>
                </w:tcPr>
                <w:p w14:paraId="375103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生活污水经化粪池处理</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压滤废水、水喷淋废水通过厂区污水设备处理达标后</w:t>
                  </w:r>
                  <w:r>
                    <w:rPr>
                      <w:rFonts w:hint="default" w:ascii="Times New Roman" w:hAnsi="Times New Roman" w:eastAsia="宋体" w:cs="Times New Roman"/>
                      <w:color w:val="auto"/>
                      <w:highlight w:val="none"/>
                      <w:lang w:val="en-US" w:eastAsia="zh-CN"/>
                    </w:rPr>
                    <w:t>，与生活污水一同经污水管网排入至葛洲坝水务淄博淄川有限公司</w:t>
                  </w:r>
                  <w:r>
                    <w:rPr>
                      <w:rFonts w:hint="eastAsia" w:ascii="Times New Roman" w:hAnsi="Times New Roman" w:eastAsia="宋体" w:cs="Times New Roman"/>
                      <w:color w:val="auto"/>
                      <w:highlight w:val="none"/>
                      <w:lang w:val="en-US" w:eastAsia="zh-CN"/>
                    </w:rPr>
                    <w:t>。</w:t>
                  </w:r>
                </w:p>
              </w:tc>
              <w:tc>
                <w:tcPr>
                  <w:tcW w:w="773" w:type="dxa"/>
                  <w:tcBorders>
                    <w:tl2br w:val="nil"/>
                    <w:tr2bl w:val="nil"/>
                  </w:tcBorders>
                  <w:noWrap w:val="0"/>
                  <w:vAlign w:val="center"/>
                </w:tcPr>
                <w:p w14:paraId="25A1ADA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新建</w:t>
                  </w:r>
                </w:p>
              </w:tc>
            </w:tr>
            <w:tr w14:paraId="536657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1E03309C">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tcBorders>
                    <w:tl2br w:val="nil"/>
                    <w:tr2bl w:val="nil"/>
                  </w:tcBorders>
                  <w:noWrap w:val="0"/>
                  <w:vAlign w:val="center"/>
                </w:tcPr>
                <w:p w14:paraId="337C1F9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噪声治理</w:t>
                  </w:r>
                </w:p>
              </w:tc>
              <w:tc>
                <w:tcPr>
                  <w:tcW w:w="5626" w:type="dxa"/>
                  <w:tcBorders>
                    <w:tl2br w:val="nil"/>
                    <w:tr2bl w:val="nil"/>
                  </w:tcBorders>
                  <w:noWrap w:val="0"/>
                  <w:vAlign w:val="center"/>
                </w:tcPr>
                <w:p w14:paraId="2EF5F2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主要噪声设备加装隔声减震装置、墙体隔声</w:t>
                  </w:r>
                  <w:r>
                    <w:rPr>
                      <w:rFonts w:hint="default" w:ascii="Times New Roman" w:hAnsi="Times New Roman" w:cs="Times New Roman"/>
                      <w:color w:val="auto"/>
                      <w:highlight w:val="none"/>
                      <w:lang w:val="en-US" w:eastAsia="zh-CN"/>
                    </w:rPr>
                    <w:t>等</w:t>
                  </w:r>
                </w:p>
              </w:tc>
              <w:tc>
                <w:tcPr>
                  <w:tcW w:w="773" w:type="dxa"/>
                  <w:tcBorders>
                    <w:tl2br w:val="nil"/>
                    <w:tr2bl w:val="nil"/>
                  </w:tcBorders>
                  <w:noWrap w:val="0"/>
                  <w:vAlign w:val="center"/>
                </w:tcPr>
                <w:p w14:paraId="2A8C0767">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660DA0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35" w:type="dxa"/>
                  <w:vMerge w:val="continue"/>
                  <w:tcBorders>
                    <w:tl2br w:val="nil"/>
                    <w:tr2bl w:val="nil"/>
                  </w:tcBorders>
                  <w:noWrap w:val="0"/>
                  <w:vAlign w:val="center"/>
                </w:tcPr>
                <w:p w14:paraId="236AB278">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150" w:type="dxa"/>
                  <w:tcBorders>
                    <w:tl2br w:val="nil"/>
                    <w:tr2bl w:val="nil"/>
                  </w:tcBorders>
                  <w:noWrap w:val="0"/>
                  <w:vAlign w:val="center"/>
                </w:tcPr>
                <w:p w14:paraId="2810734B">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固废处理</w:t>
                  </w:r>
                </w:p>
              </w:tc>
              <w:tc>
                <w:tcPr>
                  <w:tcW w:w="5626" w:type="dxa"/>
                  <w:tcBorders>
                    <w:tl2br w:val="nil"/>
                    <w:tr2bl w:val="nil"/>
                  </w:tcBorders>
                  <w:noWrap w:val="0"/>
                  <w:vAlign w:val="center"/>
                </w:tcPr>
                <w:p w14:paraId="03ABFEFD">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一般工业固废暂存处</w:t>
                  </w:r>
                  <w:r>
                    <w:rPr>
                      <w:rFonts w:hint="default" w:ascii="Times New Roman" w:hAnsi="Times New Roman" w:eastAsia="宋体" w:cs="Times New Roman"/>
                      <w:color w:val="auto"/>
                      <w:szCs w:val="21"/>
                      <w:highlight w:val="none"/>
                      <w:lang w:val="en-US" w:eastAsia="zh-CN"/>
                    </w:rPr>
                    <w:t>，占地</w:t>
                  </w:r>
                  <w:r>
                    <w:rPr>
                      <w:rFonts w:hint="eastAsia" w:ascii="Times New Roman" w:hAnsi="Times New Roman" w:eastAsia="宋体" w:cs="Times New Roman"/>
                      <w:color w:val="auto"/>
                      <w:szCs w:val="21"/>
                      <w:highlight w:val="none"/>
                      <w:lang w:val="en-US" w:eastAsia="zh-CN"/>
                    </w:rPr>
                    <w:t>20</w:t>
                  </w:r>
                  <w:r>
                    <w:rPr>
                      <w:rFonts w:hint="default" w:ascii="Times New Roman" w:hAnsi="Times New Roman" w:eastAsia="宋体" w:cs="Times New Roman"/>
                      <w:color w:val="auto"/>
                      <w:szCs w:val="21"/>
                      <w:highlight w:val="none"/>
                      <w:lang w:val="en-US" w:eastAsia="zh-CN"/>
                    </w:rPr>
                    <w:t>m</w:t>
                  </w:r>
                  <w:r>
                    <w:rPr>
                      <w:rFonts w:hint="default" w:ascii="Times New Roman" w:hAnsi="Times New Roman" w:eastAsia="宋体" w:cs="Times New Roman"/>
                      <w:color w:val="auto"/>
                      <w:szCs w:val="21"/>
                      <w:highlight w:val="none"/>
                      <w:vertAlign w:val="superscript"/>
                      <w:lang w:val="en-US" w:eastAsia="zh-CN"/>
                    </w:rPr>
                    <w:t>2</w:t>
                  </w:r>
                  <w:r>
                    <w:rPr>
                      <w:rFonts w:hint="default" w:ascii="Times New Roman" w:hAnsi="Times New Roman" w:eastAsia="宋体" w:cs="Times New Roman"/>
                      <w:color w:val="auto"/>
                      <w:szCs w:val="21"/>
                      <w:highlight w:val="none"/>
                      <w:lang w:val="en-US" w:eastAsia="zh-CN"/>
                    </w:rPr>
                    <w:t>，用于存放废包装袋、不合格品、布袋除尘器收集粉尘</w:t>
                  </w:r>
                  <w:r>
                    <w:rPr>
                      <w:rFonts w:hint="eastAsia" w:ascii="Times New Roman" w:hAnsi="Times New Roman" w:eastAsia="宋体" w:cs="Times New Roman"/>
                      <w:color w:val="auto"/>
                      <w:szCs w:val="21"/>
                      <w:highlight w:val="none"/>
                      <w:lang w:val="en-US" w:eastAsia="zh-CN"/>
                    </w:rPr>
                    <w:t>、废滤料、</w:t>
                  </w:r>
                  <w:r>
                    <w:rPr>
                      <w:rFonts w:hint="eastAsia" w:cs="Times New Roman"/>
                      <w:color w:val="auto"/>
                      <w:szCs w:val="21"/>
                      <w:highlight w:val="none"/>
                      <w:lang w:val="en-US" w:eastAsia="zh-CN"/>
                    </w:rPr>
                    <w:t>废离子交换树脂</w:t>
                  </w:r>
                  <w:r>
                    <w:rPr>
                      <w:rFonts w:hint="default" w:ascii="Times New Roman" w:hAnsi="Times New Roman" w:eastAsia="宋体" w:cs="Times New Roman"/>
                      <w:color w:val="auto"/>
                      <w:szCs w:val="21"/>
                      <w:highlight w:val="none"/>
                      <w:lang w:val="en-US" w:eastAsia="zh-CN"/>
                    </w:rPr>
                    <w:t>等一般工业固废和生活垃圾。</w:t>
                  </w:r>
                </w:p>
                <w:p w14:paraId="30EAD8FE">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危废暂存间：占地</w:t>
                  </w:r>
                  <w:r>
                    <w:rPr>
                      <w:rFonts w:hint="eastAsia" w:ascii="Times New Roman" w:hAnsi="Times New Roman" w:eastAsia="宋体" w:cs="Times New Roman"/>
                      <w:color w:val="auto"/>
                      <w:szCs w:val="21"/>
                      <w:highlight w:val="none"/>
                      <w:lang w:val="en-US" w:eastAsia="zh-CN"/>
                    </w:rPr>
                    <w:t>20</w:t>
                  </w:r>
                  <w:r>
                    <w:rPr>
                      <w:rFonts w:hint="default" w:ascii="Times New Roman" w:hAnsi="Times New Roman" w:eastAsia="宋体" w:cs="Times New Roman"/>
                      <w:color w:val="auto"/>
                      <w:szCs w:val="21"/>
                      <w:highlight w:val="none"/>
                      <w:lang w:val="en-US" w:eastAsia="zh-CN"/>
                    </w:rPr>
                    <w:t>m</w:t>
                  </w:r>
                  <w:r>
                    <w:rPr>
                      <w:rFonts w:hint="default" w:ascii="Times New Roman" w:hAnsi="Times New Roman" w:eastAsia="宋体" w:cs="Times New Roman"/>
                      <w:color w:val="auto"/>
                      <w:szCs w:val="21"/>
                      <w:highlight w:val="none"/>
                      <w:vertAlign w:val="superscript"/>
                      <w:lang w:val="en-US" w:eastAsia="zh-CN"/>
                    </w:rPr>
                    <w:t>2</w:t>
                  </w:r>
                  <w:r>
                    <w:rPr>
                      <w:rFonts w:hint="default" w:ascii="Times New Roman" w:hAnsi="Times New Roman" w:eastAsia="宋体" w:cs="Times New Roman"/>
                      <w:color w:val="auto"/>
                      <w:szCs w:val="21"/>
                      <w:highlight w:val="none"/>
                      <w:lang w:val="en-US" w:eastAsia="zh-CN"/>
                    </w:rPr>
                    <w:t>，用于存放</w:t>
                  </w:r>
                  <w:r>
                    <w:rPr>
                      <w:rFonts w:hint="eastAsia" w:ascii="Times New Roman" w:hAnsi="Times New Roman" w:eastAsia="宋体" w:cs="Times New Roman"/>
                      <w:color w:val="auto"/>
                      <w:szCs w:val="21"/>
                      <w:highlight w:val="none"/>
                      <w:lang w:val="en-US" w:eastAsia="zh-CN"/>
                    </w:rPr>
                    <w:t>废酸桶、污泥、废布袋</w:t>
                  </w:r>
                  <w:r>
                    <w:rPr>
                      <w:rFonts w:hint="default" w:ascii="Times New Roman" w:hAnsi="Times New Roman" w:eastAsia="宋体" w:cs="Times New Roman"/>
                      <w:color w:val="auto"/>
                      <w:szCs w:val="21"/>
                      <w:highlight w:val="none"/>
                      <w:lang w:val="en-US" w:eastAsia="zh-CN"/>
                    </w:rPr>
                    <w:t>等危险废物。</w:t>
                  </w:r>
                </w:p>
              </w:tc>
              <w:tc>
                <w:tcPr>
                  <w:tcW w:w="773" w:type="dxa"/>
                  <w:tcBorders>
                    <w:tl2br w:val="nil"/>
                    <w:tr2bl w:val="nil"/>
                  </w:tcBorders>
                  <w:noWrap w:val="0"/>
                  <w:vAlign w:val="center"/>
                </w:tcPr>
                <w:p w14:paraId="5719CEF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bl>
          <w:p w14:paraId="3C96A456">
            <w:pPr>
              <w:keepNext w:val="0"/>
              <w:keepLines w:val="0"/>
              <w:suppressLineNumbers w:val="0"/>
              <w:autoSpaceDE w:val="0"/>
              <w:autoSpaceDN w:val="0"/>
              <w:adjustRightInd w:val="0"/>
              <w:spacing w:before="0" w:beforeAutospacing="0" w:after="0" w:afterAutospacing="0" w:line="360" w:lineRule="auto"/>
              <w:ind w:left="0" w:right="0" w:firstLine="422"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四、项目原辅材料及能源消耗用量情况如下</w:t>
            </w:r>
          </w:p>
          <w:p w14:paraId="20457D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表2-2 主要原辅材料及能源消耗情况一览表</w:t>
            </w:r>
          </w:p>
          <w:tbl>
            <w:tblPr>
              <w:tblStyle w:val="32"/>
              <w:tblW w:w="496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22"/>
              <w:gridCol w:w="2239"/>
              <w:gridCol w:w="1209"/>
              <w:gridCol w:w="1179"/>
              <w:gridCol w:w="3225"/>
            </w:tblGrid>
            <w:tr w14:paraId="69AB79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22" w:type="dxa"/>
                  <w:noWrap w:val="0"/>
                  <w:vAlign w:val="center"/>
                </w:tcPr>
                <w:p w14:paraId="6012733A">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2240" w:type="dxa"/>
                  <w:noWrap w:val="0"/>
                  <w:vAlign w:val="center"/>
                </w:tcPr>
                <w:p w14:paraId="2B16C847">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名称</w:t>
                  </w:r>
                </w:p>
              </w:tc>
              <w:tc>
                <w:tcPr>
                  <w:tcW w:w="1209" w:type="dxa"/>
                  <w:noWrap w:val="0"/>
                  <w:vAlign w:val="center"/>
                </w:tcPr>
                <w:p w14:paraId="0838F59F">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单位</w:t>
                  </w:r>
                </w:p>
              </w:tc>
              <w:tc>
                <w:tcPr>
                  <w:tcW w:w="1179" w:type="dxa"/>
                  <w:noWrap w:val="0"/>
                  <w:vAlign w:val="center"/>
                </w:tcPr>
                <w:p w14:paraId="0156FCA8">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用量</w:t>
                  </w:r>
                </w:p>
              </w:tc>
              <w:tc>
                <w:tcPr>
                  <w:tcW w:w="3226" w:type="dxa"/>
                  <w:noWrap w:val="0"/>
                  <w:vAlign w:val="center"/>
                </w:tcPr>
                <w:p w14:paraId="1638429E">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备注</w:t>
                  </w:r>
                </w:p>
              </w:tc>
            </w:tr>
            <w:tr w14:paraId="720353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676" w:type="dxa"/>
                  <w:gridSpan w:val="5"/>
                  <w:noWrap w:val="0"/>
                  <w:vAlign w:val="center"/>
                </w:tcPr>
                <w:p w14:paraId="13AD456D">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原料消耗</w:t>
                  </w:r>
                </w:p>
              </w:tc>
            </w:tr>
            <w:tr w14:paraId="262FBC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22" w:type="dxa"/>
                  <w:noWrap w:val="0"/>
                  <w:vAlign w:val="center"/>
                </w:tcPr>
                <w:p w14:paraId="59E65BB8">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240" w:type="dxa"/>
                  <w:noWrap w:val="0"/>
                  <w:vAlign w:val="center"/>
                </w:tcPr>
                <w:p w14:paraId="6C0D2E9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高纯晶体氧化铝粉</w:t>
                  </w:r>
                </w:p>
              </w:tc>
              <w:tc>
                <w:tcPr>
                  <w:tcW w:w="1209" w:type="dxa"/>
                  <w:noWrap w:val="0"/>
                  <w:vAlign w:val="center"/>
                </w:tcPr>
                <w:p w14:paraId="7C1FA82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t/a</w:t>
                  </w:r>
                </w:p>
              </w:tc>
              <w:tc>
                <w:tcPr>
                  <w:tcW w:w="1179" w:type="dxa"/>
                  <w:noWrap w:val="0"/>
                  <w:vAlign w:val="center"/>
                </w:tcPr>
                <w:p w14:paraId="4F61B7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36000</w:t>
                  </w:r>
                </w:p>
              </w:tc>
              <w:tc>
                <w:tcPr>
                  <w:tcW w:w="3226" w:type="dxa"/>
                  <w:noWrap w:val="0"/>
                  <w:vAlign w:val="center"/>
                </w:tcPr>
                <w:p w14:paraId="04B1A80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吨包，</w:t>
                  </w:r>
                  <w:r>
                    <w:rPr>
                      <w:rFonts w:hint="eastAsia" w:cs="Times New Roman"/>
                      <w:color w:val="auto"/>
                      <w:highlight w:val="none"/>
                      <w:lang w:val="en-US" w:eastAsia="zh-CN"/>
                    </w:rPr>
                    <w:t>粉状</w:t>
                  </w:r>
                </w:p>
              </w:tc>
            </w:tr>
            <w:tr w14:paraId="3B41A2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22" w:type="dxa"/>
                  <w:noWrap w:val="0"/>
                  <w:vAlign w:val="center"/>
                </w:tcPr>
                <w:p w14:paraId="38DC130D">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240" w:type="dxa"/>
                  <w:noWrap w:val="0"/>
                  <w:vAlign w:val="center"/>
                </w:tcPr>
                <w:p w14:paraId="265B0A5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干冰</w:t>
                  </w:r>
                </w:p>
              </w:tc>
              <w:tc>
                <w:tcPr>
                  <w:tcW w:w="1209" w:type="dxa"/>
                  <w:noWrap w:val="0"/>
                  <w:vAlign w:val="center"/>
                </w:tcPr>
                <w:p w14:paraId="65CE4FC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t/a</w:t>
                  </w:r>
                </w:p>
              </w:tc>
              <w:tc>
                <w:tcPr>
                  <w:tcW w:w="1179" w:type="dxa"/>
                  <w:noWrap w:val="0"/>
                  <w:vAlign w:val="center"/>
                </w:tcPr>
                <w:p w14:paraId="77093C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w:t>
                  </w:r>
                </w:p>
              </w:tc>
              <w:tc>
                <w:tcPr>
                  <w:tcW w:w="3226" w:type="dxa"/>
                  <w:noWrap w:val="0"/>
                  <w:vAlign w:val="center"/>
                </w:tcPr>
                <w:p w14:paraId="0DDFA81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20kg袋装</w:t>
                  </w:r>
                  <w:r>
                    <w:rPr>
                      <w:rFonts w:hint="eastAsia" w:ascii="Times New Roman" w:hAnsi="Times New Roman" w:cs="Times New Roman"/>
                      <w:lang w:eastAsia="zh-CN"/>
                    </w:rPr>
                    <w:t>，</w:t>
                  </w:r>
                  <w:r>
                    <w:rPr>
                      <w:rFonts w:hint="eastAsia" w:ascii="Times New Roman" w:hAnsi="Times New Roman" w:cs="Times New Roman"/>
                      <w:lang w:val="en-US" w:eastAsia="zh-CN"/>
                    </w:rPr>
                    <w:t>块状</w:t>
                  </w:r>
                </w:p>
              </w:tc>
            </w:tr>
            <w:tr w14:paraId="737561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jc w:val="center"/>
              </w:trPr>
              <w:tc>
                <w:tcPr>
                  <w:tcW w:w="822" w:type="dxa"/>
                  <w:noWrap w:val="0"/>
                  <w:vAlign w:val="center"/>
                </w:tcPr>
                <w:p w14:paraId="5A2E19F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240" w:type="dxa"/>
                  <w:noWrap w:val="0"/>
                  <w:vAlign w:val="center"/>
                </w:tcPr>
                <w:p w14:paraId="3337EC1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工业盐酸*</w:t>
                  </w:r>
                </w:p>
              </w:tc>
              <w:tc>
                <w:tcPr>
                  <w:tcW w:w="1209" w:type="dxa"/>
                  <w:noWrap w:val="0"/>
                  <w:vAlign w:val="center"/>
                </w:tcPr>
                <w:p w14:paraId="50CB475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t/a</w:t>
                  </w:r>
                </w:p>
              </w:tc>
              <w:tc>
                <w:tcPr>
                  <w:tcW w:w="1179" w:type="dxa"/>
                  <w:noWrap w:val="0"/>
                  <w:vAlign w:val="center"/>
                </w:tcPr>
                <w:p w14:paraId="0FEBBC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402.45</w:t>
                  </w:r>
                </w:p>
              </w:tc>
              <w:tc>
                <w:tcPr>
                  <w:tcW w:w="3226" w:type="dxa"/>
                  <w:noWrap w:val="0"/>
                  <w:vAlign w:val="center"/>
                </w:tcPr>
                <w:p w14:paraId="639E4E07">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吨桶</w:t>
                  </w:r>
                  <w:r>
                    <w:rPr>
                      <w:rFonts w:hint="eastAsia" w:ascii="Times New Roman" w:hAnsi="Times New Roman" w:cs="Times New Roman"/>
                      <w:lang w:eastAsia="zh-CN"/>
                    </w:rPr>
                    <w:t>，</w:t>
                  </w:r>
                  <w:r>
                    <w:rPr>
                      <w:rFonts w:hint="eastAsia" w:ascii="Times New Roman" w:hAnsi="Times New Roman" w:cs="Times New Roman"/>
                      <w:lang w:val="en-US" w:eastAsia="zh-CN"/>
                    </w:rPr>
                    <w:t>液态，浓度</w:t>
                  </w:r>
                  <w:r>
                    <w:rPr>
                      <w:rFonts w:hint="eastAsia" w:ascii="Times New Roman" w:hAnsi="Times New Roman" w:eastAsia="宋体" w:cs="Times New Roman"/>
                      <w:color w:val="auto"/>
                      <w:highlight w:val="none"/>
                      <w:lang w:val="en-US" w:eastAsia="zh-CN"/>
                    </w:rPr>
                    <w:t>31%~33%，</w:t>
                  </w:r>
                  <w:r>
                    <w:rPr>
                      <w:rFonts w:hint="eastAsia" w:ascii="Times New Roman" w:hAnsi="Times New Roman" w:cs="Times New Roman"/>
                      <w:lang w:val="en-US" w:eastAsia="zh-CN"/>
                    </w:rPr>
                    <w:t>厂区最大存储量为30t</w:t>
                  </w:r>
                </w:p>
              </w:tc>
            </w:tr>
            <w:tr w14:paraId="7BC92F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jc w:val="center"/>
              </w:trPr>
              <w:tc>
                <w:tcPr>
                  <w:tcW w:w="822" w:type="dxa"/>
                  <w:noWrap w:val="0"/>
                  <w:vAlign w:val="center"/>
                </w:tcPr>
                <w:p w14:paraId="19A210A5">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w:t>
                  </w:r>
                </w:p>
              </w:tc>
              <w:tc>
                <w:tcPr>
                  <w:tcW w:w="2240" w:type="dxa"/>
                  <w:noWrap w:val="0"/>
                  <w:vAlign w:val="center"/>
                </w:tcPr>
                <w:p w14:paraId="5EDE3F4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片碱</w:t>
                  </w:r>
                </w:p>
              </w:tc>
              <w:tc>
                <w:tcPr>
                  <w:tcW w:w="1209" w:type="dxa"/>
                  <w:noWrap w:val="0"/>
                  <w:vAlign w:val="center"/>
                </w:tcPr>
                <w:p w14:paraId="37CBE40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t/a</w:t>
                  </w:r>
                </w:p>
              </w:tc>
              <w:tc>
                <w:tcPr>
                  <w:tcW w:w="1179" w:type="dxa"/>
                  <w:noWrap w:val="0"/>
                  <w:vAlign w:val="center"/>
                </w:tcPr>
                <w:p w14:paraId="128EB8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3226" w:type="dxa"/>
                  <w:noWrap w:val="0"/>
                  <w:vAlign w:val="center"/>
                </w:tcPr>
                <w:p w14:paraId="0F414F5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20kg袋装</w:t>
                  </w:r>
                  <w:r>
                    <w:rPr>
                      <w:rFonts w:hint="eastAsia" w:ascii="Times New Roman" w:hAnsi="Times New Roman" w:eastAsia="宋体" w:cs="Times New Roman"/>
                      <w:color w:val="auto"/>
                      <w:highlight w:val="none"/>
                      <w:lang w:val="en-US" w:eastAsia="zh-CN"/>
                    </w:rPr>
                    <w:t>，片状，厂区最大储存量为</w:t>
                  </w:r>
                  <w:r>
                    <w:rPr>
                      <w:rFonts w:hint="eastAsia" w:cs="Times New Roman"/>
                      <w:color w:val="auto"/>
                      <w:highlight w:val="none"/>
                      <w:lang w:val="en-US" w:eastAsia="zh-CN"/>
                    </w:rPr>
                    <w:t>0.5</w:t>
                  </w:r>
                  <w:r>
                    <w:rPr>
                      <w:rFonts w:hint="eastAsia" w:ascii="Times New Roman" w:hAnsi="Times New Roman" w:eastAsia="宋体" w:cs="Times New Roman"/>
                      <w:color w:val="auto"/>
                      <w:highlight w:val="none"/>
                      <w:lang w:val="en-US" w:eastAsia="zh-CN"/>
                    </w:rPr>
                    <w:t>t，用于污水处理</w:t>
                  </w:r>
                </w:p>
              </w:tc>
            </w:tr>
            <w:tr w14:paraId="2CF2CE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jc w:val="center"/>
              </w:trPr>
              <w:tc>
                <w:tcPr>
                  <w:tcW w:w="822" w:type="dxa"/>
                  <w:noWrap w:val="0"/>
                  <w:vAlign w:val="center"/>
                </w:tcPr>
                <w:p w14:paraId="0357CC0B">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5</w:t>
                  </w:r>
                </w:p>
              </w:tc>
              <w:tc>
                <w:tcPr>
                  <w:tcW w:w="2240" w:type="dxa"/>
                  <w:noWrap w:val="0"/>
                  <w:vAlign w:val="center"/>
                </w:tcPr>
                <w:p w14:paraId="36267A2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PAC</w:t>
                  </w:r>
                </w:p>
              </w:tc>
              <w:tc>
                <w:tcPr>
                  <w:tcW w:w="1209" w:type="dxa"/>
                  <w:noWrap w:val="0"/>
                  <w:vAlign w:val="center"/>
                </w:tcPr>
                <w:p w14:paraId="2BD6BD1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t/a</w:t>
                  </w:r>
                </w:p>
              </w:tc>
              <w:tc>
                <w:tcPr>
                  <w:tcW w:w="1179" w:type="dxa"/>
                  <w:noWrap w:val="0"/>
                  <w:vAlign w:val="center"/>
                </w:tcPr>
                <w:p w14:paraId="653E60BF">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5</w:t>
                  </w:r>
                </w:p>
              </w:tc>
              <w:tc>
                <w:tcPr>
                  <w:tcW w:w="3226" w:type="dxa"/>
                  <w:noWrap w:val="0"/>
                  <w:vAlign w:val="center"/>
                </w:tcPr>
                <w:p w14:paraId="6B9B9800">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20kg袋装</w:t>
                  </w:r>
                  <w:r>
                    <w:rPr>
                      <w:rFonts w:hint="eastAsia" w:ascii="Times New Roman" w:hAnsi="Times New Roman" w:eastAsia="宋体" w:cs="Times New Roman"/>
                      <w:color w:val="auto"/>
                      <w:highlight w:val="none"/>
                      <w:lang w:val="en-US" w:eastAsia="zh-CN"/>
                    </w:rPr>
                    <w:t>，粉状，用于污水处理</w:t>
                  </w:r>
                </w:p>
              </w:tc>
            </w:tr>
            <w:tr w14:paraId="37FC14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jc w:val="center"/>
              </w:trPr>
              <w:tc>
                <w:tcPr>
                  <w:tcW w:w="822" w:type="dxa"/>
                  <w:noWrap w:val="0"/>
                  <w:vAlign w:val="center"/>
                </w:tcPr>
                <w:p w14:paraId="16524E9A">
                  <w:pPr>
                    <w:keepNext w:val="0"/>
                    <w:keepLines w:val="0"/>
                    <w:suppressLineNumbers w:val="0"/>
                    <w:autoSpaceDE w:val="0"/>
                    <w:autoSpaceDN w:val="0"/>
                    <w:spacing w:before="0" w:beforeAutospacing="0" w:after="0" w:afterAutospacing="0"/>
                    <w:ind w:left="0" w:right="0"/>
                    <w:jc w:val="center"/>
                    <w:rPr>
                      <w:rFonts w:hint="eastAsia"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6</w:t>
                  </w:r>
                </w:p>
              </w:tc>
              <w:tc>
                <w:tcPr>
                  <w:tcW w:w="2240" w:type="dxa"/>
                  <w:noWrap w:val="0"/>
                  <w:vAlign w:val="center"/>
                </w:tcPr>
                <w:p w14:paraId="72AC0076">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尿素</w:t>
                  </w:r>
                </w:p>
              </w:tc>
              <w:tc>
                <w:tcPr>
                  <w:tcW w:w="1209" w:type="dxa"/>
                  <w:noWrap w:val="0"/>
                  <w:vAlign w:val="center"/>
                </w:tcPr>
                <w:p w14:paraId="3BEBECF3">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t/a</w:t>
                  </w:r>
                </w:p>
              </w:tc>
              <w:tc>
                <w:tcPr>
                  <w:tcW w:w="1179" w:type="dxa"/>
                  <w:noWrap w:val="0"/>
                  <w:vAlign w:val="center"/>
                </w:tcPr>
                <w:p w14:paraId="05DD7D6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20</w:t>
                  </w:r>
                </w:p>
              </w:tc>
              <w:tc>
                <w:tcPr>
                  <w:tcW w:w="3226" w:type="dxa"/>
                  <w:noWrap w:val="0"/>
                  <w:vAlign w:val="center"/>
                </w:tcPr>
                <w:p w14:paraId="5A07A7F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20kg袋装</w:t>
                  </w:r>
                  <w:r>
                    <w:rPr>
                      <w:rFonts w:hint="eastAsia" w:ascii="Times New Roman" w:hAnsi="Times New Roman" w:eastAsia="宋体" w:cs="Times New Roman"/>
                      <w:color w:val="auto"/>
                      <w:highlight w:val="none"/>
                      <w:lang w:val="en-US" w:eastAsia="zh-CN"/>
                    </w:rPr>
                    <w:t>，颗粒状，用于SNCR脱硝装置脱硝</w:t>
                  </w:r>
                </w:p>
              </w:tc>
            </w:tr>
            <w:tr w14:paraId="18036A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676" w:type="dxa"/>
                  <w:gridSpan w:val="5"/>
                  <w:noWrap w:val="0"/>
                  <w:vAlign w:val="center"/>
                </w:tcPr>
                <w:p w14:paraId="5D1E2AD6">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能源消耗</w:t>
                  </w:r>
                </w:p>
              </w:tc>
            </w:tr>
            <w:tr w14:paraId="422999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22" w:type="dxa"/>
                  <w:noWrap w:val="0"/>
                  <w:vAlign w:val="center"/>
                </w:tcPr>
                <w:p w14:paraId="7FE4DF99">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240" w:type="dxa"/>
                  <w:noWrap w:val="0"/>
                  <w:vAlign w:val="center"/>
                </w:tcPr>
                <w:p w14:paraId="706AA634">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自来水</w:t>
                  </w:r>
                </w:p>
              </w:tc>
              <w:tc>
                <w:tcPr>
                  <w:tcW w:w="1209" w:type="dxa"/>
                  <w:noWrap w:val="0"/>
                  <w:vAlign w:val="center"/>
                </w:tcPr>
                <w:p w14:paraId="431DB4B8">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w:t>
                  </w:r>
                </w:p>
              </w:tc>
              <w:tc>
                <w:tcPr>
                  <w:tcW w:w="1179" w:type="dxa"/>
                  <w:noWrap w:val="0"/>
                  <w:vAlign w:val="center"/>
                </w:tcPr>
                <w:p w14:paraId="035662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highlight w:val="none"/>
                      <w:lang w:val="en-US" w:eastAsia="zh-CN"/>
                    </w:rPr>
                    <w:t>316</w:t>
                  </w:r>
                </w:p>
              </w:tc>
              <w:tc>
                <w:tcPr>
                  <w:tcW w:w="3226" w:type="dxa"/>
                  <w:noWrap w:val="0"/>
                  <w:vAlign w:val="center"/>
                </w:tcPr>
                <w:p w14:paraId="1E9E877B">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default" w:ascii="Times New Roman" w:hAnsi="Times New Roman" w:cs="Times New Roman"/>
                      <w:color w:val="auto"/>
                      <w:highlight w:val="none"/>
                      <w:lang w:eastAsia="zh-CN"/>
                    </w:rPr>
                    <w:t>淄博淄川区</w:t>
                  </w:r>
                  <w:r>
                    <w:rPr>
                      <w:rFonts w:hint="default" w:ascii="Times New Roman" w:hAnsi="Times New Roman" w:cs="Times New Roman"/>
                      <w:color w:val="auto"/>
                      <w:highlight w:val="none"/>
                    </w:rPr>
                    <w:t>自来水管网供给</w:t>
                  </w:r>
                </w:p>
              </w:tc>
            </w:tr>
            <w:tr w14:paraId="315DC7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22" w:type="dxa"/>
                  <w:noWrap w:val="0"/>
                  <w:vAlign w:val="center"/>
                </w:tcPr>
                <w:p w14:paraId="4E71E1B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240" w:type="dxa"/>
                  <w:noWrap w:val="0"/>
                  <w:vAlign w:val="center"/>
                </w:tcPr>
                <w:p w14:paraId="5268C78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电</w:t>
                  </w:r>
                </w:p>
              </w:tc>
              <w:tc>
                <w:tcPr>
                  <w:tcW w:w="1209" w:type="dxa"/>
                  <w:noWrap w:val="0"/>
                  <w:vAlign w:val="center"/>
                </w:tcPr>
                <w:p w14:paraId="4B48401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万kWh/a</w:t>
                  </w:r>
                </w:p>
              </w:tc>
              <w:tc>
                <w:tcPr>
                  <w:tcW w:w="1179" w:type="dxa"/>
                  <w:noWrap w:val="0"/>
                  <w:vAlign w:val="center"/>
                </w:tcPr>
                <w:p w14:paraId="3C822F5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c>
                <w:tcPr>
                  <w:tcW w:w="3226" w:type="dxa"/>
                  <w:noWrap w:val="0"/>
                  <w:vAlign w:val="center"/>
                </w:tcPr>
                <w:p w14:paraId="02566D6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default" w:ascii="Times New Roman" w:hAnsi="Times New Roman" w:cs="Times New Roman"/>
                      <w:color w:val="auto"/>
                      <w:highlight w:val="none"/>
                      <w:lang w:eastAsia="zh-CN"/>
                    </w:rPr>
                    <w:t>淄博淄川区</w:t>
                  </w:r>
                  <w:r>
                    <w:rPr>
                      <w:rFonts w:hint="default" w:ascii="Times New Roman" w:hAnsi="Times New Roman" w:cs="Times New Roman"/>
                      <w:color w:val="auto"/>
                      <w:highlight w:val="none"/>
                    </w:rPr>
                    <w:t>电网供给</w:t>
                  </w:r>
                </w:p>
              </w:tc>
            </w:tr>
            <w:tr w14:paraId="3049BF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3" w:hRule="atLeast"/>
                <w:jc w:val="center"/>
              </w:trPr>
              <w:tc>
                <w:tcPr>
                  <w:tcW w:w="822" w:type="dxa"/>
                  <w:noWrap w:val="0"/>
                  <w:vAlign w:val="center"/>
                </w:tcPr>
                <w:p w14:paraId="58E1F57E">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w:t>
                  </w:r>
                </w:p>
              </w:tc>
              <w:tc>
                <w:tcPr>
                  <w:tcW w:w="2240" w:type="dxa"/>
                  <w:noWrap w:val="0"/>
                  <w:vAlign w:val="center"/>
                </w:tcPr>
                <w:p w14:paraId="135B1E00">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软水</w:t>
                  </w:r>
                </w:p>
              </w:tc>
              <w:tc>
                <w:tcPr>
                  <w:tcW w:w="1209" w:type="dxa"/>
                  <w:noWrap w:val="0"/>
                  <w:vAlign w:val="center"/>
                </w:tcPr>
                <w:p w14:paraId="193DAFD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w:t>
                  </w:r>
                </w:p>
              </w:tc>
              <w:tc>
                <w:tcPr>
                  <w:tcW w:w="1179" w:type="dxa"/>
                  <w:noWrap w:val="0"/>
                  <w:vAlign w:val="center"/>
                </w:tcPr>
                <w:p w14:paraId="5971856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31165.64</w:t>
                  </w:r>
                </w:p>
              </w:tc>
              <w:tc>
                <w:tcPr>
                  <w:tcW w:w="3226" w:type="dxa"/>
                  <w:noWrap w:val="0"/>
                  <w:vAlign w:val="center"/>
                </w:tcPr>
                <w:p w14:paraId="6842E54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由当地纯水销售公司供给</w:t>
                  </w:r>
                </w:p>
              </w:tc>
            </w:tr>
            <w:tr w14:paraId="1ADA9C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6" w:hRule="atLeast"/>
                <w:jc w:val="center"/>
              </w:trPr>
              <w:tc>
                <w:tcPr>
                  <w:tcW w:w="822" w:type="dxa"/>
                  <w:noWrap w:val="0"/>
                  <w:vAlign w:val="center"/>
                </w:tcPr>
                <w:p w14:paraId="1B513EC1">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w:t>
                  </w:r>
                </w:p>
              </w:tc>
              <w:tc>
                <w:tcPr>
                  <w:tcW w:w="2240" w:type="dxa"/>
                  <w:noWrap w:val="0"/>
                  <w:vAlign w:val="center"/>
                </w:tcPr>
                <w:p w14:paraId="55D760E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天然气</w:t>
                  </w:r>
                </w:p>
              </w:tc>
              <w:tc>
                <w:tcPr>
                  <w:tcW w:w="1209" w:type="dxa"/>
                  <w:noWrap w:val="0"/>
                  <w:vAlign w:val="center"/>
                </w:tcPr>
                <w:p w14:paraId="49D7CCA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万</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w:t>
                  </w:r>
                </w:p>
              </w:tc>
              <w:tc>
                <w:tcPr>
                  <w:tcW w:w="1179" w:type="dxa"/>
                  <w:noWrap w:val="0"/>
                  <w:vAlign w:val="center"/>
                </w:tcPr>
                <w:p w14:paraId="3B3CDB6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72</w:t>
                  </w:r>
                </w:p>
              </w:tc>
              <w:tc>
                <w:tcPr>
                  <w:tcW w:w="3226" w:type="dxa"/>
                  <w:noWrap w:val="0"/>
                  <w:vAlign w:val="center"/>
                </w:tcPr>
                <w:p w14:paraId="417FB3A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由当地燃气公司供给</w:t>
                  </w:r>
                </w:p>
              </w:tc>
            </w:tr>
          </w:tbl>
          <w:p w14:paraId="310D7210">
            <w:pPr>
              <w:keepNext w:val="0"/>
              <w:keepLines w:val="0"/>
              <w:suppressLineNumbers w:val="0"/>
              <w:snapToGrid w:val="0"/>
              <w:spacing w:before="0" w:beforeAutospacing="0" w:after="0" w:afterAutospacing="0" w:line="360" w:lineRule="auto"/>
              <w:ind w:left="0" w:right="0" w:firstLine="482" w:firstLineChars="200"/>
              <w:rPr>
                <w:rFonts w:hint="eastAsia" w:ascii="Times New Roman" w:hAnsi="Times New Roman" w:eastAsia="宋体" w:cs="Times New Roman"/>
                <w:b w:val="0"/>
                <w:bCs w:val="0"/>
                <w:color w:val="auto"/>
                <w:sz w:val="24"/>
                <w:szCs w:val="32"/>
                <w:highlight w:val="none"/>
                <w:lang w:val="en-US" w:eastAsia="zh-CN"/>
              </w:rPr>
            </w:pPr>
            <w:r>
              <w:rPr>
                <w:rFonts w:hint="eastAsia" w:ascii="Times New Roman" w:hAnsi="Times New Roman" w:eastAsia="宋体" w:cs="Times New Roman"/>
                <w:b/>
                <w:bCs/>
                <w:color w:val="auto"/>
                <w:sz w:val="24"/>
                <w:szCs w:val="32"/>
                <w:highlight w:val="none"/>
                <w:lang w:val="en-US" w:eastAsia="zh-CN"/>
              </w:rPr>
              <w:t>*备注：外购的盐酸浓度为31%~33%，本项目按照最不利原则，盐酸浓度按33%计</w:t>
            </w:r>
            <w:r>
              <w:rPr>
                <w:rFonts w:hint="eastAsia" w:ascii="Times New Roman" w:hAnsi="Times New Roman" w:eastAsia="宋体" w:cs="Times New Roman"/>
                <w:b w:val="0"/>
                <w:bCs w:val="0"/>
                <w:color w:val="auto"/>
                <w:sz w:val="24"/>
                <w:szCs w:val="32"/>
                <w:highlight w:val="none"/>
                <w:lang w:val="en-US" w:eastAsia="zh-CN"/>
              </w:rPr>
              <w:t>。</w:t>
            </w:r>
          </w:p>
          <w:p w14:paraId="1B2531A1">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eastAsiaTheme="minorEastAsia"/>
                <w:sz w:val="24"/>
                <w:szCs w:val="22"/>
                <w:lang w:val="en-US" w:eastAsia="zh-CN"/>
              </w:rPr>
            </w:pPr>
            <w:r>
              <w:rPr>
                <w:rFonts w:hint="eastAsia" w:ascii="Times New Roman" w:hAnsi="Times New Roman" w:cs="Times New Roman" w:eastAsiaTheme="minorEastAsia"/>
                <w:sz w:val="24"/>
                <w:szCs w:val="22"/>
                <w:lang w:val="en-US" w:eastAsia="zh-CN"/>
              </w:rPr>
              <w:t>根据原料高纯晶体氧化铝粉出厂检测报告可知，高纯晶体氧化铝粉成份详见下表。</w:t>
            </w:r>
          </w:p>
          <w:p w14:paraId="588367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cs="Times New Roman"/>
                <w:b/>
                <w:color w:val="auto"/>
                <w:szCs w:val="21"/>
                <w:highlight w:val="none"/>
                <w:lang w:val="en-US" w:eastAsia="zh-CN"/>
              </w:rPr>
              <w:t>3</w:t>
            </w:r>
            <w:r>
              <w:rPr>
                <w:rFonts w:hint="default" w:ascii="Times New Roman" w:hAnsi="Times New Roman" w:eastAsia="宋体" w:cs="Times New Roman"/>
                <w:b/>
                <w:color w:val="auto"/>
                <w:szCs w:val="21"/>
                <w:highlight w:val="none"/>
                <w:lang w:val="en-US" w:eastAsia="zh-CN"/>
              </w:rPr>
              <w:t xml:space="preserve"> 高纯晶体氧化铝粉</w:t>
            </w:r>
            <w:r>
              <w:rPr>
                <w:rFonts w:hint="eastAsia" w:cs="Times New Roman"/>
                <w:b/>
                <w:color w:val="auto"/>
                <w:szCs w:val="21"/>
                <w:highlight w:val="none"/>
                <w:lang w:val="en-US" w:eastAsia="zh-CN"/>
              </w:rPr>
              <w:t>成分</w:t>
            </w:r>
            <w:r>
              <w:rPr>
                <w:rFonts w:hint="default" w:ascii="Times New Roman" w:hAnsi="Times New Roman" w:eastAsia="宋体" w:cs="Times New Roman"/>
                <w:b/>
                <w:color w:val="auto"/>
                <w:szCs w:val="21"/>
                <w:highlight w:val="none"/>
                <w:lang w:val="en-US" w:eastAsia="zh-CN"/>
              </w:rPr>
              <w:t>一览表</w:t>
            </w:r>
          </w:p>
          <w:tbl>
            <w:tblPr>
              <w:tblStyle w:val="32"/>
              <w:tblW w:w="486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62"/>
              <w:gridCol w:w="1308"/>
              <w:gridCol w:w="1308"/>
              <w:gridCol w:w="1414"/>
              <w:gridCol w:w="1749"/>
              <w:gridCol w:w="1751"/>
            </w:tblGrid>
            <w:tr w14:paraId="4CF4B0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0" w:hRule="atLeast"/>
                <w:jc w:val="center"/>
              </w:trPr>
              <w:tc>
                <w:tcPr>
                  <w:tcW w:w="962" w:type="dxa"/>
                  <w:noWrap w:val="0"/>
                  <w:vAlign w:val="center"/>
                </w:tcPr>
                <w:p w14:paraId="04BE609F">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val="en-US" w:eastAsia="zh-CN"/>
                    </w:rPr>
                    <w:t>名称</w:t>
                  </w:r>
                </w:p>
              </w:tc>
              <w:tc>
                <w:tcPr>
                  <w:tcW w:w="1309" w:type="dxa"/>
                  <w:noWrap w:val="0"/>
                  <w:vAlign w:val="center"/>
                </w:tcPr>
                <w:p w14:paraId="4E8441F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Fe</w:t>
                  </w:r>
                  <w:r>
                    <w:rPr>
                      <w:rFonts w:hint="eastAsia" w:cs="Times New Roman"/>
                      <w:b/>
                      <w:bCs/>
                      <w:color w:val="auto"/>
                      <w:sz w:val="21"/>
                      <w:szCs w:val="21"/>
                      <w:highlight w:val="none"/>
                      <w:vertAlign w:val="subscript"/>
                      <w:lang w:val="en-US" w:eastAsia="zh-CN"/>
                    </w:rPr>
                    <w:t>2</w:t>
                  </w:r>
                  <w:r>
                    <w:rPr>
                      <w:rFonts w:hint="eastAsia" w:cs="Times New Roman"/>
                      <w:b/>
                      <w:bCs/>
                      <w:color w:val="auto"/>
                      <w:sz w:val="21"/>
                      <w:szCs w:val="21"/>
                      <w:highlight w:val="none"/>
                      <w:lang w:val="en-US" w:eastAsia="zh-CN"/>
                    </w:rPr>
                    <w:t>O</w:t>
                  </w:r>
                  <w:r>
                    <w:rPr>
                      <w:rFonts w:hint="eastAsia" w:cs="Times New Roman"/>
                      <w:b/>
                      <w:bCs/>
                      <w:color w:val="auto"/>
                      <w:sz w:val="21"/>
                      <w:szCs w:val="21"/>
                      <w:highlight w:val="none"/>
                      <w:vertAlign w:val="subscript"/>
                      <w:lang w:val="en-US" w:eastAsia="zh-CN"/>
                    </w:rPr>
                    <w:t>3</w:t>
                  </w:r>
                </w:p>
              </w:tc>
              <w:tc>
                <w:tcPr>
                  <w:tcW w:w="1309" w:type="dxa"/>
                  <w:noWrap w:val="0"/>
                  <w:vAlign w:val="center"/>
                </w:tcPr>
                <w:p w14:paraId="6D77556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subscript"/>
                      <w:lang w:val="en-US" w:eastAsia="zh-CN"/>
                    </w:rPr>
                  </w:pPr>
                  <w:r>
                    <w:rPr>
                      <w:rFonts w:hint="eastAsia" w:cs="Times New Roman"/>
                      <w:b/>
                      <w:bCs/>
                      <w:color w:val="auto"/>
                      <w:sz w:val="21"/>
                      <w:szCs w:val="21"/>
                      <w:highlight w:val="none"/>
                      <w:lang w:val="en-US" w:eastAsia="zh-CN"/>
                    </w:rPr>
                    <w:t>SiO</w:t>
                  </w:r>
                  <w:r>
                    <w:rPr>
                      <w:rFonts w:hint="eastAsia" w:cs="Times New Roman"/>
                      <w:b/>
                      <w:bCs/>
                      <w:color w:val="auto"/>
                      <w:sz w:val="21"/>
                      <w:szCs w:val="21"/>
                      <w:highlight w:val="none"/>
                      <w:vertAlign w:val="subscript"/>
                      <w:lang w:val="en-US" w:eastAsia="zh-CN"/>
                    </w:rPr>
                    <w:t>2</w:t>
                  </w:r>
                </w:p>
              </w:tc>
              <w:tc>
                <w:tcPr>
                  <w:tcW w:w="1415" w:type="dxa"/>
                  <w:noWrap w:val="0"/>
                  <w:vAlign w:val="center"/>
                </w:tcPr>
                <w:p w14:paraId="1A4F341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Na</w:t>
                  </w:r>
                  <w:r>
                    <w:rPr>
                      <w:rFonts w:hint="eastAsia" w:cs="Times New Roman"/>
                      <w:b/>
                      <w:bCs/>
                      <w:color w:val="auto"/>
                      <w:sz w:val="21"/>
                      <w:szCs w:val="21"/>
                      <w:highlight w:val="none"/>
                      <w:vertAlign w:val="subscript"/>
                      <w:lang w:val="en-US" w:eastAsia="zh-CN"/>
                    </w:rPr>
                    <w:t>2</w:t>
                  </w:r>
                  <w:r>
                    <w:rPr>
                      <w:rFonts w:hint="eastAsia" w:cs="Times New Roman"/>
                      <w:b/>
                      <w:bCs/>
                      <w:color w:val="auto"/>
                      <w:sz w:val="21"/>
                      <w:szCs w:val="21"/>
                      <w:highlight w:val="none"/>
                      <w:lang w:val="en-US" w:eastAsia="zh-CN"/>
                    </w:rPr>
                    <w:t>O</w:t>
                  </w:r>
                </w:p>
              </w:tc>
              <w:tc>
                <w:tcPr>
                  <w:tcW w:w="1750" w:type="dxa"/>
                  <w:noWrap w:val="0"/>
                  <w:vAlign w:val="center"/>
                </w:tcPr>
                <w:p w14:paraId="2256700F">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水分</w:t>
                  </w:r>
                </w:p>
              </w:tc>
              <w:tc>
                <w:tcPr>
                  <w:tcW w:w="1752" w:type="dxa"/>
                  <w:noWrap w:val="0"/>
                  <w:vAlign w:val="center"/>
                </w:tcPr>
                <w:p w14:paraId="6A80AEE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α</w:t>
                  </w:r>
                  <w:r>
                    <w:rPr>
                      <w:rFonts w:hint="default" w:ascii="Times New Roman" w:hAnsi="Times New Roman" w:eastAsia="宋体" w:cs="Times New Roman"/>
                      <w:b/>
                      <w:bCs/>
                      <w:color w:val="auto"/>
                      <w:sz w:val="21"/>
                      <w:szCs w:val="21"/>
                      <w:highlight w:val="none"/>
                      <w:lang w:val="en-US" w:eastAsia="zh-CN"/>
                    </w:rPr>
                    <w:t>Al₂O₃</w:t>
                  </w:r>
                </w:p>
              </w:tc>
            </w:tr>
            <w:tr w14:paraId="417989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7" w:hRule="atLeast"/>
                <w:jc w:val="center"/>
              </w:trPr>
              <w:tc>
                <w:tcPr>
                  <w:tcW w:w="962" w:type="dxa"/>
                  <w:noWrap w:val="0"/>
                  <w:vAlign w:val="center"/>
                </w:tcPr>
                <w:p w14:paraId="398DCCF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含量%</w:t>
                  </w:r>
                </w:p>
              </w:tc>
              <w:tc>
                <w:tcPr>
                  <w:tcW w:w="1309" w:type="dxa"/>
                  <w:noWrap w:val="0"/>
                  <w:vAlign w:val="center"/>
                </w:tcPr>
                <w:p w14:paraId="21C6DFB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1309" w:type="dxa"/>
                  <w:noWrap w:val="0"/>
                  <w:vAlign w:val="center"/>
                </w:tcPr>
                <w:p w14:paraId="35EFCE4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1415" w:type="dxa"/>
                  <w:noWrap w:val="0"/>
                  <w:vAlign w:val="center"/>
                </w:tcPr>
                <w:p w14:paraId="71FA4B6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0.34</w:t>
                  </w:r>
                </w:p>
              </w:tc>
              <w:tc>
                <w:tcPr>
                  <w:tcW w:w="1750" w:type="dxa"/>
                  <w:noWrap w:val="0"/>
                  <w:vAlign w:val="center"/>
                </w:tcPr>
                <w:p w14:paraId="0A7AD7B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0.75</w:t>
                  </w:r>
                </w:p>
              </w:tc>
              <w:tc>
                <w:tcPr>
                  <w:tcW w:w="1752" w:type="dxa"/>
                  <w:noWrap w:val="0"/>
                  <w:vAlign w:val="center"/>
                </w:tcPr>
                <w:p w14:paraId="32D9512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98.9</w:t>
                  </w:r>
                </w:p>
              </w:tc>
            </w:tr>
          </w:tbl>
          <w:p w14:paraId="0DE027DB">
            <w:pPr>
              <w:keepNext w:val="0"/>
              <w:keepLines w:val="0"/>
              <w:suppressLineNumbers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32"/>
                <w:highlight w:val="none"/>
                <w:lang w:val="en-US" w:eastAsia="zh-CN"/>
              </w:rPr>
            </w:pPr>
            <w:r>
              <w:rPr>
                <w:rFonts w:hint="eastAsia" w:cs="Times New Roman"/>
                <w:b/>
                <w:bCs/>
                <w:color w:val="auto"/>
                <w:sz w:val="24"/>
                <w:szCs w:val="32"/>
                <w:highlight w:val="none"/>
                <w:lang w:val="en-US" w:eastAsia="zh-CN"/>
              </w:rPr>
              <w:t>盐酸用量计算：</w:t>
            </w:r>
          </w:p>
          <w:p w14:paraId="560A0474">
            <w:pPr>
              <w:keepNext w:val="0"/>
              <w:keepLines w:val="0"/>
              <w:suppressLineNumbers w:val="0"/>
              <w:snapToGrid w:val="0"/>
              <w:spacing w:before="0" w:beforeAutospacing="0" w:after="0" w:afterAutospacing="0" w:line="360" w:lineRule="auto"/>
              <w:ind w:left="0" w:right="0" w:firstLine="480" w:firstLineChars="200"/>
              <w:rPr>
                <w:rFonts w:hint="eastAsia" w:cs="Times New Roman"/>
                <w:snapToGrid w:val="0"/>
                <w:color w:val="auto"/>
                <w:kern w:val="0"/>
                <w:sz w:val="24"/>
                <w:szCs w:val="24"/>
                <w:lang w:val="en-US" w:eastAsia="zh-CN" w:bidi="ar-SA"/>
              </w:rPr>
            </w:pPr>
            <w:r>
              <w:rPr>
                <w:rFonts w:hint="eastAsia" w:cs="Times New Roman"/>
                <w:b w:val="0"/>
                <w:bCs w:val="0"/>
                <w:color w:val="auto"/>
                <w:sz w:val="24"/>
                <w:szCs w:val="32"/>
                <w:highlight w:val="none"/>
                <w:lang w:val="en-US" w:eastAsia="zh-CN"/>
              </w:rPr>
              <w:t>本项目一次搅拌工序常温状态下运行，</w:t>
            </w:r>
            <w:r>
              <w:rPr>
                <w:rFonts w:hint="eastAsia" w:cs="Times New Roman"/>
                <w:b w:val="0"/>
                <w:bCs w:val="0"/>
                <w:snapToGrid w:val="0"/>
                <w:color w:val="auto"/>
                <w:kern w:val="0"/>
                <w:sz w:val="24"/>
                <w:szCs w:val="24"/>
                <w:lang w:val="en-US" w:eastAsia="zh-CN" w:bidi="ar-SA"/>
              </w:rPr>
              <w:t>盐酸与</w:t>
            </w:r>
            <w:r>
              <w:rPr>
                <w:rFonts w:hint="default" w:ascii="Times New Roman" w:hAnsi="Times New Roman" w:cs="Times New Roman"/>
                <w:b w:val="0"/>
                <w:bCs w:val="0"/>
                <w:color w:val="auto"/>
                <w:sz w:val="24"/>
                <w:szCs w:val="32"/>
                <w:highlight w:val="none"/>
                <w:lang w:val="en-US" w:eastAsia="zh-CN"/>
              </w:rPr>
              <w:t>α</w:t>
            </w:r>
            <w:r>
              <w:rPr>
                <w:rFonts w:hint="default" w:ascii="Times New Roman" w:hAnsi="Times New Roman" w:eastAsia="宋体" w:cs="Times New Roman"/>
                <w:b w:val="0"/>
                <w:bCs w:val="0"/>
                <w:color w:val="auto"/>
                <w:sz w:val="24"/>
                <w:szCs w:val="32"/>
                <w:highlight w:val="none"/>
                <w:lang w:val="en-US" w:eastAsia="zh-CN"/>
              </w:rPr>
              <w:t>Al₂O₃</w:t>
            </w:r>
            <w:r>
              <w:rPr>
                <w:rFonts w:hint="eastAsia" w:cs="Times New Roman"/>
                <w:b w:val="0"/>
                <w:bCs w:val="0"/>
                <w:snapToGrid w:val="0"/>
                <w:color w:val="auto"/>
                <w:kern w:val="0"/>
                <w:sz w:val="24"/>
                <w:szCs w:val="24"/>
                <w:lang w:val="en-US" w:eastAsia="zh-CN" w:bidi="ar-SA"/>
              </w:rPr>
              <w:t>、SiO</w:t>
            </w:r>
            <w:r>
              <w:rPr>
                <w:rFonts w:hint="eastAsia" w:cs="Times New Roman"/>
                <w:b w:val="0"/>
                <w:bCs w:val="0"/>
                <w:snapToGrid w:val="0"/>
                <w:color w:val="auto"/>
                <w:kern w:val="0"/>
                <w:sz w:val="24"/>
                <w:szCs w:val="24"/>
                <w:vertAlign w:val="subscript"/>
                <w:lang w:val="en-US" w:eastAsia="zh-CN" w:bidi="ar-SA"/>
              </w:rPr>
              <w:t>2</w:t>
            </w:r>
            <w:r>
              <w:rPr>
                <w:rFonts w:hint="eastAsia" w:cs="Times New Roman"/>
                <w:b w:val="0"/>
                <w:bCs w:val="0"/>
                <w:snapToGrid w:val="0"/>
                <w:color w:val="auto"/>
                <w:kern w:val="0"/>
                <w:sz w:val="24"/>
                <w:szCs w:val="24"/>
                <w:lang w:val="en-US" w:eastAsia="zh-CN" w:bidi="ar-SA"/>
              </w:rPr>
              <w:t>均不发生反应。盐酸与</w:t>
            </w:r>
            <w:r>
              <w:rPr>
                <w:rFonts w:hint="eastAsia" w:cs="Times New Roman"/>
                <w:snapToGrid w:val="0"/>
                <w:color w:val="auto"/>
                <w:kern w:val="0"/>
                <w:sz w:val="24"/>
                <w:szCs w:val="24"/>
                <w:lang w:val="en-US" w:eastAsia="zh-CN" w:bidi="ar-SA"/>
              </w:rPr>
              <w:t>物料中的大部分氧化钠、氧化铁与稀盐酸发生反应（反应效率按90%计），生成氯化钠、氯化铁溶于稀盐酸中，通过过滤去除；过滤后物料还有极少量氧化钠杂质，通过加入干冰、软水，氧化钠和碳酸反应生产碳酸钠（反应效率按50%计）。</w:t>
            </w:r>
          </w:p>
          <w:p w14:paraId="08DA13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snapToGrid w:val="0"/>
                <w:color w:val="auto"/>
                <w:kern w:val="0"/>
                <w:sz w:val="24"/>
                <w:szCs w:val="24"/>
                <w:vertAlign w:val="baseline"/>
                <w:lang w:val="en-US" w:eastAsia="zh-CN" w:bidi="ar-SA"/>
              </w:rPr>
            </w:pPr>
            <w:r>
              <w:rPr>
                <w:rFonts w:hint="default" w:ascii="Times New Roman" w:hAnsi="Times New Roman" w:eastAsia="宋体" w:cs="Times New Roman"/>
                <w:snapToGrid w:val="0"/>
                <w:color w:val="auto"/>
                <w:kern w:val="0"/>
                <w:sz w:val="24"/>
                <w:szCs w:val="24"/>
                <w:vertAlign w:val="baseline"/>
                <w:lang w:val="en-US" w:eastAsia="zh-CN" w:bidi="ar-SA"/>
              </w:rPr>
              <w:t>Na</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vertAlign w:val="baseline"/>
                <w:lang w:val="en-US" w:eastAsia="zh-CN" w:bidi="ar-SA"/>
              </w:rPr>
              <w:t>O+2HCl→2NaCl+H</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vertAlign w:val="baseline"/>
                <w:lang w:val="en-US" w:eastAsia="zh-CN" w:bidi="ar-SA"/>
              </w:rPr>
              <w:t>O</w:t>
            </w:r>
          </w:p>
          <w:p w14:paraId="5B0B7E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snapToGrid w:val="0"/>
                <w:color w:val="auto"/>
                <w:kern w:val="0"/>
                <w:sz w:val="24"/>
                <w:szCs w:val="24"/>
                <w:vertAlign w:val="baseline"/>
                <w:lang w:val="en-US" w:eastAsia="zh-CN" w:bidi="ar-SA"/>
              </w:rPr>
            </w:pPr>
            <w:r>
              <w:rPr>
                <w:rFonts w:hint="eastAsia" w:cs="Times New Roman"/>
                <w:snapToGrid w:val="0"/>
                <w:color w:val="auto"/>
                <w:kern w:val="0"/>
                <w:sz w:val="24"/>
                <w:szCs w:val="24"/>
                <w:vertAlign w:val="baseline"/>
                <w:lang w:val="en-US" w:eastAsia="zh-CN" w:bidi="ar-SA"/>
              </w:rPr>
              <w:t>分子质量：             61.98  72.92  116.88  18</w:t>
            </w:r>
          </w:p>
          <w:p w14:paraId="0346FA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snapToGrid w:val="0"/>
                <w:color w:val="auto"/>
                <w:kern w:val="0"/>
                <w:sz w:val="24"/>
                <w:szCs w:val="24"/>
                <w:vertAlign w:val="baseline"/>
                <w:lang w:val="en-US" w:eastAsia="zh-CN" w:bidi="ar-SA"/>
              </w:rPr>
            </w:pPr>
            <w:r>
              <w:rPr>
                <w:rFonts w:hint="eastAsia" w:cs="Times New Roman"/>
                <w:snapToGrid w:val="0"/>
                <w:color w:val="auto"/>
                <w:kern w:val="0"/>
                <w:sz w:val="24"/>
                <w:szCs w:val="24"/>
                <w:vertAlign w:val="baseline"/>
                <w:lang w:val="en-US" w:eastAsia="zh-CN" w:bidi="ar-SA"/>
              </w:rPr>
              <w:t xml:space="preserve">消耗/产生量：          110.16  129.6  207.74  31.99 </w:t>
            </w:r>
          </w:p>
          <w:p w14:paraId="013560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snapToGrid w:val="0"/>
                <w:color w:val="auto"/>
                <w:kern w:val="0"/>
                <w:sz w:val="24"/>
                <w:szCs w:val="24"/>
                <w:vertAlign w:val="baseline"/>
                <w:lang w:val="en-US" w:eastAsia="zh-CN" w:bidi="ar-SA"/>
              </w:rPr>
            </w:pPr>
            <w:r>
              <w:rPr>
                <w:rFonts w:hint="default" w:ascii="Times New Roman" w:hAnsi="Times New Roman" w:eastAsia="宋体" w:cs="Times New Roman"/>
                <w:snapToGrid w:val="0"/>
                <w:color w:val="auto"/>
                <w:kern w:val="0"/>
                <w:sz w:val="24"/>
                <w:szCs w:val="24"/>
                <w:vertAlign w:val="baseline"/>
                <w:lang w:val="en-US" w:eastAsia="zh-CN" w:bidi="ar-SA"/>
              </w:rPr>
              <w:t>Fe₂O₃+6HCl→2FeCl₃+ 3H₂O</w:t>
            </w:r>
          </w:p>
          <w:p w14:paraId="01C713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snapToGrid w:val="0"/>
                <w:color w:val="auto"/>
                <w:kern w:val="0"/>
                <w:sz w:val="24"/>
                <w:szCs w:val="24"/>
                <w:vertAlign w:val="baseline"/>
                <w:lang w:val="en-US" w:eastAsia="zh-CN" w:bidi="ar-SA"/>
              </w:rPr>
            </w:pPr>
            <w:r>
              <w:rPr>
                <w:rFonts w:hint="eastAsia" w:cs="Times New Roman"/>
                <w:snapToGrid w:val="0"/>
                <w:color w:val="auto"/>
                <w:kern w:val="0"/>
                <w:sz w:val="24"/>
                <w:szCs w:val="24"/>
                <w:vertAlign w:val="baseline"/>
                <w:lang w:val="en-US" w:eastAsia="zh-CN" w:bidi="ar-SA"/>
              </w:rPr>
              <w:t>分子质量：            159.69  218.76  324.4  54</w:t>
            </w:r>
          </w:p>
          <w:p w14:paraId="4F3150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snapToGrid w:val="0"/>
                <w:color w:val="auto"/>
                <w:kern w:val="0"/>
                <w:sz w:val="24"/>
                <w:szCs w:val="24"/>
                <w:lang w:val="en-US" w:eastAsia="zh-CN" w:bidi="ar-SA"/>
              </w:rPr>
            </w:pPr>
            <w:r>
              <w:rPr>
                <w:rFonts w:hint="eastAsia" w:cs="Times New Roman"/>
                <w:snapToGrid w:val="0"/>
                <w:color w:val="auto"/>
                <w:kern w:val="0"/>
                <w:sz w:val="24"/>
                <w:szCs w:val="24"/>
                <w:vertAlign w:val="baseline"/>
                <w:lang w:val="en-US" w:eastAsia="zh-CN" w:bidi="ar-SA"/>
              </w:rPr>
              <w:t xml:space="preserve">消耗/产生量：          1.62    2.22    3.29  0.55 </w:t>
            </w:r>
          </w:p>
          <w:p w14:paraId="138C54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snapToGrid w:val="0"/>
                <w:color w:val="auto"/>
                <w:kern w:val="0"/>
                <w:sz w:val="24"/>
                <w:szCs w:val="24"/>
                <w:lang w:val="en-US" w:eastAsia="zh-CN" w:bidi="ar-SA"/>
              </w:rPr>
            </w:pPr>
            <w:r>
              <w:rPr>
                <w:rFonts w:hint="eastAsia" w:cs="Times New Roman"/>
                <w:snapToGrid w:val="0"/>
                <w:color w:val="auto"/>
                <w:kern w:val="0"/>
                <w:sz w:val="24"/>
                <w:szCs w:val="24"/>
                <w:lang w:val="en-US" w:eastAsia="zh-CN" w:bidi="ar-SA"/>
              </w:rPr>
              <w:t>‌Na</w:t>
            </w:r>
            <w:r>
              <w:rPr>
                <w:rFonts w:hint="eastAsia" w:cs="Times New Roman"/>
                <w:snapToGrid w:val="0"/>
                <w:color w:val="auto"/>
                <w:kern w:val="0"/>
                <w:sz w:val="24"/>
                <w:szCs w:val="24"/>
                <w:vertAlign w:val="subscript"/>
                <w:lang w:val="en-US" w:eastAsia="zh-CN" w:bidi="ar-SA"/>
              </w:rPr>
              <w:t>2</w:t>
            </w:r>
            <w:r>
              <w:rPr>
                <w:rFonts w:hint="eastAsia" w:cs="Times New Roman"/>
                <w:snapToGrid w:val="0"/>
                <w:color w:val="auto"/>
                <w:kern w:val="0"/>
                <w:sz w:val="24"/>
                <w:szCs w:val="24"/>
                <w:lang w:val="en-US" w:eastAsia="zh-CN" w:bidi="ar-SA"/>
              </w:rPr>
              <w:t xml:space="preserve">O + </w:t>
            </w:r>
            <w:r>
              <w:rPr>
                <w:rFonts w:hint="default" w:ascii="Times New Roman" w:hAnsi="Times New Roman" w:eastAsia="宋体" w:cs="Times New Roman"/>
                <w:snapToGrid w:val="0"/>
                <w:color w:val="auto"/>
                <w:kern w:val="0"/>
                <w:sz w:val="24"/>
                <w:szCs w:val="24"/>
                <w:lang w:val="en-US" w:eastAsia="zh-CN" w:bidi="ar-SA"/>
              </w:rPr>
              <w:t>CO</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+H</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O</w:t>
            </w:r>
            <w:r>
              <w:rPr>
                <w:rFonts w:hint="eastAsia" w:cs="Times New Roman"/>
                <w:snapToGrid w:val="0"/>
                <w:color w:val="auto"/>
                <w:kern w:val="0"/>
                <w:sz w:val="24"/>
                <w:szCs w:val="24"/>
                <w:lang w:val="en-US" w:eastAsia="zh-CN" w:bidi="ar-SA"/>
              </w:rPr>
              <w:t>→Na</w:t>
            </w:r>
            <w:r>
              <w:rPr>
                <w:rFonts w:hint="eastAsia" w:cs="Times New Roman"/>
                <w:snapToGrid w:val="0"/>
                <w:color w:val="auto"/>
                <w:kern w:val="0"/>
                <w:sz w:val="24"/>
                <w:szCs w:val="24"/>
                <w:vertAlign w:val="subscript"/>
                <w:lang w:val="en-US" w:eastAsia="zh-CN" w:bidi="ar-SA"/>
              </w:rPr>
              <w:t>2</w:t>
            </w:r>
            <w:r>
              <w:rPr>
                <w:rFonts w:hint="eastAsia" w:cs="Times New Roman"/>
                <w:snapToGrid w:val="0"/>
                <w:color w:val="auto"/>
                <w:kern w:val="0"/>
                <w:sz w:val="24"/>
                <w:szCs w:val="24"/>
                <w:lang w:val="en-US" w:eastAsia="zh-CN" w:bidi="ar-SA"/>
              </w:rPr>
              <w:t>CO</w:t>
            </w:r>
            <w:r>
              <w:rPr>
                <w:rFonts w:hint="eastAsia" w:cs="Times New Roman"/>
                <w:snapToGrid w:val="0"/>
                <w:color w:val="auto"/>
                <w:kern w:val="0"/>
                <w:sz w:val="24"/>
                <w:szCs w:val="24"/>
                <w:vertAlign w:val="sub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+H</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O</w:t>
            </w:r>
          </w:p>
          <w:p w14:paraId="20969F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snapToGrid w:val="0"/>
                <w:color w:val="auto"/>
                <w:kern w:val="0"/>
                <w:sz w:val="24"/>
                <w:szCs w:val="24"/>
                <w:vertAlign w:val="baseline"/>
                <w:lang w:val="en-US" w:eastAsia="zh-CN" w:bidi="ar-SA"/>
              </w:rPr>
            </w:pPr>
            <w:r>
              <w:rPr>
                <w:rFonts w:hint="eastAsia" w:cs="Times New Roman"/>
                <w:snapToGrid w:val="0"/>
                <w:color w:val="auto"/>
                <w:kern w:val="0"/>
                <w:sz w:val="24"/>
                <w:szCs w:val="24"/>
                <w:vertAlign w:val="baseline"/>
                <w:lang w:val="en-US" w:eastAsia="zh-CN" w:bidi="ar-SA"/>
              </w:rPr>
              <w:t>分子质量：           61.98  44        105.99</w:t>
            </w:r>
          </w:p>
          <w:p w14:paraId="0FD2FC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snapToGrid w:val="0"/>
                <w:color w:val="auto"/>
                <w:kern w:val="0"/>
                <w:sz w:val="24"/>
                <w:szCs w:val="24"/>
                <w:vertAlign w:val="baseline"/>
                <w:lang w:val="en-US" w:eastAsia="zh-CN" w:bidi="ar-SA"/>
              </w:rPr>
            </w:pPr>
            <w:r>
              <w:rPr>
                <w:rFonts w:hint="eastAsia" w:cs="Times New Roman"/>
                <w:snapToGrid w:val="0"/>
                <w:color w:val="auto"/>
                <w:kern w:val="0"/>
                <w:sz w:val="24"/>
                <w:szCs w:val="24"/>
                <w:vertAlign w:val="baseline"/>
                <w:lang w:val="en-US" w:eastAsia="zh-CN" w:bidi="ar-SA"/>
              </w:rPr>
              <w:t>消耗/产生量：         6.12  4.34        10.47</w:t>
            </w:r>
          </w:p>
          <w:p w14:paraId="497D92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snapToGrid w:val="0"/>
                <w:color w:val="auto"/>
                <w:kern w:val="0"/>
                <w:sz w:val="24"/>
                <w:szCs w:val="24"/>
                <w:vertAlign w:val="baseline"/>
                <w:lang w:val="en-US" w:eastAsia="zh-CN" w:bidi="ar-SA"/>
              </w:rPr>
            </w:pPr>
            <w:r>
              <w:rPr>
                <w:rFonts w:hint="eastAsia" w:cs="Times New Roman"/>
                <w:snapToGrid w:val="0"/>
                <w:color w:val="auto"/>
                <w:kern w:val="0"/>
                <w:sz w:val="24"/>
                <w:szCs w:val="24"/>
                <w:vertAlign w:val="baseline"/>
                <w:lang w:val="en-US" w:eastAsia="zh-CN" w:bidi="ar-SA"/>
              </w:rPr>
              <w:t>根据后续“运营期环境影响和保护措施”分析，有组织氯化氢排放量为0.092t/a，无组织氯化氢排放量为0.075t/a，二级水喷淋收集的氯化氢量为0.8235t/a。</w:t>
            </w:r>
          </w:p>
          <w:p w14:paraId="30BE87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snapToGrid w:val="0"/>
                <w:color w:val="auto"/>
                <w:kern w:val="0"/>
                <w:sz w:val="24"/>
                <w:szCs w:val="24"/>
                <w:lang w:val="en-US" w:eastAsia="zh-CN" w:bidi="ar-SA"/>
              </w:rPr>
            </w:pPr>
            <w:r>
              <w:rPr>
                <w:rFonts w:hint="eastAsia" w:cs="Times New Roman"/>
                <w:snapToGrid w:val="0"/>
                <w:color w:val="auto"/>
                <w:kern w:val="0"/>
                <w:sz w:val="24"/>
                <w:szCs w:val="24"/>
                <w:vertAlign w:val="baseline"/>
                <w:lang w:val="en-US" w:eastAsia="zh-CN" w:bidi="ar-SA"/>
              </w:rPr>
              <w:t xml:space="preserve">综上所述，盐酸（100%浓度）用量为132.81t/a，则33%盐酸用量为402.45t/a。 </w:t>
            </w:r>
          </w:p>
          <w:p w14:paraId="7879A940">
            <w:pPr>
              <w:keepNext w:val="0"/>
              <w:keepLines w:val="0"/>
              <w:suppressLineNumbers w:val="0"/>
              <w:snapToGrid w:val="0"/>
              <w:spacing w:before="0" w:beforeAutospacing="0" w:after="0" w:afterAutospacing="0" w:line="360" w:lineRule="auto"/>
              <w:ind w:left="0" w:right="0" w:firstLine="482" w:firstLineChars="200"/>
              <w:rPr>
                <w:rFonts w:hint="default" w:ascii="Times New Roman" w:hAnsi="Times New Roman" w:eastAsia="宋体" w:cs="Times New Roman"/>
                <w:b w:val="0"/>
                <w:bCs w:val="0"/>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高纯晶体氧化铝粉：</w:t>
            </w:r>
            <w:r>
              <w:rPr>
                <w:rFonts w:hint="default" w:ascii="Times New Roman" w:hAnsi="Times New Roman" w:eastAsia="宋体" w:cs="Times New Roman"/>
                <w:b w:val="0"/>
                <w:bCs w:val="0"/>
                <w:color w:val="auto"/>
                <w:sz w:val="24"/>
                <w:szCs w:val="32"/>
                <w:highlight w:val="none"/>
                <w:lang w:val="en-US" w:eastAsia="zh-CN"/>
              </w:rPr>
              <w:t>高纯氧化铝粉，</w:t>
            </w:r>
            <w:r>
              <w:rPr>
                <w:rFonts w:hint="eastAsia" w:cs="Times New Roman"/>
                <w:b w:val="0"/>
                <w:bCs w:val="0"/>
                <w:color w:val="auto"/>
                <w:sz w:val="24"/>
                <w:szCs w:val="32"/>
                <w:highlight w:val="none"/>
                <w:lang w:val="en-US" w:eastAsia="zh-CN"/>
              </w:rPr>
              <w:t>属于分析纯</w:t>
            </w:r>
            <w:r>
              <w:rPr>
                <w:rFonts w:hint="default" w:ascii="Times New Roman" w:hAnsi="Times New Roman" w:eastAsia="宋体" w:cs="Times New Roman"/>
                <w:b w:val="0"/>
                <w:bCs w:val="0"/>
                <w:color w:val="auto"/>
                <w:sz w:val="24"/>
                <w:szCs w:val="32"/>
                <w:highlight w:val="none"/>
                <w:lang w:val="en-US" w:eastAsia="zh-CN"/>
              </w:rPr>
              <w:t>三氧化二铝，化学式为</w:t>
            </w:r>
            <w:r>
              <w:rPr>
                <w:rFonts w:hint="default" w:ascii="Times New Roman" w:hAnsi="Times New Roman" w:cs="Times New Roman"/>
                <w:b w:val="0"/>
                <w:bCs w:val="0"/>
                <w:color w:val="auto"/>
                <w:sz w:val="24"/>
                <w:szCs w:val="32"/>
                <w:highlight w:val="none"/>
                <w:lang w:val="en-US" w:eastAsia="zh-CN"/>
              </w:rPr>
              <w:t>α</w:t>
            </w:r>
            <w:r>
              <w:rPr>
                <w:rFonts w:hint="default" w:ascii="Times New Roman" w:hAnsi="Times New Roman" w:eastAsia="宋体" w:cs="Times New Roman"/>
                <w:b w:val="0"/>
                <w:bCs w:val="0"/>
                <w:color w:val="auto"/>
                <w:sz w:val="24"/>
                <w:szCs w:val="32"/>
                <w:highlight w:val="none"/>
                <w:lang w:val="en-US" w:eastAsia="zh-CN"/>
              </w:rPr>
              <w:t>Al₂O₃，分子量101.96，外观为白色无定形粉状物</w:t>
            </w:r>
            <w:r>
              <w:rPr>
                <w:rFonts w:hint="eastAsia" w:cs="Times New Roman"/>
                <w:b w:val="0"/>
                <w:bCs w:val="0"/>
                <w:color w:val="auto"/>
                <w:sz w:val="24"/>
                <w:szCs w:val="32"/>
                <w:highlight w:val="none"/>
                <w:lang w:val="en-US" w:eastAsia="zh-CN"/>
              </w:rPr>
              <w:t>，以氢氧化铝为原料，经高温煅烧得到氧化铝粉体</w:t>
            </w:r>
            <w:r>
              <w:rPr>
                <w:rFonts w:hint="default" w:ascii="Times New Roman" w:hAnsi="Times New Roman" w:eastAsia="宋体" w:cs="Times New Roman"/>
                <w:b w:val="0"/>
                <w:bCs w:val="0"/>
                <w:color w:val="auto"/>
                <w:sz w:val="24"/>
                <w:szCs w:val="32"/>
                <w:highlight w:val="none"/>
                <w:lang w:val="en-US" w:eastAsia="zh-CN"/>
              </w:rPr>
              <w:t>。</w:t>
            </w:r>
          </w:p>
          <w:p w14:paraId="76037EF8">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highlight w:val="none"/>
                <w:lang w:val="en-US" w:eastAsia="zh-CN"/>
              </w:rPr>
            </w:pPr>
            <w:r>
              <w:rPr>
                <w:rFonts w:hint="default" w:ascii="Times New Roman" w:hAnsi="Times New Roman" w:cs="Times New Roman"/>
                <w:b w:val="0"/>
                <w:bCs w:val="0"/>
                <w:color w:val="auto"/>
                <w:sz w:val="24"/>
                <w:szCs w:val="32"/>
                <w:highlight w:val="none"/>
                <w:lang w:val="en-US" w:eastAsia="zh-CN"/>
              </w:rPr>
              <w:t>α</w:t>
            </w:r>
            <w:r>
              <w:rPr>
                <w:rFonts w:hint="default" w:ascii="Times New Roman" w:hAnsi="Times New Roman" w:eastAsia="宋体" w:cs="Times New Roman"/>
                <w:b w:val="0"/>
                <w:bCs w:val="0"/>
                <w:color w:val="auto"/>
                <w:sz w:val="24"/>
                <w:szCs w:val="32"/>
                <w:highlight w:val="none"/>
                <w:lang w:val="en-US" w:eastAsia="zh-CN"/>
              </w:rPr>
              <w:t>Al₂O₃</w:t>
            </w:r>
            <w:r>
              <w:rPr>
                <w:rFonts w:hint="default" w:ascii="Times New Roman" w:hAnsi="Times New Roman" w:cs="Times New Roman"/>
                <w:b w:val="0"/>
                <w:bCs w:val="0"/>
                <w:color w:val="auto"/>
                <w:sz w:val="24"/>
                <w:szCs w:val="32"/>
                <w:highlight w:val="none"/>
                <w:lang w:val="en-US" w:eastAsia="zh-CN"/>
              </w:rPr>
              <w:t>结构稳定，化学性质不活泼，熔点高，硬度大，电绝缘性优良。α</w:t>
            </w:r>
            <w:r>
              <w:rPr>
                <w:rFonts w:hint="default" w:ascii="Times New Roman" w:hAnsi="Times New Roman" w:eastAsia="宋体" w:cs="Times New Roman"/>
                <w:b w:val="0"/>
                <w:bCs w:val="0"/>
                <w:color w:val="auto"/>
                <w:sz w:val="24"/>
                <w:szCs w:val="32"/>
                <w:highlight w:val="none"/>
                <w:lang w:val="en-US" w:eastAsia="zh-CN"/>
              </w:rPr>
              <w:t>Al₂O₃</w:t>
            </w:r>
            <w:r>
              <w:rPr>
                <w:rFonts w:hint="default" w:ascii="Times New Roman" w:hAnsi="Times New Roman" w:cs="Times New Roman"/>
                <w:b w:val="0"/>
                <w:bCs w:val="0"/>
                <w:color w:val="auto"/>
                <w:sz w:val="24"/>
                <w:szCs w:val="32"/>
                <w:highlight w:val="none"/>
                <w:lang w:val="en-US" w:eastAsia="zh-CN"/>
              </w:rPr>
              <w:t>属于三方晶系，其中O²⁻离子近似呈现六方最密堆积（HCP）排列。铝离子则填充在八面体空隙中，而氧离子则形成了紧密的排列。这种紧密的堆积方式赋予了晶体较高的晶格能。α</w:t>
            </w:r>
            <w:r>
              <w:rPr>
                <w:rFonts w:hint="default" w:ascii="Times New Roman" w:hAnsi="Times New Roman" w:eastAsia="宋体" w:cs="Times New Roman"/>
                <w:b w:val="0"/>
                <w:bCs w:val="0"/>
                <w:color w:val="auto"/>
                <w:sz w:val="24"/>
                <w:szCs w:val="32"/>
                <w:highlight w:val="none"/>
                <w:lang w:val="en-US" w:eastAsia="zh-CN"/>
              </w:rPr>
              <w:t>Al₂O₃</w:t>
            </w:r>
            <w:r>
              <w:rPr>
                <w:rFonts w:hint="default" w:ascii="Times New Roman" w:hAnsi="Times New Roman" w:cs="Times New Roman"/>
                <w:b w:val="0"/>
                <w:bCs w:val="0"/>
                <w:color w:val="auto"/>
                <w:sz w:val="24"/>
                <w:szCs w:val="32"/>
                <w:highlight w:val="none"/>
                <w:lang w:val="en-US" w:eastAsia="zh-CN"/>
              </w:rPr>
              <w:t>具有高熔点（约2050°C）和大硬度（莫氏硬度9），并且在化学性质上展现出了稳定性。</w:t>
            </w:r>
            <w:r>
              <w:rPr>
                <w:rFonts w:hint="default" w:ascii="Times New Roman" w:hAnsi="Times New Roman" w:cs="Times New Roman"/>
                <w:b/>
                <w:bCs/>
                <w:color w:val="auto"/>
                <w:sz w:val="24"/>
                <w:szCs w:val="32"/>
                <w:highlight w:val="none"/>
                <w:lang w:val="en-US" w:eastAsia="zh-CN"/>
              </w:rPr>
              <w:t>α</w:t>
            </w:r>
            <w:r>
              <w:rPr>
                <w:rFonts w:hint="default" w:ascii="Times New Roman" w:hAnsi="Times New Roman" w:eastAsia="宋体" w:cs="Times New Roman"/>
                <w:b/>
                <w:bCs/>
                <w:color w:val="auto"/>
                <w:sz w:val="24"/>
                <w:szCs w:val="32"/>
                <w:highlight w:val="none"/>
                <w:lang w:val="en-US" w:eastAsia="zh-CN"/>
              </w:rPr>
              <w:t>Al₂O₃</w:t>
            </w:r>
            <w:r>
              <w:rPr>
                <w:rFonts w:hint="default" w:ascii="Times New Roman" w:hAnsi="Times New Roman" w:cs="Times New Roman"/>
                <w:b/>
                <w:bCs/>
                <w:color w:val="auto"/>
                <w:sz w:val="24"/>
                <w:szCs w:val="32"/>
                <w:highlight w:val="none"/>
                <w:lang w:val="en-US" w:eastAsia="zh-CN"/>
              </w:rPr>
              <w:t>耐腐蚀且具有良好的电绝缘性，不溶于强酸和强碱，仅在高温熔融状态下会与强碱或浓硫酸发生缓慢反应</w:t>
            </w:r>
            <w:r>
              <w:rPr>
                <w:rFonts w:hint="default" w:ascii="Times New Roman" w:hAnsi="Times New Roman" w:eastAsia="宋体" w:cs="Times New Roman"/>
                <w:b w:val="0"/>
                <w:bCs w:val="0"/>
                <w:color w:val="auto"/>
                <w:sz w:val="24"/>
                <w:szCs w:val="32"/>
                <w:highlight w:val="none"/>
                <w:lang w:val="en-US" w:eastAsia="zh-CN"/>
              </w:rPr>
              <w:t>，广泛用于电子与新能源</w:t>
            </w:r>
            <w:r>
              <w:rPr>
                <w:rFonts w:hint="eastAsia" w:cs="Times New Roman"/>
                <w:b w:val="0"/>
                <w:bCs w:val="0"/>
                <w:color w:val="auto"/>
                <w:sz w:val="24"/>
                <w:szCs w:val="32"/>
                <w:highlight w:val="none"/>
                <w:lang w:val="en-US" w:eastAsia="zh-CN"/>
              </w:rPr>
              <w:t>、</w:t>
            </w:r>
            <w:r>
              <w:rPr>
                <w:rFonts w:hint="default" w:ascii="Times New Roman" w:hAnsi="Times New Roman" w:eastAsia="宋体" w:cs="Times New Roman"/>
                <w:b w:val="0"/>
                <w:bCs w:val="0"/>
                <w:color w:val="auto"/>
                <w:sz w:val="24"/>
                <w:szCs w:val="32"/>
                <w:highlight w:val="none"/>
                <w:lang w:val="en-US" w:eastAsia="zh-CN"/>
              </w:rPr>
              <w:t>LED人造蓝宝石晶体、高级陶瓷、高压钠灯、催化剂载体及航空航天等领域</w:t>
            </w:r>
            <w:r>
              <w:rPr>
                <w:rFonts w:hint="eastAsia" w:ascii="Times New Roman" w:hAnsi="Times New Roman" w:eastAsia="宋体" w:cs="Times New Roman"/>
                <w:b w:val="0"/>
                <w:bCs w:val="0"/>
                <w:color w:val="auto"/>
                <w:sz w:val="24"/>
                <w:szCs w:val="32"/>
                <w:highlight w:val="none"/>
                <w:lang w:val="en-US" w:eastAsia="zh-CN"/>
              </w:rPr>
              <w:t>。</w:t>
            </w:r>
          </w:p>
          <w:p w14:paraId="47E9E5F3">
            <w:pPr>
              <w:keepNext w:val="0"/>
              <w:keepLines w:val="0"/>
              <w:suppressLineNumbers w:val="0"/>
              <w:snapToGrid w:val="0"/>
              <w:spacing w:before="0" w:beforeAutospacing="0" w:after="0" w:afterAutospacing="0" w:line="360" w:lineRule="auto"/>
              <w:ind w:left="0" w:right="0" w:firstLine="482"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干冰：</w:t>
            </w:r>
            <w:r>
              <w:rPr>
                <w:rFonts w:hint="default" w:ascii="Times New Roman" w:hAnsi="Times New Roman" w:eastAsia="宋体" w:cs="Times New Roman"/>
                <w:color w:val="auto"/>
                <w:sz w:val="24"/>
                <w:szCs w:val="32"/>
                <w:highlight w:val="none"/>
                <w:lang w:val="en-US" w:eastAsia="zh-CN"/>
              </w:rPr>
              <w:t>白色晶体，常温下易升华，汽化热高，在常压下升华时可使周围温度迅速下降，因此干冰在空气中升华时会液化甚至进一步凝结空气中的水蒸气，形成的水蒸气液滴或小冰晶附着在空气中的灰尘上形成我们可见的白色烟雾。干冰晶体结构为简单立方，属于分子晶体。单个的二氧化碳分子以不同的取向位于立方体的顶点和面心上，堆积形成干冰晶体。</w:t>
            </w:r>
          </w:p>
          <w:p w14:paraId="575ADF74">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干冰的化学性质稳定，无味无毒，不可燃烧，也不支持燃烧。干冰属于酸性氧化物，具有酸性氧化物的通性，与水反应生成碳酸。</w:t>
            </w:r>
          </w:p>
          <w:p w14:paraId="2A29F54D">
            <w:pPr>
              <w:keepNext w:val="0"/>
              <w:keepLines w:val="0"/>
              <w:suppressLineNumbers w:val="0"/>
              <w:snapToGrid w:val="0"/>
              <w:spacing w:before="0" w:beforeAutospacing="0" w:after="0" w:afterAutospacing="0" w:line="360" w:lineRule="auto"/>
              <w:ind w:left="0" w:right="0" w:firstLine="482" w:firstLineChars="200"/>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b/>
                <w:bCs/>
                <w:color w:val="auto"/>
                <w:sz w:val="24"/>
                <w:szCs w:val="32"/>
                <w:highlight w:val="none"/>
                <w:lang w:val="en-US" w:eastAsia="zh-CN"/>
              </w:rPr>
              <w:t>工业盐酸</w:t>
            </w:r>
            <w:r>
              <w:rPr>
                <w:rFonts w:hint="default" w:ascii="Times New Roman" w:hAnsi="Times New Roman" w:eastAsia="宋体" w:cs="Times New Roman"/>
                <w:b/>
                <w:bCs/>
                <w:color w:val="auto"/>
                <w:sz w:val="24"/>
                <w:szCs w:val="32"/>
                <w:highlight w:val="none"/>
                <w:lang w:val="en-US" w:eastAsia="zh-CN"/>
              </w:rPr>
              <w:t>：</w:t>
            </w:r>
            <w:r>
              <w:rPr>
                <w:rFonts w:hint="eastAsia" w:cs="Times New Roman"/>
                <w:b w:val="0"/>
                <w:bCs w:val="0"/>
                <w:color w:val="auto"/>
                <w:sz w:val="24"/>
                <w:szCs w:val="32"/>
                <w:highlight w:val="none"/>
                <w:lang w:val="en-US" w:eastAsia="zh-CN"/>
              </w:rPr>
              <w:t>本项目使用的盐酸</w:t>
            </w:r>
            <w:r>
              <w:rPr>
                <w:rFonts w:hint="default" w:ascii="Times New Roman" w:hAnsi="Times New Roman" w:eastAsia="宋体" w:cs="Times New Roman"/>
                <w:b w:val="0"/>
                <w:bCs w:val="0"/>
                <w:color w:val="auto"/>
                <w:sz w:val="24"/>
                <w:szCs w:val="32"/>
                <w:highlight w:val="none"/>
                <w:lang w:val="en-US" w:eastAsia="zh-CN"/>
              </w:rPr>
              <w:t>通过</w:t>
            </w:r>
            <w:r>
              <w:rPr>
                <w:rFonts w:hint="eastAsia" w:cs="Times New Roman"/>
                <w:b w:val="0"/>
                <w:bCs w:val="0"/>
                <w:color w:val="auto"/>
                <w:sz w:val="24"/>
                <w:szCs w:val="32"/>
                <w:highlight w:val="none"/>
                <w:lang w:val="en-US" w:eastAsia="zh-CN"/>
              </w:rPr>
              <w:t>第三方企业</w:t>
            </w:r>
            <w:r>
              <w:rPr>
                <w:rFonts w:hint="default" w:ascii="Times New Roman" w:hAnsi="Times New Roman" w:eastAsia="宋体" w:cs="Times New Roman"/>
                <w:b w:val="0"/>
                <w:bCs w:val="0"/>
                <w:color w:val="auto"/>
                <w:sz w:val="24"/>
                <w:szCs w:val="32"/>
                <w:highlight w:val="none"/>
                <w:lang w:val="en-US" w:eastAsia="zh-CN"/>
              </w:rPr>
              <w:t>化学合成工艺制备，原料为高纯度氯化氢气体与水按比例混合，氯化氢气体通过水合反应生成盐酸，再经提纯至33%浓度</w:t>
            </w:r>
            <w:r>
              <w:rPr>
                <w:rFonts w:hint="eastAsia" w:cs="Times New Roman"/>
                <w:b w:val="0"/>
                <w:bCs w:val="0"/>
                <w:color w:val="auto"/>
                <w:sz w:val="24"/>
                <w:szCs w:val="32"/>
                <w:highlight w:val="none"/>
                <w:lang w:val="en-US" w:eastAsia="zh-CN"/>
              </w:rPr>
              <w:t>。不使用第三方企业副产酸。工业盐酸为</w:t>
            </w:r>
            <w:r>
              <w:rPr>
                <w:rFonts w:hint="default" w:ascii="Times New Roman" w:hAnsi="Times New Roman" w:eastAsia="宋体" w:cs="Times New Roman"/>
                <w:b w:val="0"/>
                <w:bCs w:val="0"/>
                <w:color w:val="auto"/>
                <w:sz w:val="24"/>
                <w:szCs w:val="32"/>
                <w:highlight w:val="none"/>
                <w:lang w:val="en-US" w:eastAsia="zh-CN"/>
              </w:rPr>
              <w:t>无色透明的液体，有强烈的刺鼻气味，具有较高的腐蚀性。浓盐酸具有极强的挥发性，因此盛有浓盐酸的容器打开后氯化氢气体会挥发，与空气中的水蒸气结合产生盐酸小液滴，使瓶口上方出现酸雾</w:t>
            </w:r>
            <w:r>
              <w:rPr>
                <w:rFonts w:hint="default" w:ascii="Times New Roman" w:hAnsi="Times New Roman" w:eastAsia="宋体" w:cs="Times New Roman"/>
                <w:color w:val="auto"/>
                <w:sz w:val="24"/>
                <w:szCs w:val="32"/>
                <w:highlight w:val="none"/>
                <w:lang w:val="en-US" w:eastAsia="zh-CN"/>
              </w:rPr>
              <w:t>。‌‌</w:t>
            </w:r>
          </w:p>
          <w:p w14:paraId="0AA08539">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bCs/>
                <w:color w:val="auto"/>
                <w:sz w:val="24"/>
                <w:szCs w:val="32"/>
                <w:highlight w:val="none"/>
                <w:lang w:val="en-US" w:eastAsia="zh-CN"/>
              </w:rPr>
              <w:t>片碱</w:t>
            </w:r>
            <w:r>
              <w:rPr>
                <w:rFonts w:hint="default" w:ascii="Times New Roman" w:hAnsi="Times New Roman" w:eastAsia="宋体" w:cs="Times New Roman"/>
                <w:b/>
                <w:bCs/>
                <w:color w:val="auto"/>
                <w:sz w:val="24"/>
                <w:szCs w:val="32"/>
                <w:highlight w:val="none"/>
                <w:lang w:val="en-US" w:eastAsia="zh-CN"/>
              </w:rPr>
              <w:t>：</w:t>
            </w:r>
            <w:r>
              <w:rPr>
                <w:rFonts w:hint="default" w:ascii="Times New Roman" w:hAnsi="Times New Roman" w:eastAsia="宋体" w:cs="Times New Roman"/>
                <w:b w:val="0"/>
                <w:bCs w:val="0"/>
                <w:color w:val="auto"/>
                <w:sz w:val="24"/>
                <w:szCs w:val="32"/>
                <w:highlight w:val="none"/>
                <w:lang w:val="en-US" w:eastAsia="zh-CN"/>
              </w:rPr>
              <w:t>是一种无机化合物，化学式NaOH，相对分子量为39.9970</w:t>
            </w:r>
            <w:r>
              <w:rPr>
                <w:rFonts w:hint="eastAsia" w:ascii="Times New Roman" w:hAnsi="Times New Roman" w:eastAsia="宋体" w:cs="Times New Roman"/>
                <w:b w:val="0"/>
                <w:bCs w:val="0"/>
                <w:color w:val="auto"/>
                <w:sz w:val="24"/>
                <w:szCs w:val="32"/>
                <w:highlight w:val="none"/>
                <w:lang w:val="en-US" w:eastAsia="zh-CN"/>
              </w:rPr>
              <w:t>。氢氧化钠具有强碱性，腐蚀性极强，可作酸中和剂、配合掩蔽剂、沉淀剂、沉淀掩蔽剂、显色剂、皂化剂、去皮剂、洗涤剂等，用途非常广泛。</w:t>
            </w:r>
          </w:p>
          <w:p w14:paraId="1F8D0196">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bCs/>
                <w:color w:val="auto"/>
                <w:sz w:val="24"/>
                <w:szCs w:val="32"/>
                <w:highlight w:val="none"/>
                <w:lang w:val="en-US" w:eastAsia="zh-CN"/>
              </w:rPr>
              <w:t>PAC</w:t>
            </w:r>
            <w:r>
              <w:rPr>
                <w:rFonts w:hint="default" w:ascii="Times New Roman" w:hAnsi="Times New Roman" w:eastAsia="宋体" w:cs="Times New Roman"/>
                <w:b/>
                <w:bCs/>
                <w:color w:val="auto"/>
                <w:sz w:val="24"/>
                <w:szCs w:val="32"/>
                <w:highlight w:val="none"/>
                <w:lang w:val="en-US" w:eastAsia="zh-CN"/>
              </w:rPr>
              <w:t>：</w:t>
            </w:r>
            <w:r>
              <w:rPr>
                <w:rFonts w:hint="default" w:ascii="Times New Roman" w:hAnsi="Times New Roman" w:eastAsia="宋体" w:cs="Times New Roman"/>
                <w:b w:val="0"/>
                <w:bCs w:val="0"/>
                <w:color w:val="auto"/>
                <w:sz w:val="24"/>
                <w:szCs w:val="32"/>
                <w:highlight w:val="none"/>
                <w:lang w:val="en-US" w:eastAsia="zh-CN"/>
              </w:rPr>
              <w:t>简称聚铝，是介于AlCl</w:t>
            </w:r>
            <w:r>
              <w:rPr>
                <w:rFonts w:hint="default" w:ascii="Times New Roman" w:hAnsi="Times New Roman" w:eastAsia="宋体" w:cs="Times New Roman"/>
                <w:b w:val="0"/>
                <w:bCs w:val="0"/>
                <w:color w:val="auto"/>
                <w:sz w:val="24"/>
                <w:szCs w:val="32"/>
                <w:highlight w:val="none"/>
                <w:vertAlign w:val="subscript"/>
                <w:lang w:val="en-US" w:eastAsia="zh-CN"/>
              </w:rPr>
              <w:t>3</w:t>
            </w:r>
            <w:r>
              <w:rPr>
                <w:rFonts w:hint="default" w:ascii="Times New Roman" w:hAnsi="Times New Roman" w:eastAsia="宋体" w:cs="Times New Roman"/>
                <w:b w:val="0"/>
                <w:bCs w:val="0"/>
                <w:color w:val="auto"/>
                <w:sz w:val="24"/>
                <w:szCs w:val="32"/>
                <w:highlight w:val="none"/>
                <w:lang w:val="en-US" w:eastAsia="zh-CN"/>
              </w:rPr>
              <w:t>和Al(OH)</w:t>
            </w:r>
            <w:r>
              <w:rPr>
                <w:rFonts w:hint="default" w:ascii="Times New Roman" w:hAnsi="Times New Roman" w:eastAsia="宋体" w:cs="Times New Roman"/>
                <w:b w:val="0"/>
                <w:bCs w:val="0"/>
                <w:color w:val="auto"/>
                <w:sz w:val="24"/>
                <w:szCs w:val="32"/>
                <w:highlight w:val="none"/>
                <w:vertAlign w:val="subscript"/>
                <w:lang w:val="en-US" w:eastAsia="zh-CN"/>
              </w:rPr>
              <w:t>3</w:t>
            </w:r>
            <w:r>
              <w:rPr>
                <w:rFonts w:hint="default" w:ascii="Times New Roman" w:hAnsi="Times New Roman" w:eastAsia="宋体" w:cs="Times New Roman"/>
                <w:b w:val="0"/>
                <w:bCs w:val="0"/>
                <w:color w:val="auto"/>
                <w:sz w:val="24"/>
                <w:szCs w:val="32"/>
                <w:highlight w:val="none"/>
                <w:lang w:val="en-US" w:eastAsia="zh-CN"/>
              </w:rPr>
              <w:t>之间的一种水溶性无机高分子聚合物，化学通式为[Al</w:t>
            </w:r>
            <w:r>
              <w:rPr>
                <w:rFonts w:hint="default" w:ascii="Times New Roman" w:hAnsi="Times New Roman" w:eastAsia="宋体" w:cs="Times New Roman"/>
                <w:b w:val="0"/>
                <w:bCs w:val="0"/>
                <w:color w:val="auto"/>
                <w:sz w:val="24"/>
                <w:szCs w:val="32"/>
                <w:highlight w:val="none"/>
                <w:vertAlign w:val="subscript"/>
                <w:lang w:val="en-US" w:eastAsia="zh-CN"/>
              </w:rPr>
              <w:t>2</w:t>
            </w:r>
            <w:r>
              <w:rPr>
                <w:rFonts w:hint="default" w:ascii="Times New Roman" w:hAnsi="Times New Roman" w:eastAsia="宋体" w:cs="Times New Roman"/>
                <w:b w:val="0"/>
                <w:bCs w:val="0"/>
                <w:color w:val="auto"/>
                <w:sz w:val="24"/>
                <w:szCs w:val="32"/>
                <w:highlight w:val="none"/>
                <w:lang w:val="en-US" w:eastAsia="zh-CN"/>
              </w:rPr>
              <w:t>(OH)nCl6-n]m，其中m代表聚合程度，n表示聚合氯化铝产品的中性程度，n=1~5为具有Keggin结构的高电荷聚合环链体，对水中胶体和颗粒物具有高度电中和及桥联作用，并可强力去除有毒物及重金属离子，性状稳定，常作为新兴净水材料、混凝剂，被广泛应用于饮用水、工业废水和城市污水的净化处理中</w:t>
            </w:r>
            <w:r>
              <w:rPr>
                <w:rFonts w:hint="eastAsia" w:ascii="Times New Roman" w:hAnsi="Times New Roman" w:eastAsia="宋体" w:cs="Times New Roman"/>
                <w:b w:val="0"/>
                <w:bCs w:val="0"/>
                <w:color w:val="auto"/>
                <w:sz w:val="24"/>
                <w:szCs w:val="32"/>
                <w:highlight w:val="none"/>
                <w:lang w:val="en-US" w:eastAsia="zh-CN"/>
              </w:rPr>
              <w:t>。</w:t>
            </w:r>
          </w:p>
          <w:p w14:paraId="0506043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本项目的物料平衡表详见</w:t>
            </w:r>
            <w:r>
              <w:rPr>
                <w:rFonts w:hint="eastAsia" w:ascii="Times New Roman" w:hAnsi="Times New Roman" w:eastAsia="宋体" w:cs="Times New Roman"/>
                <w:b w:val="0"/>
                <w:bCs w:val="0"/>
                <w:color w:val="auto"/>
                <w:sz w:val="24"/>
                <w:szCs w:val="24"/>
                <w:highlight w:val="none"/>
                <w:lang w:val="en-US" w:eastAsia="zh-CN"/>
              </w:rPr>
              <w:t>下</w:t>
            </w:r>
            <w:r>
              <w:rPr>
                <w:rFonts w:hint="default" w:ascii="Times New Roman" w:hAnsi="Times New Roman" w:eastAsia="宋体" w:cs="Times New Roman"/>
                <w:b w:val="0"/>
                <w:bCs w:val="0"/>
                <w:color w:val="auto"/>
                <w:sz w:val="24"/>
                <w:szCs w:val="24"/>
                <w:highlight w:val="none"/>
                <w:lang w:val="en-US" w:eastAsia="zh-CN"/>
              </w:rPr>
              <w:t>表。</w:t>
            </w:r>
          </w:p>
          <w:p w14:paraId="6C15F7AE">
            <w:pPr>
              <w:keepNext w:val="0"/>
              <w:keepLines w:val="0"/>
              <w:suppressLineNumbers w:val="0"/>
              <w:tabs>
                <w:tab w:val="left" w:pos="1680"/>
              </w:tabs>
              <w:spacing w:before="0" w:beforeAutospacing="0" w:after="0" w:afterAutospacing="0"/>
              <w:ind w:left="0" w:right="0"/>
              <w:jc w:val="right"/>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bCs/>
                <w:color w:val="auto"/>
                <w:highlight w:val="none"/>
              </w:rPr>
              <w:t>表2-</w:t>
            </w:r>
            <w:r>
              <w:rPr>
                <w:rFonts w:hint="eastAsia" w:ascii="Times New Roman" w:hAnsi="Times New Roman" w:cs="Times New Roman"/>
                <w:b/>
                <w:bCs/>
                <w:color w:val="auto"/>
                <w:highlight w:val="none"/>
                <w:lang w:val="en-US" w:eastAsia="zh-CN"/>
              </w:rPr>
              <w:t xml:space="preserve">4 </w:t>
            </w:r>
            <w:r>
              <w:rPr>
                <w:rFonts w:hint="eastAsia" w:cs="Times New Roman"/>
                <w:b/>
                <w:bCs/>
                <w:color w:val="auto"/>
                <w:highlight w:val="none"/>
                <w:lang w:val="en-US" w:eastAsia="zh-CN"/>
              </w:rPr>
              <w:t xml:space="preserve"> 全厂</w:t>
            </w:r>
            <w:r>
              <w:rPr>
                <w:rFonts w:hint="default" w:ascii="Times New Roman" w:hAnsi="Times New Roman" w:cs="Times New Roman"/>
                <w:b/>
                <w:bCs/>
                <w:color w:val="auto"/>
                <w:highlight w:val="none"/>
                <w:lang w:val="en-US" w:eastAsia="zh-CN"/>
              </w:rPr>
              <w:t>物料平衡表                                t/a</w:t>
            </w:r>
          </w:p>
          <w:tbl>
            <w:tblPr>
              <w:tblStyle w:val="32"/>
              <w:tblW w:w="496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62"/>
              <w:gridCol w:w="1064"/>
              <w:gridCol w:w="1220"/>
              <w:gridCol w:w="1493"/>
              <w:gridCol w:w="2216"/>
              <w:gridCol w:w="1620"/>
            </w:tblGrid>
            <w:tr w14:paraId="77695B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noWrap w:val="0"/>
                  <w:vAlign w:val="center"/>
                </w:tcPr>
                <w:p w14:paraId="48121EC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原料</w:t>
                  </w:r>
                </w:p>
              </w:tc>
              <w:tc>
                <w:tcPr>
                  <w:tcW w:w="702" w:type="pct"/>
                  <w:noWrap w:val="0"/>
                  <w:vAlign w:val="center"/>
                </w:tcPr>
                <w:p w14:paraId="047E961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用量</w:t>
                  </w:r>
                </w:p>
              </w:tc>
              <w:tc>
                <w:tcPr>
                  <w:tcW w:w="3072" w:type="pct"/>
                  <w:gridSpan w:val="3"/>
                  <w:noWrap w:val="0"/>
                  <w:vAlign w:val="center"/>
                </w:tcPr>
                <w:p w14:paraId="20162ED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产品及三废情况</w:t>
                  </w:r>
                </w:p>
              </w:tc>
            </w:tr>
            <w:tr w14:paraId="50A39D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restart"/>
                  <w:noWrap w:val="0"/>
                  <w:vAlign w:val="center"/>
                </w:tcPr>
                <w:p w14:paraId="1B8AF65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高纯晶体氧化铝粉</w:t>
                  </w:r>
                </w:p>
              </w:tc>
              <w:tc>
                <w:tcPr>
                  <w:tcW w:w="613" w:type="pct"/>
                  <w:noWrap w:val="0"/>
                  <w:vAlign w:val="center"/>
                </w:tcPr>
                <w:p w14:paraId="59E4BAF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color w:val="auto"/>
                      <w:sz w:val="21"/>
                      <w:szCs w:val="21"/>
                      <w:highlight w:val="none"/>
                      <w:lang w:val="en-US" w:eastAsia="zh-CN"/>
                    </w:rPr>
                    <w:t>α</w:t>
                  </w:r>
                  <w:r>
                    <w:rPr>
                      <w:rFonts w:hint="default" w:ascii="Times New Roman" w:hAnsi="Times New Roman" w:eastAsia="宋体" w:cs="Times New Roman"/>
                      <w:b w:val="0"/>
                      <w:bCs w:val="0"/>
                      <w:color w:val="auto"/>
                      <w:sz w:val="21"/>
                      <w:szCs w:val="21"/>
                      <w:highlight w:val="none"/>
                      <w:lang w:val="en-US" w:eastAsia="zh-CN"/>
                    </w:rPr>
                    <w:t>Al₂O₃</w:t>
                  </w:r>
                </w:p>
              </w:tc>
              <w:tc>
                <w:tcPr>
                  <w:tcW w:w="702" w:type="pct"/>
                  <w:noWrap w:val="0"/>
                  <w:vAlign w:val="center"/>
                </w:tcPr>
                <w:p w14:paraId="7248BA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35604</w:t>
                  </w:r>
                </w:p>
              </w:tc>
              <w:tc>
                <w:tcPr>
                  <w:tcW w:w="860" w:type="pct"/>
                  <w:vMerge w:val="restart"/>
                  <w:noWrap w:val="0"/>
                  <w:vAlign w:val="center"/>
                </w:tcPr>
                <w:p w14:paraId="64AFE3D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产品</w:t>
                  </w:r>
                </w:p>
              </w:tc>
              <w:tc>
                <w:tcPr>
                  <w:tcW w:w="1277" w:type="pct"/>
                  <w:shd w:val="clear" w:color="auto" w:fill="auto"/>
                  <w:noWrap w:val="0"/>
                  <w:vAlign w:val="center"/>
                </w:tcPr>
                <w:p w14:paraId="53043AAB">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cs="Times New Roman"/>
                      <w:b w:val="0"/>
                      <w:bCs w:val="0"/>
                      <w:color w:val="auto"/>
                      <w:sz w:val="21"/>
                      <w:szCs w:val="21"/>
                      <w:highlight w:val="none"/>
                      <w:lang w:val="en-US" w:eastAsia="zh-CN"/>
                    </w:rPr>
                    <w:t>α</w:t>
                  </w:r>
                  <w:r>
                    <w:rPr>
                      <w:rFonts w:hint="default" w:ascii="Times New Roman" w:hAnsi="Times New Roman" w:eastAsia="宋体" w:cs="Times New Roman"/>
                      <w:b w:val="0"/>
                      <w:bCs w:val="0"/>
                      <w:color w:val="auto"/>
                      <w:sz w:val="21"/>
                      <w:szCs w:val="21"/>
                      <w:highlight w:val="none"/>
                      <w:lang w:val="en-US" w:eastAsia="zh-CN"/>
                    </w:rPr>
                    <w:t>Al₂O₃</w:t>
                  </w:r>
                </w:p>
              </w:tc>
              <w:tc>
                <w:tcPr>
                  <w:tcW w:w="933" w:type="pct"/>
                  <w:noWrap w:val="0"/>
                  <w:vAlign w:val="center"/>
                </w:tcPr>
                <w:p w14:paraId="16A4B3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kern w:val="2"/>
                      <w:sz w:val="21"/>
                      <w:szCs w:val="24"/>
                      <w:highlight w:val="none"/>
                      <w:lang w:val="en-US" w:eastAsia="zh-CN" w:bidi="ar-SA"/>
                    </w:rPr>
                    <w:t>35599.6975</w:t>
                  </w:r>
                </w:p>
              </w:tc>
            </w:tr>
            <w:tr w14:paraId="242216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continue"/>
                  <w:noWrap w:val="0"/>
                  <w:vAlign w:val="center"/>
                </w:tcPr>
                <w:p w14:paraId="24BAACA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p>
              </w:tc>
              <w:tc>
                <w:tcPr>
                  <w:tcW w:w="613" w:type="pct"/>
                  <w:shd w:val="clear" w:color="auto" w:fill="auto"/>
                  <w:noWrap w:val="0"/>
                  <w:vAlign w:val="center"/>
                </w:tcPr>
                <w:p w14:paraId="7794ADD7">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sz w:val="21"/>
                      <w:szCs w:val="21"/>
                      <w:highlight w:val="none"/>
                      <w:lang w:val="en-US" w:eastAsia="zh-CN"/>
                    </w:rPr>
                    <w:t>Na</w:t>
                  </w:r>
                  <w:r>
                    <w:rPr>
                      <w:rFonts w:hint="eastAsia" w:cs="Times New Roman"/>
                      <w:b w:val="0"/>
                      <w:bCs w:val="0"/>
                      <w:color w:val="auto"/>
                      <w:sz w:val="21"/>
                      <w:szCs w:val="21"/>
                      <w:highlight w:val="none"/>
                      <w:vertAlign w:val="subscript"/>
                      <w:lang w:val="en-US" w:eastAsia="zh-CN"/>
                    </w:rPr>
                    <w:t>2</w:t>
                  </w:r>
                  <w:r>
                    <w:rPr>
                      <w:rFonts w:hint="eastAsia" w:cs="Times New Roman"/>
                      <w:b w:val="0"/>
                      <w:bCs w:val="0"/>
                      <w:color w:val="auto"/>
                      <w:sz w:val="21"/>
                      <w:szCs w:val="21"/>
                      <w:highlight w:val="none"/>
                      <w:lang w:val="en-US" w:eastAsia="zh-CN"/>
                    </w:rPr>
                    <w:t>O</w:t>
                  </w:r>
                </w:p>
              </w:tc>
              <w:tc>
                <w:tcPr>
                  <w:tcW w:w="702" w:type="pct"/>
                  <w:shd w:val="clear" w:color="auto" w:fill="auto"/>
                  <w:noWrap w:val="0"/>
                  <w:vAlign w:val="center"/>
                </w:tcPr>
                <w:p w14:paraId="367EA40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122.4</w:t>
                  </w:r>
                </w:p>
              </w:tc>
              <w:tc>
                <w:tcPr>
                  <w:tcW w:w="860" w:type="pct"/>
                  <w:vMerge w:val="continue"/>
                  <w:noWrap w:val="0"/>
                  <w:vAlign w:val="center"/>
                </w:tcPr>
                <w:p w14:paraId="4B0A511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p>
              </w:tc>
              <w:tc>
                <w:tcPr>
                  <w:tcW w:w="1277" w:type="pct"/>
                  <w:tcBorders>
                    <w:left w:val="single" w:color="auto" w:sz="4" w:space="0"/>
                  </w:tcBorders>
                  <w:shd w:val="clear" w:color="auto" w:fill="auto"/>
                  <w:noWrap w:val="0"/>
                  <w:vAlign w:val="center"/>
                </w:tcPr>
                <w:p w14:paraId="0FE5882E">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sz w:val="21"/>
                      <w:szCs w:val="21"/>
                      <w:highlight w:val="none"/>
                      <w:lang w:val="en-US" w:eastAsia="zh-CN"/>
                    </w:rPr>
                    <w:t>Na</w:t>
                  </w:r>
                  <w:r>
                    <w:rPr>
                      <w:rFonts w:hint="eastAsia" w:cs="Times New Roman"/>
                      <w:b w:val="0"/>
                      <w:bCs w:val="0"/>
                      <w:color w:val="auto"/>
                      <w:sz w:val="21"/>
                      <w:szCs w:val="21"/>
                      <w:highlight w:val="none"/>
                      <w:vertAlign w:val="subscript"/>
                      <w:lang w:val="en-US" w:eastAsia="zh-CN"/>
                    </w:rPr>
                    <w:t>2</w:t>
                  </w:r>
                  <w:r>
                    <w:rPr>
                      <w:rFonts w:hint="eastAsia" w:cs="Times New Roman"/>
                      <w:b w:val="0"/>
                      <w:bCs w:val="0"/>
                      <w:color w:val="auto"/>
                      <w:sz w:val="21"/>
                      <w:szCs w:val="21"/>
                      <w:highlight w:val="none"/>
                      <w:lang w:val="en-US" w:eastAsia="zh-CN"/>
                    </w:rPr>
                    <w:t>O</w:t>
                  </w:r>
                </w:p>
              </w:tc>
              <w:tc>
                <w:tcPr>
                  <w:tcW w:w="933" w:type="pct"/>
                  <w:noWrap w:val="0"/>
                  <w:vAlign w:val="center"/>
                </w:tcPr>
                <w:p w14:paraId="2136FF16">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6.12</w:t>
                  </w:r>
                </w:p>
              </w:tc>
            </w:tr>
            <w:tr w14:paraId="3383CF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continue"/>
                  <w:noWrap w:val="0"/>
                  <w:vAlign w:val="center"/>
                </w:tcPr>
                <w:p w14:paraId="5831923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p>
              </w:tc>
              <w:tc>
                <w:tcPr>
                  <w:tcW w:w="613" w:type="pct"/>
                  <w:shd w:val="clear" w:color="auto" w:fill="auto"/>
                  <w:noWrap w:val="0"/>
                  <w:vAlign w:val="center"/>
                </w:tcPr>
                <w:p w14:paraId="42EA7088">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sz w:val="21"/>
                      <w:szCs w:val="21"/>
                      <w:highlight w:val="none"/>
                      <w:lang w:val="en-US" w:eastAsia="zh-CN"/>
                    </w:rPr>
                    <w:t>Fe</w:t>
                  </w:r>
                  <w:r>
                    <w:rPr>
                      <w:rFonts w:hint="eastAsia" w:cs="Times New Roman"/>
                      <w:b w:val="0"/>
                      <w:bCs w:val="0"/>
                      <w:color w:val="auto"/>
                      <w:sz w:val="21"/>
                      <w:szCs w:val="21"/>
                      <w:highlight w:val="none"/>
                      <w:vertAlign w:val="subscript"/>
                      <w:lang w:val="en-US" w:eastAsia="zh-CN"/>
                    </w:rPr>
                    <w:t>2</w:t>
                  </w:r>
                  <w:r>
                    <w:rPr>
                      <w:rFonts w:hint="eastAsia" w:cs="Times New Roman"/>
                      <w:b w:val="0"/>
                      <w:bCs w:val="0"/>
                      <w:color w:val="auto"/>
                      <w:sz w:val="21"/>
                      <w:szCs w:val="21"/>
                      <w:highlight w:val="none"/>
                      <w:lang w:val="en-US" w:eastAsia="zh-CN"/>
                    </w:rPr>
                    <w:t>O</w:t>
                  </w:r>
                  <w:r>
                    <w:rPr>
                      <w:rFonts w:hint="eastAsia" w:cs="Times New Roman"/>
                      <w:b w:val="0"/>
                      <w:bCs w:val="0"/>
                      <w:color w:val="auto"/>
                      <w:sz w:val="21"/>
                      <w:szCs w:val="21"/>
                      <w:highlight w:val="none"/>
                      <w:vertAlign w:val="subscript"/>
                      <w:lang w:val="en-US" w:eastAsia="zh-CN"/>
                    </w:rPr>
                    <w:t>3</w:t>
                  </w:r>
                </w:p>
              </w:tc>
              <w:tc>
                <w:tcPr>
                  <w:tcW w:w="702" w:type="pct"/>
                  <w:shd w:val="clear" w:color="auto" w:fill="auto"/>
                  <w:noWrap w:val="0"/>
                  <w:vAlign w:val="center"/>
                </w:tcPr>
                <w:p w14:paraId="67C0D101">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1.8</w:t>
                  </w:r>
                </w:p>
              </w:tc>
              <w:tc>
                <w:tcPr>
                  <w:tcW w:w="860" w:type="pct"/>
                  <w:vMerge w:val="continue"/>
                  <w:noWrap w:val="0"/>
                  <w:vAlign w:val="center"/>
                </w:tcPr>
                <w:p w14:paraId="19BD0EA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p>
              </w:tc>
              <w:tc>
                <w:tcPr>
                  <w:tcW w:w="1277" w:type="pct"/>
                  <w:tcBorders>
                    <w:left w:val="single" w:color="auto" w:sz="4" w:space="0"/>
                  </w:tcBorders>
                  <w:shd w:val="clear" w:color="auto" w:fill="auto"/>
                  <w:noWrap w:val="0"/>
                  <w:vAlign w:val="center"/>
                </w:tcPr>
                <w:p w14:paraId="63F3D0F6">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sz w:val="21"/>
                      <w:szCs w:val="21"/>
                      <w:highlight w:val="none"/>
                      <w:lang w:val="en-US" w:eastAsia="zh-CN"/>
                    </w:rPr>
                    <w:t>Fe</w:t>
                  </w:r>
                  <w:r>
                    <w:rPr>
                      <w:rFonts w:hint="eastAsia" w:cs="Times New Roman"/>
                      <w:b w:val="0"/>
                      <w:bCs w:val="0"/>
                      <w:color w:val="auto"/>
                      <w:sz w:val="21"/>
                      <w:szCs w:val="21"/>
                      <w:highlight w:val="none"/>
                      <w:vertAlign w:val="subscript"/>
                      <w:lang w:val="en-US" w:eastAsia="zh-CN"/>
                    </w:rPr>
                    <w:t>2</w:t>
                  </w:r>
                  <w:r>
                    <w:rPr>
                      <w:rFonts w:hint="eastAsia" w:cs="Times New Roman"/>
                      <w:b w:val="0"/>
                      <w:bCs w:val="0"/>
                      <w:color w:val="auto"/>
                      <w:sz w:val="21"/>
                      <w:szCs w:val="21"/>
                      <w:highlight w:val="none"/>
                      <w:lang w:val="en-US" w:eastAsia="zh-CN"/>
                    </w:rPr>
                    <w:t>O</w:t>
                  </w:r>
                  <w:r>
                    <w:rPr>
                      <w:rFonts w:hint="eastAsia" w:cs="Times New Roman"/>
                      <w:b w:val="0"/>
                      <w:bCs w:val="0"/>
                      <w:color w:val="auto"/>
                      <w:sz w:val="21"/>
                      <w:szCs w:val="21"/>
                      <w:highlight w:val="none"/>
                      <w:vertAlign w:val="subscript"/>
                      <w:lang w:val="en-US" w:eastAsia="zh-CN"/>
                    </w:rPr>
                    <w:t>3</w:t>
                  </w:r>
                </w:p>
              </w:tc>
              <w:tc>
                <w:tcPr>
                  <w:tcW w:w="933" w:type="pct"/>
                  <w:noWrap w:val="0"/>
                  <w:vAlign w:val="center"/>
                </w:tcPr>
                <w:p w14:paraId="2DA3252B">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0.18</w:t>
                  </w:r>
                </w:p>
              </w:tc>
            </w:tr>
            <w:tr w14:paraId="2BAB58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continue"/>
                  <w:noWrap w:val="0"/>
                  <w:vAlign w:val="center"/>
                </w:tcPr>
                <w:p w14:paraId="1CE5779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p>
              </w:tc>
              <w:tc>
                <w:tcPr>
                  <w:tcW w:w="613" w:type="pct"/>
                  <w:shd w:val="clear" w:color="auto" w:fill="auto"/>
                  <w:noWrap w:val="0"/>
                  <w:vAlign w:val="center"/>
                </w:tcPr>
                <w:p w14:paraId="4E692587">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sz w:val="21"/>
                      <w:szCs w:val="21"/>
                      <w:highlight w:val="none"/>
                      <w:lang w:val="en-US" w:eastAsia="zh-CN"/>
                    </w:rPr>
                    <w:t>SiO</w:t>
                  </w:r>
                  <w:r>
                    <w:rPr>
                      <w:rFonts w:hint="eastAsia" w:cs="Times New Roman"/>
                      <w:b w:val="0"/>
                      <w:bCs w:val="0"/>
                      <w:color w:val="auto"/>
                      <w:sz w:val="21"/>
                      <w:szCs w:val="21"/>
                      <w:highlight w:val="none"/>
                      <w:vertAlign w:val="subscript"/>
                      <w:lang w:val="en-US" w:eastAsia="zh-CN"/>
                    </w:rPr>
                    <w:t>2</w:t>
                  </w:r>
                </w:p>
              </w:tc>
              <w:tc>
                <w:tcPr>
                  <w:tcW w:w="702" w:type="pct"/>
                  <w:shd w:val="clear" w:color="auto" w:fill="auto"/>
                  <w:noWrap w:val="0"/>
                  <w:vAlign w:val="center"/>
                </w:tcPr>
                <w:p w14:paraId="2117712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1.8</w:t>
                  </w:r>
                </w:p>
              </w:tc>
              <w:tc>
                <w:tcPr>
                  <w:tcW w:w="860" w:type="pct"/>
                  <w:vMerge w:val="continue"/>
                  <w:noWrap w:val="0"/>
                  <w:vAlign w:val="center"/>
                </w:tcPr>
                <w:p w14:paraId="3D54980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p>
              </w:tc>
              <w:tc>
                <w:tcPr>
                  <w:tcW w:w="1277" w:type="pct"/>
                  <w:tcBorders>
                    <w:left w:val="single" w:color="auto" w:sz="4" w:space="0"/>
                  </w:tcBorders>
                  <w:noWrap w:val="0"/>
                  <w:vAlign w:val="center"/>
                </w:tcPr>
                <w:p w14:paraId="65BA28DD">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b w:val="0"/>
                      <w:bCs w:val="0"/>
                      <w:color w:val="auto"/>
                      <w:sz w:val="21"/>
                      <w:szCs w:val="24"/>
                      <w:lang w:val="en-US" w:eastAsia="zh-CN"/>
                    </w:rPr>
                  </w:pPr>
                  <w:r>
                    <w:rPr>
                      <w:rFonts w:hint="eastAsia" w:cs="Times New Roman"/>
                      <w:b w:val="0"/>
                      <w:bCs w:val="0"/>
                      <w:color w:val="auto"/>
                      <w:sz w:val="21"/>
                      <w:szCs w:val="21"/>
                      <w:highlight w:val="none"/>
                      <w:lang w:val="en-US" w:eastAsia="zh-CN"/>
                    </w:rPr>
                    <w:t>SiO</w:t>
                  </w:r>
                  <w:r>
                    <w:rPr>
                      <w:rFonts w:hint="eastAsia" w:cs="Times New Roman"/>
                      <w:b w:val="0"/>
                      <w:bCs w:val="0"/>
                      <w:color w:val="auto"/>
                      <w:sz w:val="21"/>
                      <w:szCs w:val="21"/>
                      <w:highlight w:val="none"/>
                      <w:vertAlign w:val="subscript"/>
                      <w:lang w:val="en-US" w:eastAsia="zh-CN"/>
                    </w:rPr>
                    <w:t>2</w:t>
                  </w:r>
                </w:p>
              </w:tc>
              <w:tc>
                <w:tcPr>
                  <w:tcW w:w="933" w:type="pct"/>
                  <w:noWrap w:val="0"/>
                  <w:vAlign w:val="center"/>
                </w:tcPr>
                <w:p w14:paraId="6D631CAE">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1.8</w:t>
                  </w:r>
                </w:p>
              </w:tc>
            </w:tr>
            <w:tr w14:paraId="026ED9A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continue"/>
                  <w:noWrap w:val="0"/>
                  <w:vAlign w:val="center"/>
                </w:tcPr>
                <w:p w14:paraId="03B11B8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p>
              </w:tc>
              <w:tc>
                <w:tcPr>
                  <w:tcW w:w="613" w:type="pct"/>
                  <w:shd w:val="clear" w:color="auto" w:fill="auto"/>
                  <w:noWrap w:val="0"/>
                  <w:vAlign w:val="center"/>
                </w:tcPr>
                <w:p w14:paraId="6557AEE9">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水分</w:t>
                  </w:r>
                </w:p>
              </w:tc>
              <w:tc>
                <w:tcPr>
                  <w:tcW w:w="702" w:type="pct"/>
                  <w:shd w:val="clear" w:color="auto" w:fill="auto"/>
                  <w:noWrap w:val="0"/>
                  <w:vAlign w:val="center"/>
                </w:tcPr>
                <w:p w14:paraId="54E0BE1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270</w:t>
                  </w:r>
                </w:p>
              </w:tc>
              <w:tc>
                <w:tcPr>
                  <w:tcW w:w="860" w:type="pct"/>
                  <w:vMerge w:val="continue"/>
                  <w:noWrap w:val="0"/>
                  <w:vAlign w:val="center"/>
                </w:tcPr>
                <w:p w14:paraId="7B5BF64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p>
              </w:tc>
              <w:tc>
                <w:tcPr>
                  <w:tcW w:w="1277" w:type="pct"/>
                  <w:tcBorders>
                    <w:left w:val="single" w:color="auto" w:sz="4" w:space="0"/>
                  </w:tcBorders>
                  <w:shd w:val="clear" w:color="auto" w:fill="auto"/>
                  <w:noWrap w:val="0"/>
                  <w:vAlign w:val="center"/>
                </w:tcPr>
                <w:p w14:paraId="51BE615A">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水分</w:t>
                  </w:r>
                </w:p>
              </w:tc>
              <w:tc>
                <w:tcPr>
                  <w:tcW w:w="933" w:type="pct"/>
                  <w:shd w:val="clear" w:color="auto" w:fill="auto"/>
                  <w:noWrap w:val="0"/>
                  <w:vAlign w:val="center"/>
                </w:tcPr>
                <w:p w14:paraId="0D74AE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27</w:t>
                  </w:r>
                </w:p>
              </w:tc>
            </w:tr>
            <w:tr w14:paraId="438573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restart"/>
                  <w:shd w:val="clear" w:color="auto" w:fill="auto"/>
                  <w:noWrap w:val="0"/>
                  <w:vAlign w:val="center"/>
                </w:tcPr>
                <w:p w14:paraId="08F63817">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highlight w:val="none"/>
                      <w:lang w:val="en-US" w:eastAsia="zh-CN"/>
                    </w:rPr>
                    <w:t>33%</w:t>
                  </w:r>
                  <w:r>
                    <w:rPr>
                      <w:rFonts w:hint="eastAsia" w:ascii="Times New Roman" w:hAnsi="Times New Roman" w:eastAsia="宋体" w:cs="Times New Roman"/>
                      <w:b w:val="0"/>
                      <w:bCs w:val="0"/>
                      <w:color w:val="auto"/>
                      <w:highlight w:val="none"/>
                      <w:lang w:val="en-US" w:eastAsia="zh-CN"/>
                    </w:rPr>
                    <w:t>盐酸</w:t>
                  </w:r>
                </w:p>
              </w:tc>
              <w:tc>
                <w:tcPr>
                  <w:tcW w:w="613" w:type="pct"/>
                  <w:shd w:val="clear" w:color="auto" w:fill="auto"/>
                  <w:noWrap w:val="0"/>
                  <w:vAlign w:val="center"/>
                </w:tcPr>
                <w:p w14:paraId="003497CC">
                  <w:pPr>
                    <w:keepNext w:val="0"/>
                    <w:keepLines w:val="0"/>
                    <w:suppressLineNumbers w:val="0"/>
                    <w:autoSpaceDE w:val="0"/>
                    <w:autoSpaceDN w:val="0"/>
                    <w:spacing w:before="0" w:beforeAutospacing="0" w:after="0" w:afterAutospacing="0"/>
                    <w:ind w:left="0" w:leftChars="0" w:right="0" w:rightChars="0"/>
                    <w:jc w:val="center"/>
                    <w:rPr>
                      <w:rFonts w:hint="default" w:cs="Times New Roman"/>
                      <w:b w:val="0"/>
                      <w:bCs w:val="0"/>
                      <w:color w:val="auto"/>
                      <w:highlight w:val="none"/>
                      <w:lang w:val="en-US" w:eastAsia="zh-CN"/>
                    </w:rPr>
                  </w:pPr>
                  <w:r>
                    <w:rPr>
                      <w:rFonts w:hint="eastAsia" w:cs="Times New Roman"/>
                      <w:b w:val="0"/>
                      <w:bCs w:val="0"/>
                      <w:color w:val="auto"/>
                      <w:highlight w:val="none"/>
                      <w:lang w:val="en-US" w:eastAsia="zh-CN"/>
                    </w:rPr>
                    <w:t>盐酸</w:t>
                  </w:r>
                </w:p>
              </w:tc>
              <w:tc>
                <w:tcPr>
                  <w:tcW w:w="702" w:type="pct"/>
                  <w:shd w:val="clear" w:color="auto" w:fill="auto"/>
                  <w:noWrap w:val="0"/>
                  <w:vAlign w:val="center"/>
                </w:tcPr>
                <w:p w14:paraId="772981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132.81</w:t>
                  </w:r>
                </w:p>
              </w:tc>
              <w:tc>
                <w:tcPr>
                  <w:tcW w:w="860" w:type="pct"/>
                  <w:vMerge w:val="restart"/>
                  <w:tcBorders>
                    <w:right w:val="single" w:color="auto" w:sz="4" w:space="0"/>
                  </w:tcBorders>
                  <w:noWrap w:val="0"/>
                  <w:vAlign w:val="center"/>
                </w:tcPr>
                <w:p w14:paraId="09DA477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highlight w:val="none"/>
                      <w:lang w:val="en-US" w:eastAsia="zh-CN"/>
                    </w:rPr>
                    <w:t>车间有组织</w:t>
                  </w:r>
                </w:p>
              </w:tc>
              <w:tc>
                <w:tcPr>
                  <w:tcW w:w="1277" w:type="pct"/>
                  <w:tcBorders>
                    <w:left w:val="single" w:color="auto" w:sz="4" w:space="0"/>
                  </w:tcBorders>
                  <w:noWrap w:val="0"/>
                  <w:vAlign w:val="center"/>
                </w:tcPr>
                <w:p w14:paraId="7CEBA21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sz w:val="21"/>
                      <w:szCs w:val="24"/>
                      <w:lang w:val="en-US" w:eastAsia="zh-CN"/>
                    </w:rPr>
                    <w:t>氯化氢</w:t>
                  </w:r>
                </w:p>
              </w:tc>
              <w:tc>
                <w:tcPr>
                  <w:tcW w:w="933" w:type="pct"/>
                  <w:noWrap w:val="0"/>
                  <w:vAlign w:val="center"/>
                </w:tcPr>
                <w:p w14:paraId="558B36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0.092</w:t>
                  </w:r>
                </w:p>
              </w:tc>
            </w:tr>
            <w:tr w14:paraId="56F9C9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611" w:type="pct"/>
                  <w:vMerge w:val="continue"/>
                  <w:shd w:val="clear" w:color="auto" w:fill="auto"/>
                  <w:noWrap w:val="0"/>
                  <w:vAlign w:val="center"/>
                </w:tcPr>
                <w:p w14:paraId="0E753DF9">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613" w:type="pct"/>
                  <w:shd w:val="clear" w:color="auto" w:fill="auto"/>
                  <w:noWrap w:val="0"/>
                  <w:vAlign w:val="center"/>
                </w:tcPr>
                <w:p w14:paraId="75317634">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水</w:t>
                  </w:r>
                </w:p>
              </w:tc>
              <w:tc>
                <w:tcPr>
                  <w:tcW w:w="702" w:type="pct"/>
                  <w:shd w:val="clear" w:color="auto" w:fill="auto"/>
                  <w:noWrap w:val="0"/>
                  <w:vAlign w:val="center"/>
                </w:tcPr>
                <w:p w14:paraId="5D443D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269.64</w:t>
                  </w:r>
                </w:p>
              </w:tc>
              <w:tc>
                <w:tcPr>
                  <w:tcW w:w="860" w:type="pct"/>
                  <w:vMerge w:val="continue"/>
                  <w:tcBorders>
                    <w:right w:val="single" w:color="auto" w:sz="4" w:space="0"/>
                  </w:tcBorders>
                  <w:noWrap w:val="0"/>
                  <w:vAlign w:val="center"/>
                </w:tcPr>
                <w:p w14:paraId="0914FCC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1277" w:type="pct"/>
                  <w:tcBorders>
                    <w:left w:val="single" w:color="auto" w:sz="4" w:space="0"/>
                  </w:tcBorders>
                  <w:noWrap w:val="0"/>
                  <w:vAlign w:val="center"/>
                </w:tcPr>
                <w:p w14:paraId="1D418EE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highlight w:val="none"/>
                      <w:lang w:val="en-US" w:eastAsia="zh-CN"/>
                    </w:rPr>
                    <w:t>颗粒物</w:t>
                  </w:r>
                </w:p>
              </w:tc>
              <w:tc>
                <w:tcPr>
                  <w:tcW w:w="933" w:type="pct"/>
                  <w:noWrap w:val="0"/>
                  <w:vAlign w:val="center"/>
                </w:tcPr>
                <w:p w14:paraId="311E14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0.039</w:t>
                  </w:r>
                </w:p>
              </w:tc>
            </w:tr>
            <w:tr w14:paraId="2D1369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7D142B51">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ascii="Times New Roman" w:hAnsi="Times New Roman" w:eastAsia="宋体" w:cs="Times New Roman"/>
                      <w:b w:val="0"/>
                      <w:bCs w:val="0"/>
                      <w:color w:val="auto"/>
                      <w:highlight w:val="none"/>
                      <w:lang w:val="en-US" w:eastAsia="zh-CN"/>
                    </w:rPr>
                    <w:t>干冰</w:t>
                  </w:r>
                </w:p>
              </w:tc>
              <w:tc>
                <w:tcPr>
                  <w:tcW w:w="702" w:type="pct"/>
                  <w:shd w:val="clear" w:color="auto" w:fill="auto"/>
                  <w:noWrap w:val="0"/>
                  <w:vAlign w:val="center"/>
                </w:tcPr>
                <w:p w14:paraId="41BAB6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ascii="Times New Roman" w:hAnsi="Times New Roman" w:eastAsia="宋体" w:cs="Times New Roman"/>
                      <w:b w:val="0"/>
                      <w:bCs w:val="0"/>
                      <w:color w:val="auto"/>
                      <w:highlight w:val="none"/>
                      <w:lang w:val="en-US" w:eastAsia="zh-CN"/>
                    </w:rPr>
                    <w:t>50</w:t>
                  </w:r>
                </w:p>
              </w:tc>
              <w:tc>
                <w:tcPr>
                  <w:tcW w:w="860" w:type="pct"/>
                  <w:vMerge w:val="restart"/>
                  <w:tcBorders>
                    <w:right w:val="single" w:color="auto" w:sz="4" w:space="0"/>
                  </w:tcBorders>
                  <w:noWrap w:val="0"/>
                  <w:vAlign w:val="center"/>
                </w:tcPr>
                <w:p w14:paraId="382F634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highlight w:val="none"/>
                      <w:lang w:val="en-US" w:eastAsia="zh-CN"/>
                    </w:rPr>
                    <w:t>车间无组织</w:t>
                  </w:r>
                </w:p>
              </w:tc>
              <w:tc>
                <w:tcPr>
                  <w:tcW w:w="1277" w:type="pct"/>
                  <w:tcBorders>
                    <w:left w:val="single" w:color="auto" w:sz="4" w:space="0"/>
                  </w:tcBorders>
                  <w:noWrap w:val="0"/>
                  <w:vAlign w:val="center"/>
                </w:tcPr>
                <w:p w14:paraId="13F807C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sz w:val="21"/>
                      <w:szCs w:val="24"/>
                      <w:lang w:val="en-US" w:eastAsia="zh-CN"/>
                    </w:rPr>
                    <w:t>氯化氢</w:t>
                  </w:r>
                </w:p>
              </w:tc>
              <w:tc>
                <w:tcPr>
                  <w:tcW w:w="933" w:type="pct"/>
                  <w:noWrap w:val="0"/>
                  <w:vAlign w:val="center"/>
                </w:tcPr>
                <w:p w14:paraId="6D113D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0.075</w:t>
                  </w:r>
                </w:p>
              </w:tc>
            </w:tr>
            <w:tr w14:paraId="5909B2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noWrap w:val="0"/>
                  <w:vAlign w:val="center"/>
                </w:tcPr>
                <w:p w14:paraId="1C1746A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702" w:type="pct"/>
                  <w:noWrap w:val="0"/>
                  <w:vAlign w:val="center"/>
                </w:tcPr>
                <w:p w14:paraId="757702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860" w:type="pct"/>
                  <w:vMerge w:val="continue"/>
                  <w:tcBorders>
                    <w:right w:val="single" w:color="auto" w:sz="4" w:space="0"/>
                  </w:tcBorders>
                  <w:noWrap w:val="0"/>
                  <w:vAlign w:val="center"/>
                </w:tcPr>
                <w:p w14:paraId="5C79511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p>
              </w:tc>
              <w:tc>
                <w:tcPr>
                  <w:tcW w:w="1277" w:type="pct"/>
                  <w:tcBorders>
                    <w:left w:val="single" w:color="auto" w:sz="4" w:space="0"/>
                  </w:tcBorders>
                  <w:noWrap w:val="0"/>
                  <w:vAlign w:val="center"/>
                </w:tcPr>
                <w:p w14:paraId="72FB5C8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颗粒物</w:t>
                  </w:r>
                </w:p>
              </w:tc>
              <w:tc>
                <w:tcPr>
                  <w:tcW w:w="933" w:type="pct"/>
                  <w:noWrap w:val="0"/>
                  <w:vAlign w:val="center"/>
                </w:tcPr>
                <w:p w14:paraId="76EA04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0.432</w:t>
                  </w:r>
                </w:p>
              </w:tc>
            </w:tr>
            <w:tr w14:paraId="32BE64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22FF8CC4">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702" w:type="pct"/>
                  <w:shd w:val="clear" w:color="auto" w:fill="auto"/>
                  <w:noWrap w:val="0"/>
                  <w:vAlign w:val="center"/>
                </w:tcPr>
                <w:p w14:paraId="7883B0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2138" w:type="pct"/>
                  <w:gridSpan w:val="2"/>
                  <w:noWrap w:val="0"/>
                  <w:vAlign w:val="center"/>
                </w:tcPr>
                <w:p w14:paraId="6111A3B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highlight w:val="none"/>
                      <w:lang w:val="en-US" w:eastAsia="zh-CN"/>
                    </w:rPr>
                    <w:t>布袋除尘器收集的粉尘</w:t>
                  </w:r>
                </w:p>
              </w:tc>
              <w:tc>
                <w:tcPr>
                  <w:tcW w:w="933" w:type="pct"/>
                  <w:noWrap w:val="0"/>
                  <w:vAlign w:val="center"/>
                </w:tcPr>
                <w:p w14:paraId="5E8134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1.906</w:t>
                  </w:r>
                </w:p>
              </w:tc>
            </w:tr>
            <w:tr w14:paraId="34F67A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425699FD">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702" w:type="pct"/>
                  <w:shd w:val="clear" w:color="auto" w:fill="auto"/>
                  <w:noWrap w:val="0"/>
                  <w:vAlign w:val="center"/>
                </w:tcPr>
                <w:p w14:paraId="7B2FF3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2138" w:type="pct"/>
                  <w:gridSpan w:val="2"/>
                  <w:noWrap w:val="0"/>
                  <w:vAlign w:val="center"/>
                </w:tcPr>
                <w:p w14:paraId="6C6EB9D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二级水喷淋收集的粉尘</w:t>
                  </w:r>
                </w:p>
              </w:tc>
              <w:tc>
                <w:tcPr>
                  <w:tcW w:w="933" w:type="pct"/>
                  <w:noWrap w:val="0"/>
                  <w:vAlign w:val="center"/>
                </w:tcPr>
                <w:p w14:paraId="7C7960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1.945</w:t>
                  </w:r>
                </w:p>
              </w:tc>
            </w:tr>
            <w:tr w14:paraId="6B61BB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3C474EF0">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b w:val="0"/>
                      <w:bCs w:val="0"/>
                      <w:color w:val="auto"/>
                      <w:highlight w:val="none"/>
                      <w:lang w:val="en-US" w:eastAsia="zh-CN"/>
                    </w:rPr>
                  </w:pPr>
                </w:p>
              </w:tc>
              <w:tc>
                <w:tcPr>
                  <w:tcW w:w="702" w:type="pct"/>
                  <w:shd w:val="clear" w:color="auto" w:fill="auto"/>
                  <w:noWrap w:val="0"/>
                  <w:vAlign w:val="center"/>
                </w:tcPr>
                <w:p w14:paraId="7E27711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highlight w:val="none"/>
                      <w:lang w:val="en-US" w:eastAsia="zh-CN"/>
                    </w:rPr>
                  </w:pPr>
                </w:p>
              </w:tc>
              <w:tc>
                <w:tcPr>
                  <w:tcW w:w="2138" w:type="pct"/>
                  <w:gridSpan w:val="2"/>
                  <w:noWrap w:val="0"/>
                  <w:vAlign w:val="center"/>
                </w:tcPr>
                <w:p w14:paraId="66F6E8D7">
                  <w:pPr>
                    <w:keepNext w:val="0"/>
                    <w:keepLines w:val="0"/>
                    <w:suppressLineNumbers w:val="0"/>
                    <w:autoSpaceDE w:val="0"/>
                    <w:autoSpaceDN w:val="0"/>
                    <w:spacing w:before="0" w:beforeAutospacing="0" w:after="0" w:afterAutospacing="0"/>
                    <w:ind w:left="0" w:right="0"/>
                    <w:jc w:val="center"/>
                    <w:rPr>
                      <w:rFonts w:hint="default"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二级水喷淋收集的氯化氢（</w:t>
                  </w:r>
                  <w:r>
                    <w:rPr>
                      <w:rFonts w:hint="eastAsia" w:ascii="Times New Roman" w:hAnsi="Times New Roman" w:eastAsia="宋体" w:cs="Times New Roman"/>
                      <w:b w:val="0"/>
                      <w:bCs w:val="0"/>
                      <w:color w:val="auto"/>
                      <w:kern w:val="2"/>
                      <w:sz w:val="21"/>
                      <w:szCs w:val="24"/>
                      <w:highlight w:val="none"/>
                      <w:lang w:val="en-US" w:eastAsia="zh-CN" w:bidi="ar-SA"/>
                    </w:rPr>
                    <w:t>进入废水</w:t>
                  </w:r>
                  <w:r>
                    <w:rPr>
                      <w:rFonts w:hint="eastAsia" w:cs="Times New Roman"/>
                      <w:b w:val="0"/>
                      <w:bCs w:val="0"/>
                      <w:color w:val="auto"/>
                      <w:kern w:val="2"/>
                      <w:sz w:val="21"/>
                      <w:szCs w:val="24"/>
                      <w:highlight w:val="none"/>
                      <w:lang w:val="en-US" w:eastAsia="zh-CN" w:bidi="ar-SA"/>
                    </w:rPr>
                    <w:t>）</w:t>
                  </w:r>
                </w:p>
              </w:tc>
              <w:tc>
                <w:tcPr>
                  <w:tcW w:w="933" w:type="pct"/>
                  <w:noWrap w:val="0"/>
                  <w:vAlign w:val="center"/>
                </w:tcPr>
                <w:p w14:paraId="7C510FCD">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0.8235</w:t>
                  </w:r>
                </w:p>
              </w:tc>
            </w:tr>
            <w:tr w14:paraId="171C3D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2DBEAADD">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color w:val="auto"/>
                      <w:highlight w:val="none"/>
                      <w:lang w:val="en-US" w:eastAsia="zh-CN"/>
                    </w:rPr>
                  </w:pPr>
                </w:p>
              </w:tc>
              <w:tc>
                <w:tcPr>
                  <w:tcW w:w="702" w:type="pct"/>
                  <w:shd w:val="clear" w:color="auto" w:fill="auto"/>
                  <w:noWrap w:val="0"/>
                  <w:vAlign w:val="center"/>
                </w:tcPr>
                <w:p w14:paraId="4E057D4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highlight w:val="none"/>
                      <w:lang w:val="en-US" w:eastAsia="zh-CN"/>
                    </w:rPr>
                  </w:pPr>
                </w:p>
              </w:tc>
              <w:tc>
                <w:tcPr>
                  <w:tcW w:w="2138" w:type="pct"/>
                  <w:gridSpan w:val="2"/>
                  <w:noWrap w:val="0"/>
                  <w:vAlign w:val="center"/>
                </w:tcPr>
                <w:p w14:paraId="5E58491D">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氯化钠、氯化铁、碳酸钠（</w:t>
                  </w:r>
                  <w:r>
                    <w:rPr>
                      <w:rFonts w:hint="eastAsia" w:ascii="Times New Roman" w:hAnsi="Times New Roman" w:eastAsia="宋体" w:cs="Times New Roman"/>
                      <w:color w:val="auto"/>
                      <w:kern w:val="2"/>
                      <w:sz w:val="21"/>
                      <w:szCs w:val="24"/>
                      <w:highlight w:val="none"/>
                      <w:lang w:val="en-US" w:eastAsia="zh-CN" w:bidi="ar-SA"/>
                    </w:rPr>
                    <w:t>进入废水</w:t>
                  </w:r>
                  <w:r>
                    <w:rPr>
                      <w:rFonts w:hint="eastAsia" w:cs="Times New Roman"/>
                      <w:color w:val="auto"/>
                      <w:kern w:val="2"/>
                      <w:sz w:val="21"/>
                      <w:szCs w:val="24"/>
                      <w:highlight w:val="none"/>
                      <w:lang w:val="en-US" w:eastAsia="zh-CN" w:bidi="ar-SA"/>
                    </w:rPr>
                    <w:t>）</w:t>
                  </w:r>
                </w:p>
              </w:tc>
              <w:tc>
                <w:tcPr>
                  <w:tcW w:w="933" w:type="pct"/>
                  <w:noWrap w:val="0"/>
                  <w:vAlign w:val="center"/>
                </w:tcPr>
                <w:p w14:paraId="28AB82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221.5</w:t>
                  </w:r>
                </w:p>
              </w:tc>
            </w:tr>
            <w:tr w14:paraId="296D12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11" w:hRule="atLeast"/>
                <w:jc w:val="center"/>
              </w:trPr>
              <w:tc>
                <w:tcPr>
                  <w:tcW w:w="1224" w:type="pct"/>
                  <w:gridSpan w:val="2"/>
                  <w:shd w:val="clear" w:color="auto" w:fill="auto"/>
                  <w:noWrap w:val="0"/>
                  <w:vAlign w:val="center"/>
                </w:tcPr>
                <w:p w14:paraId="3DBA8876">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color w:val="auto"/>
                      <w:highlight w:val="none"/>
                      <w:lang w:val="en-US" w:eastAsia="zh-CN"/>
                    </w:rPr>
                  </w:pPr>
                </w:p>
              </w:tc>
              <w:tc>
                <w:tcPr>
                  <w:tcW w:w="702" w:type="pct"/>
                  <w:shd w:val="clear" w:color="auto" w:fill="auto"/>
                  <w:noWrap w:val="0"/>
                  <w:vAlign w:val="center"/>
                </w:tcPr>
                <w:p w14:paraId="2D88DB0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highlight w:val="none"/>
                      <w:lang w:val="en-US" w:eastAsia="zh-CN"/>
                    </w:rPr>
                  </w:pPr>
                </w:p>
              </w:tc>
              <w:tc>
                <w:tcPr>
                  <w:tcW w:w="2138" w:type="pct"/>
                  <w:gridSpan w:val="2"/>
                  <w:noWrap w:val="0"/>
                  <w:vAlign w:val="center"/>
                </w:tcPr>
                <w:p w14:paraId="700991DD">
                  <w:pPr>
                    <w:keepNext w:val="0"/>
                    <w:keepLines w:val="0"/>
                    <w:suppressLineNumbers w:val="0"/>
                    <w:autoSpaceDE w:val="0"/>
                    <w:autoSpaceDN w:val="0"/>
                    <w:spacing w:before="0" w:beforeAutospacing="0" w:after="0" w:afterAutospacing="0"/>
                    <w:ind w:left="0" w:right="0"/>
                    <w:jc w:val="center"/>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水（包括盐酸自带的水和反应生成的水）</w:t>
                  </w:r>
                </w:p>
              </w:tc>
              <w:tc>
                <w:tcPr>
                  <w:tcW w:w="933" w:type="pct"/>
                  <w:noWrap w:val="0"/>
                  <w:vAlign w:val="center"/>
                </w:tcPr>
                <w:p w14:paraId="3159A286">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302.18</w:t>
                  </w:r>
                </w:p>
              </w:tc>
            </w:tr>
            <w:tr w14:paraId="55157D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34C12E24">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p>
              </w:tc>
              <w:tc>
                <w:tcPr>
                  <w:tcW w:w="702" w:type="pct"/>
                  <w:shd w:val="clear" w:color="auto" w:fill="auto"/>
                  <w:noWrap w:val="0"/>
                  <w:vAlign w:val="center"/>
                </w:tcPr>
                <w:p w14:paraId="260ABD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4"/>
                      <w:highlight w:val="none"/>
                      <w:lang w:val="en-US" w:eastAsia="zh-CN" w:bidi="ar-SA"/>
                    </w:rPr>
                  </w:pPr>
                </w:p>
              </w:tc>
              <w:tc>
                <w:tcPr>
                  <w:tcW w:w="2138" w:type="pct"/>
                  <w:gridSpan w:val="2"/>
                  <w:noWrap w:val="0"/>
                  <w:vAlign w:val="center"/>
                </w:tcPr>
                <w:p w14:paraId="3D808DC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二氧化碳</w:t>
                  </w:r>
                </w:p>
              </w:tc>
              <w:tc>
                <w:tcPr>
                  <w:tcW w:w="933" w:type="pct"/>
                  <w:noWrap w:val="0"/>
                  <w:vAlign w:val="center"/>
                </w:tcPr>
                <w:p w14:paraId="6F6B6B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45.66</w:t>
                  </w:r>
                </w:p>
              </w:tc>
            </w:tr>
            <w:tr w14:paraId="10B39E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1224" w:type="pct"/>
                  <w:gridSpan w:val="2"/>
                  <w:shd w:val="clear" w:color="auto" w:fill="auto"/>
                  <w:noWrap w:val="0"/>
                  <w:vAlign w:val="center"/>
                </w:tcPr>
                <w:p w14:paraId="42D9C8EF">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p>
              </w:tc>
              <w:tc>
                <w:tcPr>
                  <w:tcW w:w="702" w:type="pct"/>
                  <w:shd w:val="clear" w:color="auto" w:fill="auto"/>
                  <w:noWrap w:val="0"/>
                  <w:vAlign w:val="center"/>
                </w:tcPr>
                <w:p w14:paraId="4D0FBE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4"/>
                      <w:highlight w:val="none"/>
                      <w:lang w:val="en-US" w:eastAsia="zh-CN" w:bidi="ar-SA"/>
                    </w:rPr>
                  </w:pPr>
                </w:p>
              </w:tc>
              <w:tc>
                <w:tcPr>
                  <w:tcW w:w="2138" w:type="pct"/>
                  <w:gridSpan w:val="2"/>
                  <w:noWrap w:val="0"/>
                  <w:vAlign w:val="center"/>
                </w:tcPr>
                <w:p w14:paraId="3716167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水蒸气</w:t>
                  </w:r>
                </w:p>
              </w:tc>
              <w:tc>
                <w:tcPr>
                  <w:tcW w:w="933" w:type="pct"/>
                  <w:noWrap w:val="0"/>
                  <w:vAlign w:val="center"/>
                </w:tcPr>
                <w:p w14:paraId="24B683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243</w:t>
                  </w:r>
                </w:p>
              </w:tc>
            </w:tr>
            <w:tr w14:paraId="36E0FD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5" w:hRule="atLeast"/>
                <w:jc w:val="center"/>
              </w:trPr>
              <w:tc>
                <w:tcPr>
                  <w:tcW w:w="1224" w:type="pct"/>
                  <w:gridSpan w:val="2"/>
                  <w:noWrap w:val="0"/>
                  <w:vAlign w:val="center"/>
                </w:tcPr>
                <w:p w14:paraId="18EC1B6D">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702" w:type="pct"/>
                  <w:noWrap w:val="0"/>
                  <w:vAlign w:val="center"/>
                </w:tcPr>
                <w:p w14:paraId="29540E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36452.45</w:t>
                  </w:r>
                </w:p>
              </w:tc>
              <w:tc>
                <w:tcPr>
                  <w:tcW w:w="2138" w:type="pct"/>
                  <w:gridSpan w:val="2"/>
                  <w:noWrap w:val="0"/>
                  <w:vAlign w:val="center"/>
                </w:tcPr>
                <w:p w14:paraId="5D6F704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933" w:type="pct"/>
                  <w:noWrap w:val="0"/>
                  <w:vAlign w:val="center"/>
                </w:tcPr>
                <w:p w14:paraId="28D3D9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kern w:val="2"/>
                      <w:sz w:val="21"/>
                      <w:szCs w:val="24"/>
                      <w:highlight w:val="none"/>
                      <w:lang w:val="en-US" w:eastAsia="zh-CN" w:bidi="ar-SA"/>
                    </w:rPr>
                    <w:t>36452.45</w:t>
                  </w:r>
                </w:p>
              </w:tc>
            </w:tr>
          </w:tbl>
          <w:p w14:paraId="39C2CBE3">
            <w:pPr>
              <w:keepNext w:val="0"/>
              <w:keepLines w:val="0"/>
              <w:suppressLineNumbers w:val="0"/>
              <w:tabs>
                <w:tab w:val="left" w:pos="1680"/>
              </w:tabs>
              <w:spacing w:before="0" w:beforeAutospacing="0" w:after="0" w:afterAutospacing="0"/>
              <w:ind w:left="0" w:right="0"/>
              <w:jc w:val="right"/>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5</w:t>
            </w:r>
            <w:r>
              <w:rPr>
                <w:rFonts w:hint="eastAsia" w:ascii="Times New Roman" w:hAnsi="Times New Roman" w:cs="Times New Roman"/>
                <w:b/>
                <w:bCs/>
                <w:color w:val="auto"/>
                <w:highlight w:val="none"/>
                <w:lang w:val="en-US" w:eastAsia="zh-CN"/>
              </w:rPr>
              <w:t xml:space="preserve"> </w:t>
            </w:r>
            <w:r>
              <w:rPr>
                <w:rFonts w:hint="eastAsia" w:cs="Times New Roman"/>
                <w:b/>
                <w:bCs/>
                <w:color w:val="auto"/>
                <w:highlight w:val="none"/>
                <w:lang w:val="en-US" w:eastAsia="zh-CN"/>
              </w:rPr>
              <w:t xml:space="preserve"> 盐酸</w:t>
            </w:r>
            <w:r>
              <w:rPr>
                <w:rFonts w:hint="default" w:ascii="Times New Roman" w:hAnsi="Times New Roman" w:cs="Times New Roman"/>
                <w:b/>
                <w:bCs/>
                <w:color w:val="auto"/>
                <w:highlight w:val="none"/>
                <w:lang w:val="en-US" w:eastAsia="zh-CN"/>
              </w:rPr>
              <w:t>物料平衡表                                t/a</w:t>
            </w:r>
          </w:p>
          <w:tbl>
            <w:tblPr>
              <w:tblStyle w:val="32"/>
              <w:tblW w:w="498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123"/>
              <w:gridCol w:w="1220"/>
              <w:gridCol w:w="2080"/>
              <w:gridCol w:w="1646"/>
              <w:gridCol w:w="1626"/>
            </w:tblGrid>
            <w:tr w14:paraId="3A89BB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4" w:hRule="atLeast"/>
                <w:jc w:val="center"/>
              </w:trPr>
              <w:tc>
                <w:tcPr>
                  <w:tcW w:w="1220" w:type="pct"/>
                  <w:noWrap w:val="0"/>
                  <w:vAlign w:val="center"/>
                </w:tcPr>
                <w:p w14:paraId="787B512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原料</w:t>
                  </w:r>
                </w:p>
              </w:tc>
              <w:tc>
                <w:tcPr>
                  <w:tcW w:w="701" w:type="pct"/>
                  <w:noWrap w:val="0"/>
                  <w:vAlign w:val="center"/>
                </w:tcPr>
                <w:p w14:paraId="6041EA7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用量</w:t>
                  </w:r>
                </w:p>
              </w:tc>
              <w:tc>
                <w:tcPr>
                  <w:tcW w:w="3077" w:type="pct"/>
                  <w:gridSpan w:val="3"/>
                  <w:noWrap w:val="0"/>
                  <w:vAlign w:val="center"/>
                </w:tcPr>
                <w:p w14:paraId="0F88902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产品及三废情况</w:t>
                  </w:r>
                </w:p>
              </w:tc>
            </w:tr>
            <w:tr w14:paraId="2DA9A5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77" w:hRule="atLeast"/>
                <w:jc w:val="center"/>
              </w:trPr>
              <w:tc>
                <w:tcPr>
                  <w:tcW w:w="1220" w:type="pct"/>
                  <w:shd w:val="clear" w:color="auto" w:fill="auto"/>
                  <w:noWrap w:val="0"/>
                  <w:vAlign w:val="center"/>
                </w:tcPr>
                <w:p w14:paraId="3565F58C">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盐酸</w:t>
                  </w:r>
                  <w:r>
                    <w:rPr>
                      <w:rFonts w:hint="eastAsia" w:cs="Times New Roman"/>
                      <w:color w:val="auto"/>
                      <w:highlight w:val="none"/>
                      <w:lang w:val="en-US" w:eastAsia="zh-CN"/>
                    </w:rPr>
                    <w:t>（33%盐酸换算成100%盐酸）</w:t>
                  </w:r>
                </w:p>
              </w:tc>
              <w:tc>
                <w:tcPr>
                  <w:tcW w:w="701" w:type="pct"/>
                  <w:shd w:val="clear" w:color="auto" w:fill="auto"/>
                  <w:noWrap w:val="0"/>
                  <w:vAlign w:val="center"/>
                </w:tcPr>
                <w:p w14:paraId="0C97BD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132.81</w:t>
                  </w:r>
                </w:p>
              </w:tc>
              <w:tc>
                <w:tcPr>
                  <w:tcW w:w="1196" w:type="pct"/>
                  <w:tcBorders>
                    <w:right w:val="single" w:color="auto" w:sz="4" w:space="0"/>
                  </w:tcBorders>
                  <w:noWrap w:val="0"/>
                  <w:vAlign w:val="center"/>
                </w:tcPr>
                <w:p w14:paraId="28C7B30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车间有组织</w:t>
                  </w:r>
                </w:p>
              </w:tc>
              <w:tc>
                <w:tcPr>
                  <w:tcW w:w="946" w:type="pct"/>
                  <w:tcBorders>
                    <w:left w:val="single" w:color="auto" w:sz="4" w:space="0"/>
                  </w:tcBorders>
                  <w:noWrap w:val="0"/>
                  <w:vAlign w:val="center"/>
                </w:tcPr>
                <w:p w14:paraId="7CB25FD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4"/>
                      <w:lang w:val="en-US" w:eastAsia="zh-CN"/>
                    </w:rPr>
                    <w:t>氯化氢</w:t>
                  </w:r>
                </w:p>
              </w:tc>
              <w:tc>
                <w:tcPr>
                  <w:tcW w:w="935" w:type="pct"/>
                  <w:noWrap w:val="0"/>
                  <w:vAlign w:val="center"/>
                </w:tcPr>
                <w:p w14:paraId="6F1BCB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0.092</w:t>
                  </w:r>
                </w:p>
              </w:tc>
            </w:tr>
            <w:tr w14:paraId="1E9C028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4" w:hRule="atLeast"/>
                <w:jc w:val="center"/>
              </w:trPr>
              <w:tc>
                <w:tcPr>
                  <w:tcW w:w="1220" w:type="pct"/>
                  <w:noWrap w:val="0"/>
                  <w:vAlign w:val="center"/>
                </w:tcPr>
                <w:p w14:paraId="734817D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p>
              </w:tc>
              <w:tc>
                <w:tcPr>
                  <w:tcW w:w="701" w:type="pct"/>
                  <w:noWrap w:val="0"/>
                  <w:vAlign w:val="center"/>
                </w:tcPr>
                <w:p w14:paraId="55B86F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4"/>
                      <w:highlight w:val="none"/>
                      <w:lang w:val="en-US" w:eastAsia="zh-CN" w:bidi="ar-SA"/>
                    </w:rPr>
                  </w:pPr>
                </w:p>
              </w:tc>
              <w:tc>
                <w:tcPr>
                  <w:tcW w:w="1196" w:type="pct"/>
                  <w:tcBorders>
                    <w:right w:val="single" w:color="auto" w:sz="4" w:space="0"/>
                  </w:tcBorders>
                  <w:noWrap w:val="0"/>
                  <w:vAlign w:val="center"/>
                </w:tcPr>
                <w:p w14:paraId="08894D5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车间无组织</w:t>
                  </w:r>
                </w:p>
              </w:tc>
              <w:tc>
                <w:tcPr>
                  <w:tcW w:w="946" w:type="pct"/>
                  <w:tcBorders>
                    <w:left w:val="single" w:color="auto" w:sz="4" w:space="0"/>
                  </w:tcBorders>
                  <w:noWrap w:val="0"/>
                  <w:vAlign w:val="center"/>
                </w:tcPr>
                <w:p w14:paraId="4B9009A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4"/>
                      <w:lang w:val="en-US" w:eastAsia="zh-CN"/>
                    </w:rPr>
                    <w:t>氯化氢</w:t>
                  </w:r>
                </w:p>
              </w:tc>
              <w:tc>
                <w:tcPr>
                  <w:tcW w:w="935" w:type="pct"/>
                  <w:noWrap w:val="0"/>
                  <w:vAlign w:val="center"/>
                </w:tcPr>
                <w:p w14:paraId="6BF2B5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0.075</w:t>
                  </w:r>
                </w:p>
              </w:tc>
            </w:tr>
            <w:tr w14:paraId="37FC6D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4" w:hRule="atLeast"/>
                <w:jc w:val="center"/>
              </w:trPr>
              <w:tc>
                <w:tcPr>
                  <w:tcW w:w="1220" w:type="pct"/>
                  <w:shd w:val="clear" w:color="auto" w:fill="auto"/>
                  <w:noWrap w:val="0"/>
                  <w:vAlign w:val="center"/>
                </w:tcPr>
                <w:p w14:paraId="7DAD5F51">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color w:val="auto"/>
                      <w:highlight w:val="none"/>
                      <w:lang w:val="en-US" w:eastAsia="zh-CN"/>
                    </w:rPr>
                  </w:pPr>
                </w:p>
              </w:tc>
              <w:tc>
                <w:tcPr>
                  <w:tcW w:w="701" w:type="pct"/>
                  <w:shd w:val="clear" w:color="auto" w:fill="auto"/>
                  <w:noWrap w:val="0"/>
                  <w:vAlign w:val="center"/>
                </w:tcPr>
                <w:p w14:paraId="2BEE270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highlight w:val="none"/>
                      <w:lang w:val="en-US" w:eastAsia="zh-CN"/>
                    </w:rPr>
                  </w:pPr>
                </w:p>
              </w:tc>
              <w:tc>
                <w:tcPr>
                  <w:tcW w:w="2142" w:type="pct"/>
                  <w:gridSpan w:val="2"/>
                  <w:noWrap w:val="0"/>
                  <w:vAlign w:val="center"/>
                </w:tcPr>
                <w:p w14:paraId="206F60A2">
                  <w:pPr>
                    <w:keepNext w:val="0"/>
                    <w:keepLines w:val="0"/>
                    <w:suppressLineNumbers w:val="0"/>
                    <w:autoSpaceDE w:val="0"/>
                    <w:autoSpaceDN w:val="0"/>
                    <w:spacing w:before="0" w:beforeAutospacing="0" w:after="0" w:afterAutospacing="0"/>
                    <w:ind w:left="0" w:right="0"/>
                    <w:jc w:val="center"/>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二级水喷淋收集的氯化氢（</w:t>
                  </w:r>
                  <w:r>
                    <w:rPr>
                      <w:rFonts w:hint="eastAsia" w:ascii="Times New Roman" w:hAnsi="Times New Roman" w:eastAsia="宋体" w:cs="Times New Roman"/>
                      <w:color w:val="auto"/>
                      <w:kern w:val="2"/>
                      <w:sz w:val="21"/>
                      <w:szCs w:val="24"/>
                      <w:highlight w:val="none"/>
                      <w:lang w:val="en-US" w:eastAsia="zh-CN" w:bidi="ar-SA"/>
                    </w:rPr>
                    <w:t>进入废水</w:t>
                  </w:r>
                  <w:r>
                    <w:rPr>
                      <w:rFonts w:hint="eastAsia" w:cs="Times New Roman"/>
                      <w:color w:val="auto"/>
                      <w:kern w:val="2"/>
                      <w:sz w:val="21"/>
                      <w:szCs w:val="24"/>
                      <w:highlight w:val="none"/>
                      <w:lang w:val="en-US" w:eastAsia="zh-CN" w:bidi="ar-SA"/>
                    </w:rPr>
                    <w:t>）</w:t>
                  </w:r>
                </w:p>
              </w:tc>
              <w:tc>
                <w:tcPr>
                  <w:tcW w:w="935" w:type="pct"/>
                  <w:noWrap w:val="0"/>
                  <w:vAlign w:val="center"/>
                </w:tcPr>
                <w:p w14:paraId="443B4C44">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0.8235</w:t>
                  </w:r>
                </w:p>
              </w:tc>
            </w:tr>
            <w:tr w14:paraId="58512E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4" w:hRule="atLeast"/>
                <w:jc w:val="center"/>
              </w:trPr>
              <w:tc>
                <w:tcPr>
                  <w:tcW w:w="1220" w:type="pct"/>
                  <w:shd w:val="clear" w:color="auto" w:fill="auto"/>
                  <w:noWrap w:val="0"/>
                  <w:vAlign w:val="center"/>
                </w:tcPr>
                <w:p w14:paraId="0DD69D4B">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color w:val="auto"/>
                      <w:highlight w:val="none"/>
                      <w:lang w:val="en-US" w:eastAsia="zh-CN"/>
                    </w:rPr>
                  </w:pPr>
                </w:p>
              </w:tc>
              <w:tc>
                <w:tcPr>
                  <w:tcW w:w="701" w:type="pct"/>
                  <w:shd w:val="clear" w:color="auto" w:fill="auto"/>
                  <w:noWrap w:val="0"/>
                  <w:vAlign w:val="center"/>
                </w:tcPr>
                <w:p w14:paraId="79E6D3A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highlight w:val="none"/>
                      <w:lang w:val="en-US" w:eastAsia="zh-CN"/>
                    </w:rPr>
                  </w:pPr>
                </w:p>
              </w:tc>
              <w:tc>
                <w:tcPr>
                  <w:tcW w:w="2142" w:type="pct"/>
                  <w:gridSpan w:val="2"/>
                  <w:noWrap w:val="0"/>
                  <w:vAlign w:val="center"/>
                </w:tcPr>
                <w:p w14:paraId="364B282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除杂消耗掉的盐酸</w:t>
                  </w:r>
                </w:p>
              </w:tc>
              <w:tc>
                <w:tcPr>
                  <w:tcW w:w="935" w:type="pct"/>
                  <w:noWrap w:val="0"/>
                  <w:vAlign w:val="center"/>
                </w:tcPr>
                <w:p w14:paraId="2C764B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cs="Times New Roman"/>
                      <w:i w:val="0"/>
                      <w:iCs w:val="0"/>
                      <w:color w:val="auto"/>
                      <w:kern w:val="0"/>
                      <w:sz w:val="22"/>
                      <w:szCs w:val="22"/>
                      <w:u w:val="none"/>
                      <w:lang w:val="en-US" w:eastAsia="zh-CN" w:bidi="ar"/>
                    </w:rPr>
                    <w:t>131.82</w:t>
                  </w:r>
                </w:p>
              </w:tc>
            </w:tr>
            <w:tr w14:paraId="00A453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8" w:hRule="atLeast"/>
                <w:jc w:val="center"/>
              </w:trPr>
              <w:tc>
                <w:tcPr>
                  <w:tcW w:w="1220" w:type="pct"/>
                  <w:noWrap w:val="0"/>
                  <w:vAlign w:val="center"/>
                </w:tcPr>
                <w:p w14:paraId="760F3112">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701" w:type="pct"/>
                  <w:noWrap w:val="0"/>
                  <w:vAlign w:val="center"/>
                </w:tcPr>
                <w:p w14:paraId="2E516E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132.81</w:t>
                  </w:r>
                </w:p>
              </w:tc>
              <w:tc>
                <w:tcPr>
                  <w:tcW w:w="2142" w:type="pct"/>
                  <w:gridSpan w:val="2"/>
                  <w:noWrap w:val="0"/>
                  <w:vAlign w:val="center"/>
                </w:tcPr>
                <w:p w14:paraId="23ED195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935" w:type="pct"/>
                  <w:noWrap w:val="0"/>
                  <w:vAlign w:val="center"/>
                </w:tcPr>
                <w:p w14:paraId="72F004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highlight w:val="none"/>
                      <w:lang w:val="en-US" w:eastAsia="zh-CN"/>
                    </w:rPr>
                  </w:pPr>
                  <w:r>
                    <w:rPr>
                      <w:rFonts w:hint="eastAsia" w:cs="Times New Roman"/>
                      <w:b w:val="0"/>
                      <w:bCs w:val="0"/>
                      <w:color w:val="auto"/>
                      <w:kern w:val="2"/>
                      <w:sz w:val="21"/>
                      <w:szCs w:val="24"/>
                      <w:highlight w:val="none"/>
                      <w:lang w:val="en-US" w:eastAsia="zh-CN" w:bidi="ar-SA"/>
                    </w:rPr>
                    <w:t>132.81</w:t>
                  </w:r>
                </w:p>
              </w:tc>
            </w:tr>
          </w:tbl>
          <w:p w14:paraId="2E1B7780">
            <w:pPr>
              <w:keepNext w:val="0"/>
              <w:keepLines w:val="0"/>
              <w:numPr>
                <w:ilvl w:val="0"/>
                <w:numId w:val="0"/>
              </w:numPr>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五、</w:t>
            </w:r>
            <w:r>
              <w:rPr>
                <w:rFonts w:hint="default" w:ascii="Times New Roman" w:hAnsi="Times New Roman" w:cs="Times New Roman"/>
                <w:b/>
                <w:bCs/>
                <w:color w:val="auto"/>
                <w:sz w:val="24"/>
                <w:szCs w:val="32"/>
                <w:highlight w:val="none"/>
              </w:rPr>
              <w:t>本项目建成后，设备情况见下表。</w:t>
            </w:r>
          </w:p>
          <w:p w14:paraId="4C573A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cs="Times New Roman"/>
                <w:b/>
                <w:color w:val="auto"/>
                <w:szCs w:val="21"/>
                <w:highlight w:val="none"/>
                <w:lang w:val="en-US" w:eastAsia="zh-CN"/>
              </w:rPr>
              <w:t xml:space="preserve">6 </w:t>
            </w:r>
            <w:r>
              <w:rPr>
                <w:rFonts w:hint="default" w:ascii="Times New Roman" w:hAnsi="Times New Roman" w:eastAsia="宋体" w:cs="Times New Roman"/>
                <w:b/>
                <w:color w:val="auto"/>
                <w:szCs w:val="21"/>
                <w:highlight w:val="none"/>
                <w:lang w:val="en-US" w:eastAsia="zh-CN"/>
              </w:rPr>
              <w:t>项目建成后相关设备情况一览表（台/套）</w:t>
            </w:r>
          </w:p>
          <w:tbl>
            <w:tblPr>
              <w:tblStyle w:val="32"/>
              <w:tblW w:w="875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51"/>
              <w:gridCol w:w="1718"/>
              <w:gridCol w:w="2079"/>
              <w:gridCol w:w="1443"/>
              <w:gridCol w:w="855"/>
              <w:gridCol w:w="1911"/>
            </w:tblGrid>
            <w:tr w14:paraId="2A155B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5957C98B">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980" w:type="pct"/>
                  <w:tcBorders>
                    <w:tl2br w:val="nil"/>
                    <w:tr2bl w:val="nil"/>
                  </w:tcBorders>
                  <w:noWrap/>
                  <w:vAlign w:val="center"/>
                </w:tcPr>
                <w:p w14:paraId="15DC4EED">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设备名称</w:t>
                  </w:r>
                </w:p>
              </w:tc>
              <w:tc>
                <w:tcPr>
                  <w:tcW w:w="1187" w:type="pct"/>
                  <w:tcBorders>
                    <w:tl2br w:val="nil"/>
                    <w:tr2bl w:val="nil"/>
                  </w:tcBorders>
                  <w:noWrap/>
                  <w:vAlign w:val="center"/>
                </w:tcPr>
                <w:p w14:paraId="74800763">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规格型号</w:t>
                  </w:r>
                </w:p>
              </w:tc>
              <w:tc>
                <w:tcPr>
                  <w:tcW w:w="823" w:type="pct"/>
                  <w:tcBorders>
                    <w:tl2br w:val="nil"/>
                    <w:tr2bl w:val="nil"/>
                  </w:tcBorders>
                  <w:noWrap/>
                  <w:vAlign w:val="center"/>
                </w:tcPr>
                <w:p w14:paraId="66879FF1">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单位</w:t>
                  </w:r>
                </w:p>
              </w:tc>
              <w:tc>
                <w:tcPr>
                  <w:tcW w:w="488" w:type="pct"/>
                  <w:tcBorders>
                    <w:tl2br w:val="nil"/>
                    <w:tr2bl w:val="nil"/>
                  </w:tcBorders>
                  <w:noWrap/>
                  <w:vAlign w:val="center"/>
                </w:tcPr>
                <w:p w14:paraId="2F999E34">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数量</w:t>
                  </w:r>
                </w:p>
              </w:tc>
              <w:tc>
                <w:tcPr>
                  <w:tcW w:w="1091" w:type="pct"/>
                  <w:tcBorders>
                    <w:tl2br w:val="nil"/>
                    <w:tr2bl w:val="nil"/>
                  </w:tcBorders>
                  <w:noWrap/>
                  <w:vAlign w:val="center"/>
                </w:tcPr>
                <w:p w14:paraId="3A9EBA7D">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备注</w:t>
                  </w:r>
                </w:p>
              </w:tc>
            </w:tr>
            <w:tr w14:paraId="503660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5BA8E9C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980" w:type="pct"/>
                  <w:tcBorders>
                    <w:tl2br w:val="nil"/>
                    <w:tr2bl w:val="nil"/>
                  </w:tcBorders>
                  <w:noWrap/>
                  <w:vAlign w:val="center"/>
                </w:tcPr>
                <w:p w14:paraId="678836A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酸洗搅拌罐</w:t>
                  </w:r>
                </w:p>
              </w:tc>
              <w:tc>
                <w:tcPr>
                  <w:tcW w:w="1187" w:type="pct"/>
                  <w:tcBorders>
                    <w:tl2br w:val="nil"/>
                    <w:tr2bl w:val="nil"/>
                  </w:tcBorders>
                  <w:noWrap/>
                  <w:vAlign w:val="center"/>
                </w:tcPr>
                <w:p w14:paraId="6A1A00E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Φ</w:t>
                  </w:r>
                  <w:r>
                    <w:rPr>
                      <w:rFonts w:hint="eastAsia" w:ascii="Times New Roman" w:hAnsi="Times New Roman" w:eastAsia="宋体" w:cs="Times New Roman"/>
                      <w:color w:val="auto"/>
                      <w:highlight w:val="none"/>
                      <w:lang w:val="en-US" w:eastAsia="zh-CN"/>
                    </w:rPr>
                    <w:t>4m*4m</w:t>
                  </w:r>
                </w:p>
              </w:tc>
              <w:tc>
                <w:tcPr>
                  <w:tcW w:w="823" w:type="pct"/>
                  <w:tcBorders>
                    <w:bottom w:val="single" w:color="auto" w:sz="4" w:space="0"/>
                    <w:tl2br w:val="nil"/>
                    <w:tr2bl w:val="nil"/>
                  </w:tcBorders>
                  <w:noWrap/>
                  <w:vAlign w:val="center"/>
                </w:tcPr>
                <w:p w14:paraId="1BBA3E6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488" w:type="pct"/>
                  <w:tcBorders>
                    <w:bottom w:val="single" w:color="auto" w:sz="4" w:space="0"/>
                    <w:tl2br w:val="nil"/>
                    <w:tr2bl w:val="nil"/>
                  </w:tcBorders>
                  <w:noWrap/>
                  <w:vAlign w:val="center"/>
                </w:tcPr>
                <w:p w14:paraId="4B5A512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1091" w:type="pct"/>
                  <w:tcBorders>
                    <w:bottom w:val="single" w:color="auto" w:sz="4" w:space="0"/>
                    <w:tl2br w:val="nil"/>
                    <w:tr2bl w:val="nil"/>
                  </w:tcBorders>
                  <w:noWrap/>
                  <w:vAlign w:val="center"/>
                </w:tcPr>
                <w:p w14:paraId="2B3A8EB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5854EB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3" w:hRule="atLeast"/>
                <w:jc w:val="center"/>
              </w:trPr>
              <w:tc>
                <w:tcPr>
                  <w:tcW w:w="428" w:type="pct"/>
                  <w:tcBorders>
                    <w:tl2br w:val="nil"/>
                    <w:tr2bl w:val="nil"/>
                  </w:tcBorders>
                  <w:noWrap/>
                  <w:vAlign w:val="center"/>
                </w:tcPr>
                <w:p w14:paraId="2199404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980" w:type="pct"/>
                  <w:tcBorders>
                    <w:tl2br w:val="nil"/>
                    <w:tr2bl w:val="nil"/>
                  </w:tcBorders>
                  <w:noWrap/>
                  <w:vAlign w:val="center"/>
                </w:tcPr>
                <w:p w14:paraId="154F167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搅拌罐</w:t>
                  </w:r>
                </w:p>
              </w:tc>
              <w:tc>
                <w:tcPr>
                  <w:tcW w:w="1187" w:type="pct"/>
                  <w:tcBorders>
                    <w:tl2br w:val="nil"/>
                    <w:tr2bl w:val="nil"/>
                  </w:tcBorders>
                  <w:noWrap/>
                  <w:vAlign w:val="center"/>
                </w:tcPr>
                <w:p w14:paraId="456F236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Φ</w:t>
                  </w:r>
                  <w:r>
                    <w:rPr>
                      <w:rFonts w:hint="eastAsia" w:ascii="Times New Roman" w:hAnsi="Times New Roman" w:eastAsia="宋体" w:cs="Times New Roman"/>
                      <w:color w:val="auto"/>
                      <w:highlight w:val="none"/>
                      <w:lang w:val="en-US" w:eastAsia="zh-CN"/>
                    </w:rPr>
                    <w:t>3m*3m</w:t>
                  </w:r>
                </w:p>
              </w:tc>
              <w:tc>
                <w:tcPr>
                  <w:tcW w:w="823" w:type="pct"/>
                  <w:tcBorders>
                    <w:top w:val="single" w:color="auto" w:sz="4" w:space="0"/>
                    <w:tl2br w:val="nil"/>
                    <w:tr2bl w:val="nil"/>
                  </w:tcBorders>
                  <w:noWrap/>
                  <w:vAlign w:val="center"/>
                </w:tcPr>
                <w:p w14:paraId="09149AE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488" w:type="pct"/>
                  <w:tcBorders>
                    <w:top w:val="single" w:color="auto" w:sz="4" w:space="0"/>
                    <w:tl2br w:val="nil"/>
                    <w:tr2bl w:val="nil"/>
                  </w:tcBorders>
                  <w:noWrap/>
                  <w:vAlign w:val="center"/>
                </w:tcPr>
                <w:p w14:paraId="717EE32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1091" w:type="pct"/>
                  <w:tcBorders>
                    <w:top w:val="single" w:color="auto" w:sz="4" w:space="0"/>
                    <w:tl2br w:val="nil"/>
                    <w:tr2bl w:val="nil"/>
                  </w:tcBorders>
                  <w:noWrap/>
                  <w:vAlign w:val="center"/>
                </w:tcPr>
                <w:p w14:paraId="12E55F0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2D0519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7D0D051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980" w:type="pct"/>
                  <w:tcBorders>
                    <w:tl2br w:val="nil"/>
                    <w:tr2bl w:val="nil"/>
                  </w:tcBorders>
                  <w:noWrap/>
                  <w:vAlign w:val="center"/>
                </w:tcPr>
                <w:p w14:paraId="6A08127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压滤机</w:t>
                  </w:r>
                </w:p>
              </w:tc>
              <w:tc>
                <w:tcPr>
                  <w:tcW w:w="1187" w:type="pct"/>
                  <w:tcBorders>
                    <w:tl2br w:val="nil"/>
                    <w:tr2bl w:val="nil"/>
                  </w:tcBorders>
                  <w:noWrap/>
                  <w:vAlign w:val="center"/>
                </w:tcPr>
                <w:p w14:paraId="20F91E8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3DB78A2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488" w:type="pct"/>
                  <w:tcBorders>
                    <w:tl2br w:val="nil"/>
                    <w:tr2bl w:val="nil"/>
                  </w:tcBorders>
                  <w:noWrap/>
                  <w:vAlign w:val="center"/>
                </w:tcPr>
                <w:p w14:paraId="12E1C06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1091" w:type="pct"/>
                  <w:tcBorders>
                    <w:tl2br w:val="nil"/>
                    <w:tr2bl w:val="nil"/>
                  </w:tcBorders>
                  <w:noWrap/>
                  <w:vAlign w:val="center"/>
                </w:tcPr>
                <w:p w14:paraId="0F46DC0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6B7404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35562697">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4</w:t>
                  </w:r>
                </w:p>
              </w:tc>
              <w:tc>
                <w:tcPr>
                  <w:tcW w:w="980" w:type="pct"/>
                  <w:tcBorders>
                    <w:tl2br w:val="nil"/>
                    <w:tr2bl w:val="nil"/>
                  </w:tcBorders>
                  <w:noWrap/>
                  <w:vAlign w:val="center"/>
                </w:tcPr>
                <w:p w14:paraId="4B966A0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天然气烘干窑</w:t>
                  </w:r>
                </w:p>
              </w:tc>
              <w:tc>
                <w:tcPr>
                  <w:tcW w:w="1187" w:type="pct"/>
                  <w:tcBorders>
                    <w:tl2br w:val="nil"/>
                    <w:tr2bl w:val="nil"/>
                  </w:tcBorders>
                  <w:noWrap/>
                  <w:vAlign w:val="center"/>
                </w:tcPr>
                <w:p w14:paraId="3F2B631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回转窑</w:t>
                  </w:r>
                </w:p>
              </w:tc>
              <w:tc>
                <w:tcPr>
                  <w:tcW w:w="823" w:type="pct"/>
                  <w:tcBorders>
                    <w:tl2br w:val="nil"/>
                    <w:tr2bl w:val="nil"/>
                  </w:tcBorders>
                  <w:noWrap/>
                  <w:vAlign w:val="center"/>
                </w:tcPr>
                <w:p w14:paraId="7FDBD7A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488" w:type="pct"/>
                  <w:tcBorders>
                    <w:tl2br w:val="nil"/>
                    <w:tr2bl w:val="nil"/>
                  </w:tcBorders>
                  <w:noWrap/>
                  <w:vAlign w:val="center"/>
                </w:tcPr>
                <w:p w14:paraId="4E94EC3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091" w:type="pct"/>
                  <w:tcBorders>
                    <w:tl2br w:val="nil"/>
                    <w:tr2bl w:val="nil"/>
                  </w:tcBorders>
                  <w:noWrap/>
                  <w:vAlign w:val="center"/>
                </w:tcPr>
                <w:p w14:paraId="3B09E06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11F252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70002E2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5</w:t>
                  </w:r>
                </w:p>
              </w:tc>
              <w:tc>
                <w:tcPr>
                  <w:tcW w:w="980" w:type="pct"/>
                  <w:tcBorders>
                    <w:tl2br w:val="nil"/>
                    <w:tr2bl w:val="nil"/>
                  </w:tcBorders>
                  <w:noWrap/>
                  <w:vAlign w:val="center"/>
                </w:tcPr>
                <w:p w14:paraId="1C498A1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料仓包装机</w:t>
                  </w:r>
                </w:p>
              </w:tc>
              <w:tc>
                <w:tcPr>
                  <w:tcW w:w="1187" w:type="pct"/>
                  <w:tcBorders>
                    <w:tl2br w:val="nil"/>
                    <w:tr2bl w:val="nil"/>
                  </w:tcBorders>
                  <w:noWrap/>
                  <w:vAlign w:val="center"/>
                </w:tcPr>
                <w:p w14:paraId="42E1B3D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684C237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488" w:type="pct"/>
                  <w:tcBorders>
                    <w:tl2br w:val="nil"/>
                    <w:tr2bl w:val="nil"/>
                  </w:tcBorders>
                  <w:noWrap/>
                  <w:vAlign w:val="center"/>
                </w:tcPr>
                <w:p w14:paraId="5980ABD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1091" w:type="pct"/>
                  <w:tcBorders>
                    <w:tl2br w:val="nil"/>
                    <w:tr2bl w:val="nil"/>
                  </w:tcBorders>
                  <w:noWrap/>
                  <w:vAlign w:val="center"/>
                </w:tcPr>
                <w:p w14:paraId="74718FE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312F75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7B709AF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980" w:type="pct"/>
                  <w:tcBorders>
                    <w:tl2br w:val="nil"/>
                    <w:tr2bl w:val="nil"/>
                  </w:tcBorders>
                  <w:noWrap/>
                  <w:vAlign w:val="center"/>
                </w:tcPr>
                <w:p w14:paraId="028ADE3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盐酸配制罐</w:t>
                  </w:r>
                </w:p>
              </w:tc>
              <w:tc>
                <w:tcPr>
                  <w:tcW w:w="1187" w:type="pct"/>
                  <w:tcBorders>
                    <w:tl2br w:val="nil"/>
                    <w:tr2bl w:val="nil"/>
                  </w:tcBorders>
                  <w:noWrap/>
                  <w:vAlign w:val="center"/>
                </w:tcPr>
                <w:p w14:paraId="379D1CC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Φ</w:t>
                  </w:r>
                  <w:r>
                    <w:rPr>
                      <w:rFonts w:hint="eastAsia" w:ascii="Times New Roman" w:hAnsi="Times New Roman" w:eastAsia="宋体" w:cs="Times New Roman"/>
                      <w:color w:val="auto"/>
                      <w:highlight w:val="none"/>
                      <w:lang w:val="en-US" w:eastAsia="zh-CN"/>
                    </w:rPr>
                    <w:t>2m*3m</w:t>
                  </w:r>
                </w:p>
              </w:tc>
              <w:tc>
                <w:tcPr>
                  <w:tcW w:w="823" w:type="pct"/>
                  <w:tcBorders>
                    <w:tl2br w:val="nil"/>
                    <w:tr2bl w:val="nil"/>
                  </w:tcBorders>
                  <w:noWrap/>
                  <w:vAlign w:val="center"/>
                </w:tcPr>
                <w:p w14:paraId="297D8C7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个</w:t>
                  </w:r>
                </w:p>
              </w:tc>
              <w:tc>
                <w:tcPr>
                  <w:tcW w:w="488" w:type="pct"/>
                  <w:tcBorders>
                    <w:tl2br w:val="nil"/>
                    <w:tr2bl w:val="nil"/>
                  </w:tcBorders>
                  <w:noWrap/>
                  <w:vAlign w:val="center"/>
                </w:tcPr>
                <w:p w14:paraId="7DF5096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5CF10E0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1433D0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49B2A84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980" w:type="pct"/>
                  <w:tcBorders>
                    <w:tl2br w:val="nil"/>
                    <w:tr2bl w:val="nil"/>
                  </w:tcBorders>
                  <w:noWrap/>
                  <w:vAlign w:val="center"/>
                </w:tcPr>
                <w:p w14:paraId="30225D7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盐酸循环储罐</w:t>
                  </w:r>
                </w:p>
              </w:tc>
              <w:tc>
                <w:tcPr>
                  <w:tcW w:w="1187" w:type="pct"/>
                  <w:tcBorders>
                    <w:tl2br w:val="nil"/>
                    <w:tr2bl w:val="nil"/>
                  </w:tcBorders>
                  <w:noWrap/>
                  <w:vAlign w:val="center"/>
                </w:tcPr>
                <w:p w14:paraId="7293AC9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Φ</w:t>
                  </w:r>
                  <w:r>
                    <w:rPr>
                      <w:rFonts w:hint="eastAsia" w:ascii="Times New Roman" w:hAnsi="Times New Roman" w:eastAsia="宋体" w:cs="Times New Roman"/>
                      <w:color w:val="auto"/>
                      <w:highlight w:val="none"/>
                      <w:lang w:val="en-US" w:eastAsia="zh-CN"/>
                    </w:rPr>
                    <w:t>4m*4m</w:t>
                  </w:r>
                </w:p>
              </w:tc>
              <w:tc>
                <w:tcPr>
                  <w:tcW w:w="823" w:type="pct"/>
                  <w:tcBorders>
                    <w:tl2br w:val="nil"/>
                    <w:tr2bl w:val="nil"/>
                  </w:tcBorders>
                  <w:noWrap/>
                  <w:vAlign w:val="center"/>
                </w:tcPr>
                <w:p w14:paraId="0E86E18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个</w:t>
                  </w:r>
                </w:p>
              </w:tc>
              <w:tc>
                <w:tcPr>
                  <w:tcW w:w="488" w:type="pct"/>
                  <w:tcBorders>
                    <w:tl2br w:val="nil"/>
                    <w:tr2bl w:val="nil"/>
                  </w:tcBorders>
                  <w:noWrap/>
                  <w:vAlign w:val="center"/>
                </w:tcPr>
                <w:p w14:paraId="18CFAFB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6232CC3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53A1EC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0C87BBA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w:t>
                  </w:r>
                </w:p>
              </w:tc>
              <w:tc>
                <w:tcPr>
                  <w:tcW w:w="980" w:type="pct"/>
                  <w:tcBorders>
                    <w:tl2br w:val="nil"/>
                    <w:tr2bl w:val="nil"/>
                  </w:tcBorders>
                  <w:noWrap/>
                  <w:vAlign w:val="center"/>
                </w:tcPr>
                <w:p w14:paraId="0397850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电蒸汽发生器</w:t>
                  </w:r>
                </w:p>
              </w:tc>
              <w:tc>
                <w:tcPr>
                  <w:tcW w:w="1187" w:type="pct"/>
                  <w:tcBorders>
                    <w:tl2br w:val="nil"/>
                    <w:tr2bl w:val="nil"/>
                  </w:tcBorders>
                  <w:noWrap/>
                  <w:vAlign w:val="center"/>
                </w:tcPr>
                <w:p w14:paraId="4CE3BAD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0.5t/h</w:t>
                  </w:r>
                </w:p>
              </w:tc>
              <w:tc>
                <w:tcPr>
                  <w:tcW w:w="823" w:type="pct"/>
                  <w:tcBorders>
                    <w:tl2br w:val="nil"/>
                    <w:tr2bl w:val="nil"/>
                  </w:tcBorders>
                  <w:noWrap/>
                  <w:vAlign w:val="center"/>
                </w:tcPr>
                <w:p w14:paraId="0DFC0BA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台</w:t>
                  </w:r>
                </w:p>
              </w:tc>
              <w:tc>
                <w:tcPr>
                  <w:tcW w:w="488" w:type="pct"/>
                  <w:tcBorders>
                    <w:tl2br w:val="nil"/>
                    <w:tr2bl w:val="nil"/>
                  </w:tcBorders>
                  <w:noWrap/>
                  <w:vAlign w:val="center"/>
                </w:tcPr>
                <w:p w14:paraId="4F7829C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11DB0CF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727062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6A53C05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w:t>
                  </w:r>
                </w:p>
              </w:tc>
              <w:tc>
                <w:tcPr>
                  <w:tcW w:w="980" w:type="pct"/>
                  <w:tcBorders>
                    <w:tl2br w:val="nil"/>
                    <w:tr2bl w:val="nil"/>
                  </w:tcBorders>
                  <w:noWrap/>
                  <w:vAlign w:val="center"/>
                </w:tcPr>
                <w:p w14:paraId="47FC502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污水处理设备</w:t>
                  </w:r>
                </w:p>
              </w:tc>
              <w:tc>
                <w:tcPr>
                  <w:tcW w:w="1187" w:type="pct"/>
                  <w:tcBorders>
                    <w:tl2br w:val="nil"/>
                    <w:tr2bl w:val="nil"/>
                  </w:tcBorders>
                  <w:noWrap/>
                  <w:vAlign w:val="center"/>
                </w:tcPr>
                <w:p w14:paraId="74CF249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190CDF4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套</w:t>
                  </w:r>
                </w:p>
              </w:tc>
              <w:tc>
                <w:tcPr>
                  <w:tcW w:w="488" w:type="pct"/>
                  <w:tcBorders>
                    <w:tl2br w:val="nil"/>
                    <w:tr2bl w:val="nil"/>
                  </w:tcBorders>
                  <w:noWrap/>
                  <w:vAlign w:val="center"/>
                </w:tcPr>
                <w:p w14:paraId="10E0F79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209E59E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04C7C6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5B641DD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980" w:type="pct"/>
                  <w:tcBorders>
                    <w:tl2br w:val="nil"/>
                    <w:tr2bl w:val="nil"/>
                  </w:tcBorders>
                  <w:noWrap/>
                  <w:vAlign w:val="center"/>
                </w:tcPr>
                <w:p w14:paraId="69D7413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布袋除尘器</w:t>
                  </w:r>
                </w:p>
              </w:tc>
              <w:tc>
                <w:tcPr>
                  <w:tcW w:w="1187" w:type="pct"/>
                  <w:tcBorders>
                    <w:tl2br w:val="nil"/>
                    <w:tr2bl w:val="nil"/>
                  </w:tcBorders>
                  <w:noWrap/>
                  <w:vAlign w:val="center"/>
                </w:tcPr>
                <w:p w14:paraId="653D387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6D9D43FD">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台</w:t>
                  </w:r>
                </w:p>
              </w:tc>
              <w:tc>
                <w:tcPr>
                  <w:tcW w:w="488" w:type="pct"/>
                  <w:tcBorders>
                    <w:tl2br w:val="nil"/>
                    <w:tr2bl w:val="nil"/>
                  </w:tcBorders>
                  <w:noWrap/>
                  <w:vAlign w:val="center"/>
                </w:tcPr>
                <w:p w14:paraId="3830C3C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w:t>
                  </w:r>
                </w:p>
              </w:tc>
              <w:tc>
                <w:tcPr>
                  <w:tcW w:w="1091" w:type="pct"/>
                  <w:tcBorders>
                    <w:tl2br w:val="nil"/>
                    <w:tr2bl w:val="nil"/>
                  </w:tcBorders>
                  <w:noWrap/>
                  <w:vAlign w:val="center"/>
                </w:tcPr>
                <w:p w14:paraId="28600337">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03E267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56E40FF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980" w:type="pct"/>
                  <w:tcBorders>
                    <w:tl2br w:val="nil"/>
                    <w:tr2bl w:val="nil"/>
                  </w:tcBorders>
                  <w:noWrap/>
                  <w:vAlign w:val="center"/>
                </w:tcPr>
                <w:p w14:paraId="6D0096C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二级水喷淋</w:t>
                  </w:r>
                </w:p>
              </w:tc>
              <w:tc>
                <w:tcPr>
                  <w:tcW w:w="1187" w:type="pct"/>
                  <w:tcBorders>
                    <w:tl2br w:val="nil"/>
                    <w:tr2bl w:val="nil"/>
                  </w:tcBorders>
                  <w:noWrap/>
                  <w:vAlign w:val="center"/>
                </w:tcPr>
                <w:p w14:paraId="4BE30FA4">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323C353B">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套</w:t>
                  </w:r>
                </w:p>
              </w:tc>
              <w:tc>
                <w:tcPr>
                  <w:tcW w:w="488" w:type="pct"/>
                  <w:tcBorders>
                    <w:tl2br w:val="nil"/>
                    <w:tr2bl w:val="nil"/>
                  </w:tcBorders>
                  <w:noWrap/>
                  <w:vAlign w:val="center"/>
                </w:tcPr>
                <w:p w14:paraId="5F5F49F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4E195E87">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66A201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14CFA53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980" w:type="pct"/>
                  <w:tcBorders>
                    <w:tl2br w:val="nil"/>
                    <w:tr2bl w:val="nil"/>
                  </w:tcBorders>
                  <w:noWrap/>
                  <w:vAlign w:val="center"/>
                </w:tcPr>
                <w:p w14:paraId="3F7B072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低氮燃烧器</w:t>
                  </w:r>
                </w:p>
              </w:tc>
              <w:tc>
                <w:tcPr>
                  <w:tcW w:w="1187" w:type="pct"/>
                  <w:tcBorders>
                    <w:tl2br w:val="nil"/>
                    <w:tr2bl w:val="nil"/>
                  </w:tcBorders>
                  <w:noWrap/>
                  <w:vAlign w:val="center"/>
                </w:tcPr>
                <w:p w14:paraId="688327D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72D4B5F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套</w:t>
                  </w:r>
                </w:p>
              </w:tc>
              <w:tc>
                <w:tcPr>
                  <w:tcW w:w="488" w:type="pct"/>
                  <w:tcBorders>
                    <w:tl2br w:val="nil"/>
                    <w:tr2bl w:val="nil"/>
                  </w:tcBorders>
                  <w:noWrap/>
                  <w:vAlign w:val="center"/>
                </w:tcPr>
                <w:p w14:paraId="6381FC5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3C091A7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r w14:paraId="23735F8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428" w:type="pct"/>
                  <w:tcBorders>
                    <w:tl2br w:val="nil"/>
                    <w:tr2bl w:val="nil"/>
                  </w:tcBorders>
                  <w:noWrap/>
                  <w:vAlign w:val="center"/>
                </w:tcPr>
                <w:p w14:paraId="5F9B8803">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w:t>
                  </w:r>
                </w:p>
              </w:tc>
              <w:tc>
                <w:tcPr>
                  <w:tcW w:w="980" w:type="pct"/>
                  <w:tcBorders>
                    <w:tl2br w:val="nil"/>
                    <w:tr2bl w:val="nil"/>
                  </w:tcBorders>
                  <w:noWrap/>
                  <w:vAlign w:val="center"/>
                </w:tcPr>
                <w:p w14:paraId="0255B9C5">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SNCR脱硝装置</w:t>
                  </w:r>
                </w:p>
              </w:tc>
              <w:tc>
                <w:tcPr>
                  <w:tcW w:w="1187" w:type="pct"/>
                  <w:tcBorders>
                    <w:tl2br w:val="nil"/>
                    <w:tr2bl w:val="nil"/>
                  </w:tcBorders>
                  <w:noWrap/>
                  <w:vAlign w:val="center"/>
                </w:tcPr>
                <w:p w14:paraId="0B592BD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45F7066C">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台</w:t>
                  </w:r>
                </w:p>
              </w:tc>
              <w:tc>
                <w:tcPr>
                  <w:tcW w:w="488" w:type="pct"/>
                  <w:tcBorders>
                    <w:tl2br w:val="nil"/>
                    <w:tr2bl w:val="nil"/>
                  </w:tcBorders>
                  <w:noWrap/>
                  <w:vAlign w:val="center"/>
                </w:tcPr>
                <w:p w14:paraId="2B9DE1B6">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17385E75">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外购</w:t>
                  </w:r>
                </w:p>
              </w:tc>
            </w:tr>
            <w:tr w14:paraId="274E24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3" w:hRule="atLeast"/>
                <w:jc w:val="center"/>
              </w:trPr>
              <w:tc>
                <w:tcPr>
                  <w:tcW w:w="428" w:type="pct"/>
                  <w:tcBorders>
                    <w:tl2br w:val="nil"/>
                    <w:tr2bl w:val="nil"/>
                  </w:tcBorders>
                  <w:noWrap/>
                  <w:vAlign w:val="center"/>
                </w:tcPr>
                <w:p w14:paraId="781E147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w:t>
                  </w:r>
                </w:p>
              </w:tc>
              <w:tc>
                <w:tcPr>
                  <w:tcW w:w="980" w:type="pct"/>
                  <w:tcBorders>
                    <w:tl2br w:val="nil"/>
                    <w:tr2bl w:val="nil"/>
                  </w:tcBorders>
                  <w:noWrap/>
                  <w:vAlign w:val="center"/>
                </w:tcPr>
                <w:p w14:paraId="598EC0D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除雾器</w:t>
                  </w:r>
                </w:p>
              </w:tc>
              <w:tc>
                <w:tcPr>
                  <w:tcW w:w="1187" w:type="pct"/>
                  <w:tcBorders>
                    <w:tl2br w:val="nil"/>
                    <w:tr2bl w:val="nil"/>
                  </w:tcBorders>
                  <w:noWrap/>
                  <w:vAlign w:val="center"/>
                </w:tcPr>
                <w:p w14:paraId="27A0C39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823" w:type="pct"/>
                  <w:tcBorders>
                    <w:tl2br w:val="nil"/>
                    <w:tr2bl w:val="nil"/>
                  </w:tcBorders>
                  <w:noWrap/>
                  <w:vAlign w:val="center"/>
                </w:tcPr>
                <w:p w14:paraId="353682E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台</w:t>
                  </w:r>
                </w:p>
              </w:tc>
              <w:tc>
                <w:tcPr>
                  <w:tcW w:w="488" w:type="pct"/>
                  <w:tcBorders>
                    <w:tl2br w:val="nil"/>
                    <w:tr2bl w:val="nil"/>
                  </w:tcBorders>
                  <w:noWrap/>
                  <w:vAlign w:val="center"/>
                </w:tcPr>
                <w:p w14:paraId="585ED50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091" w:type="pct"/>
                  <w:tcBorders>
                    <w:tl2br w:val="nil"/>
                    <w:tr2bl w:val="nil"/>
                  </w:tcBorders>
                  <w:noWrap/>
                  <w:vAlign w:val="center"/>
                </w:tcPr>
                <w:p w14:paraId="78964D6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r>
          </w:tbl>
          <w:p w14:paraId="3FF901E9">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六、本项目建成后产品方案见下表。</w:t>
            </w:r>
          </w:p>
          <w:p w14:paraId="034890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cs="Times New Roman"/>
                <w:b/>
                <w:color w:val="auto"/>
                <w:szCs w:val="21"/>
                <w:highlight w:val="none"/>
                <w:lang w:val="en-US" w:eastAsia="zh-CN"/>
              </w:rPr>
              <w:t xml:space="preserve">7 </w:t>
            </w:r>
            <w:r>
              <w:rPr>
                <w:rFonts w:hint="default" w:ascii="Times New Roman" w:hAnsi="Times New Roman" w:eastAsia="宋体" w:cs="Times New Roman"/>
                <w:b/>
                <w:color w:val="auto"/>
                <w:szCs w:val="21"/>
                <w:highlight w:val="none"/>
                <w:lang w:val="en-US" w:eastAsia="zh-CN"/>
              </w:rPr>
              <w:t>项目建成后产品方案一览表</w:t>
            </w:r>
          </w:p>
          <w:tbl>
            <w:tblPr>
              <w:tblStyle w:val="32"/>
              <w:tblW w:w="8738"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62"/>
              <w:gridCol w:w="3471"/>
              <w:gridCol w:w="2489"/>
              <w:gridCol w:w="1816"/>
            </w:tblGrid>
            <w:tr w14:paraId="4C228A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6" w:hRule="atLeast"/>
              </w:trPr>
              <w:tc>
                <w:tcPr>
                  <w:tcW w:w="550" w:type="pct"/>
                  <w:noWrap w:val="0"/>
                  <w:vAlign w:val="center"/>
                </w:tcPr>
                <w:p w14:paraId="0940911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序号</w:t>
                  </w:r>
                </w:p>
              </w:tc>
              <w:tc>
                <w:tcPr>
                  <w:tcW w:w="1986" w:type="pct"/>
                  <w:noWrap w:val="0"/>
                  <w:vAlign w:val="center"/>
                </w:tcPr>
                <w:p w14:paraId="5F0D77B0">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产品名称</w:t>
                  </w:r>
                </w:p>
              </w:tc>
              <w:tc>
                <w:tcPr>
                  <w:tcW w:w="1424" w:type="pct"/>
                  <w:noWrap w:val="0"/>
                  <w:vAlign w:val="center"/>
                </w:tcPr>
                <w:p w14:paraId="5DC6FBD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产能</w:t>
                  </w:r>
                </w:p>
              </w:tc>
              <w:tc>
                <w:tcPr>
                  <w:tcW w:w="1039" w:type="pct"/>
                  <w:noWrap w:val="0"/>
                  <w:vAlign w:val="center"/>
                </w:tcPr>
                <w:p w14:paraId="520B5D1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备注</w:t>
                  </w:r>
                </w:p>
              </w:tc>
            </w:tr>
            <w:tr w14:paraId="2AC1B3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6" w:hRule="atLeast"/>
              </w:trPr>
              <w:tc>
                <w:tcPr>
                  <w:tcW w:w="550" w:type="pct"/>
                  <w:noWrap w:val="0"/>
                  <w:vAlign w:val="center"/>
                </w:tcPr>
                <w:p w14:paraId="059D2DD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986" w:type="pct"/>
                  <w:noWrap w:val="0"/>
                  <w:vAlign w:val="center"/>
                </w:tcPr>
                <w:p w14:paraId="05017F2F">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新能源电池用高纯晶体纳米新材料</w:t>
                  </w:r>
                </w:p>
              </w:tc>
              <w:tc>
                <w:tcPr>
                  <w:tcW w:w="1424" w:type="pct"/>
                  <w:noWrap w:val="0"/>
                  <w:vAlign w:val="center"/>
                </w:tcPr>
                <w:p w14:paraId="4FFE533E">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3.6万</w:t>
                  </w:r>
                  <w:r>
                    <w:rPr>
                      <w:rFonts w:hint="default" w:ascii="Times New Roman" w:hAnsi="Times New Roman" w:eastAsia="宋体" w:cs="Times New Roman"/>
                      <w:color w:val="auto"/>
                      <w:highlight w:val="none"/>
                      <w:lang w:val="en-US" w:eastAsia="zh-CN"/>
                    </w:rPr>
                    <w:t>t/a</w:t>
                  </w:r>
                </w:p>
              </w:tc>
              <w:tc>
                <w:tcPr>
                  <w:tcW w:w="1039" w:type="pct"/>
                  <w:noWrap w:val="0"/>
                  <w:vAlign w:val="center"/>
                </w:tcPr>
                <w:p w14:paraId="6D5B5D9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8FC4F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5" w:hRule="atLeast"/>
              </w:trPr>
              <w:tc>
                <w:tcPr>
                  <w:tcW w:w="5000" w:type="pct"/>
                  <w:gridSpan w:val="4"/>
                  <w:noWrap w:val="0"/>
                  <w:vAlign w:val="center"/>
                </w:tcPr>
                <w:p w14:paraId="4BED27B1">
                  <w:pPr>
                    <w:keepNext w:val="0"/>
                    <w:keepLines w:val="0"/>
                    <w:suppressLineNumbers w:val="0"/>
                    <w:autoSpaceDE w:val="0"/>
                    <w:autoSpaceDN w:val="0"/>
                    <w:spacing w:before="0" w:beforeAutospacing="0" w:after="0" w:afterAutospacing="0"/>
                    <w:ind w:left="0" w:right="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备注：产品标准为</w:t>
                  </w:r>
                  <w:r>
                    <w:rPr>
                      <w:rFonts w:hint="default" w:ascii="Times New Roman" w:hAnsi="Times New Roman" w:cs="Times New Roman"/>
                      <w:b w:val="0"/>
                      <w:bCs w:val="0"/>
                      <w:color w:val="auto"/>
                      <w:sz w:val="21"/>
                      <w:szCs w:val="21"/>
                      <w:highlight w:val="none"/>
                      <w:lang w:val="en-US" w:eastAsia="zh-CN"/>
                    </w:rPr>
                    <w:t>α</w:t>
                  </w:r>
                  <w:r>
                    <w:rPr>
                      <w:rFonts w:hint="default" w:ascii="Times New Roman" w:hAnsi="Times New Roman" w:eastAsia="宋体" w:cs="Times New Roman"/>
                      <w:b w:val="0"/>
                      <w:bCs w:val="0"/>
                      <w:color w:val="auto"/>
                      <w:sz w:val="21"/>
                      <w:szCs w:val="21"/>
                      <w:highlight w:val="none"/>
                      <w:lang w:val="en-US" w:eastAsia="zh-CN"/>
                    </w:rPr>
                    <w:t>Al₂O₃</w:t>
                  </w:r>
                  <w:r>
                    <w:rPr>
                      <w:rFonts w:hint="eastAsia" w:cs="Times New Roman"/>
                      <w:color w:val="auto"/>
                      <w:highlight w:val="none"/>
                      <w:lang w:val="en-US" w:eastAsia="zh-CN"/>
                    </w:rPr>
                    <w:t>纯度＞99.9%，产品主要用于锂电池隔膜的纳米氧化铝涂层，提高隔膜的热收缩性能，增强电池安全性。</w:t>
                  </w:r>
                </w:p>
              </w:tc>
            </w:tr>
          </w:tbl>
          <w:p w14:paraId="2BE5C3B3">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七、公用工程</w:t>
            </w:r>
          </w:p>
          <w:p w14:paraId="2DFAC39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1、给水</w:t>
            </w:r>
          </w:p>
          <w:p w14:paraId="7AE7706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本</w:t>
            </w:r>
            <w:r>
              <w:rPr>
                <w:rFonts w:hint="default" w:ascii="Times New Roman" w:hAnsi="Times New Roman" w:cs="Times New Roman"/>
                <w:color w:val="auto"/>
                <w:sz w:val="24"/>
                <w:szCs w:val="32"/>
                <w:highlight w:val="none"/>
              </w:rPr>
              <w:t>项目</w:t>
            </w:r>
            <w:r>
              <w:rPr>
                <w:rFonts w:hint="eastAsia" w:ascii="Times New Roman" w:hAnsi="Times New Roman" w:cs="Times New Roman"/>
                <w:color w:val="auto"/>
                <w:sz w:val="24"/>
                <w:szCs w:val="32"/>
                <w:highlight w:val="none"/>
                <w:lang w:val="en-US" w:eastAsia="zh-CN"/>
              </w:rPr>
              <w:t>生活</w:t>
            </w:r>
            <w:r>
              <w:rPr>
                <w:rFonts w:hint="default" w:ascii="Times New Roman" w:hAnsi="Times New Roman" w:cs="Times New Roman"/>
                <w:color w:val="auto"/>
                <w:sz w:val="24"/>
                <w:szCs w:val="32"/>
                <w:highlight w:val="none"/>
              </w:rPr>
              <w:t>用水</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水喷淋补充用水、脱硝用水</w:t>
            </w:r>
            <w:r>
              <w:rPr>
                <w:rFonts w:hint="default" w:ascii="Times New Roman" w:hAnsi="Times New Roman" w:cs="Times New Roman"/>
                <w:color w:val="auto"/>
                <w:sz w:val="24"/>
                <w:szCs w:val="32"/>
                <w:highlight w:val="none"/>
              </w:rPr>
              <w:t>来自</w:t>
            </w:r>
            <w:r>
              <w:rPr>
                <w:rFonts w:hint="default" w:ascii="Times New Roman" w:hAnsi="Times New Roman" w:cs="Times New Roman"/>
                <w:color w:val="auto"/>
                <w:sz w:val="24"/>
                <w:szCs w:val="32"/>
                <w:highlight w:val="none"/>
                <w:lang w:val="en-US" w:eastAsia="zh-CN"/>
              </w:rPr>
              <w:t>淄川区</w:t>
            </w:r>
            <w:r>
              <w:rPr>
                <w:rFonts w:hint="default" w:ascii="Times New Roman" w:hAnsi="Times New Roman" w:cs="Times New Roman"/>
                <w:color w:val="auto"/>
                <w:sz w:val="24"/>
                <w:szCs w:val="32"/>
                <w:highlight w:val="none"/>
              </w:rPr>
              <w:t>自来水管网</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盐酸配置用水、搅拌用水、蒸汽发生器补充用水，使用外购软水</w:t>
            </w:r>
            <w:r>
              <w:rPr>
                <w:rFonts w:hint="default" w:ascii="Times New Roman" w:hAnsi="Times New Roman" w:cs="Times New Roman"/>
                <w:color w:val="auto"/>
                <w:sz w:val="24"/>
                <w:szCs w:val="32"/>
                <w:highlight w:val="none"/>
                <w:lang w:val="en-US" w:eastAsia="zh-CN"/>
              </w:rPr>
              <w:t>。</w:t>
            </w:r>
          </w:p>
          <w:p w14:paraId="58BC423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lang w:val="en-US" w:eastAsia="zh-CN"/>
              </w:rPr>
              <w:t>生活用水：</w:t>
            </w:r>
            <w:r>
              <w:rPr>
                <w:rFonts w:hint="default" w:ascii="Times New Roman" w:hAnsi="Times New Roman" w:cs="Times New Roman"/>
                <w:color w:val="auto"/>
                <w:sz w:val="24"/>
                <w:szCs w:val="32"/>
                <w:highlight w:val="none"/>
              </w:rPr>
              <w:t>项目职工</w:t>
            </w:r>
            <w:r>
              <w:rPr>
                <w:rFonts w:hint="eastAsia" w:ascii="Times New Roman" w:hAnsi="Times New Roman" w:cs="Times New Roman"/>
                <w:color w:val="auto"/>
                <w:sz w:val="24"/>
                <w:szCs w:val="32"/>
                <w:highlight w:val="none"/>
                <w:lang w:val="en-US" w:eastAsia="zh-CN"/>
              </w:rPr>
              <w:t>20</w:t>
            </w:r>
            <w:r>
              <w:rPr>
                <w:rFonts w:hint="default" w:ascii="Times New Roman" w:hAnsi="Times New Roman" w:cs="Times New Roman"/>
                <w:color w:val="auto"/>
                <w:sz w:val="24"/>
                <w:szCs w:val="32"/>
                <w:highlight w:val="none"/>
              </w:rPr>
              <w:t>人，根据</w:t>
            </w:r>
            <w:r>
              <w:rPr>
                <w:rFonts w:hint="default" w:ascii="Times New Roman" w:hAnsi="Times New Roman" w:cs="Times New Roman"/>
                <w:color w:val="auto"/>
                <w:sz w:val="24"/>
                <w:szCs w:val="24"/>
                <w:highlight w:val="none"/>
              </w:rPr>
              <w:t>《建筑给水设计规范》（GB50075-2003）</w:t>
            </w:r>
            <w:r>
              <w:rPr>
                <w:rFonts w:hint="default" w:ascii="Times New Roman" w:hAnsi="Times New Roman" w:cs="Times New Roman"/>
                <w:color w:val="auto"/>
                <w:sz w:val="24"/>
                <w:szCs w:val="32"/>
                <w:highlight w:val="none"/>
              </w:rPr>
              <w:t>工业企业建筑生活用水定额，职工用水量按照30L/人·d 计；每年按300个工作日计，年生活用水量为</w:t>
            </w:r>
            <w:r>
              <w:rPr>
                <w:rFonts w:hint="eastAsia" w:ascii="Times New Roman" w:hAnsi="Times New Roman" w:cs="Times New Roman"/>
                <w:color w:val="auto"/>
                <w:sz w:val="24"/>
                <w:szCs w:val="32"/>
                <w:highlight w:val="none"/>
                <w:lang w:val="en-US" w:eastAsia="zh-CN"/>
              </w:rPr>
              <w:t>180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p>
          <w:p w14:paraId="298553D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水喷淋补充用水：根据企业提供资料，二级水喷淋蒸发损耗量为20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eastAsia" w:ascii="Times New Roman" w:hAnsi="Times New Roman" w:cs="Times New Roman"/>
                <w:color w:val="auto"/>
                <w:sz w:val="24"/>
                <w:szCs w:val="32"/>
                <w:highlight w:val="none"/>
                <w:lang w:val="en-US" w:eastAsia="zh-CN"/>
              </w:rPr>
              <w:t>/a，</w:t>
            </w:r>
            <w:r>
              <w:rPr>
                <w:rFonts w:hint="eastAsia" w:ascii="Times New Roman" w:hAnsi="Times New Roman" w:eastAsia="宋体" w:cs="Times New Roman"/>
                <w:color w:val="000000"/>
                <w:sz w:val="24"/>
                <w:szCs w:val="24"/>
                <w:highlight w:val="none"/>
                <w:lang w:val="en-US" w:eastAsia="zh-CN"/>
              </w:rPr>
              <w:t>配套循环水池容积为3m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，每月更换一次，年补充水量为56</w:t>
            </w:r>
            <w:r>
              <w:rPr>
                <w:rFonts w:hint="default" w:ascii="Times New Roman" w:hAnsi="Times New Roman" w:eastAsia="宋体" w:cs="Times New Roman"/>
                <w:color w:val="000000"/>
                <w:sz w:val="24"/>
                <w:szCs w:val="24"/>
                <w:highlight w:val="none"/>
              </w:rPr>
              <w:t>m</w:t>
            </w:r>
            <w:r>
              <w:rPr>
                <w:rFonts w:hint="default" w:ascii="Times New Roman" w:hAnsi="Times New Roman" w:eastAsia="宋体" w:cs="Times New Roman"/>
                <w:color w:val="000000"/>
                <w:sz w:val="24"/>
                <w:szCs w:val="24"/>
                <w:highlight w:val="none"/>
                <w:vertAlign w:val="superscript"/>
              </w:rPr>
              <w:t>3</w:t>
            </w:r>
            <w:r>
              <w:rPr>
                <w:rFonts w:hint="default" w:ascii="Times New Roman" w:hAnsi="Times New Roman" w:eastAsia="宋体" w:cs="Times New Roman"/>
                <w:color w:val="000000"/>
                <w:kern w:val="2"/>
                <w:sz w:val="24"/>
                <w:szCs w:val="24"/>
                <w:highlight w:val="none"/>
                <w:lang w:val="en-US" w:eastAsia="zh-CN" w:bidi="ar-SA"/>
              </w:rPr>
              <w:t>/a</w:t>
            </w:r>
            <w:r>
              <w:rPr>
                <w:rFonts w:hint="default" w:ascii="Times New Roman" w:hAnsi="Times New Roman" w:cs="Times New Roman"/>
                <w:color w:val="auto"/>
                <w:sz w:val="24"/>
                <w:szCs w:val="32"/>
                <w:highlight w:val="none"/>
              </w:rPr>
              <w:t>。</w:t>
            </w:r>
          </w:p>
          <w:p w14:paraId="2EE97E83">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auto"/>
                <w:sz w:val="24"/>
                <w:szCs w:val="32"/>
                <w:highlight w:val="none"/>
                <w:lang w:val="en-US" w:eastAsia="zh-CN"/>
              </w:rPr>
            </w:pPr>
            <w:r>
              <w:rPr>
                <w:rFonts w:hint="default" w:ascii="Times New Roman" w:hAnsi="Times New Roman" w:cs="Times New Roman"/>
                <w:color w:val="auto"/>
                <w:sz w:val="24"/>
                <w:szCs w:val="32"/>
                <w:highlight w:val="none"/>
                <w:lang w:val="en-US" w:eastAsia="zh-CN"/>
              </w:rPr>
              <w:t>盐酸配置用水</w:t>
            </w:r>
            <w:r>
              <w:rPr>
                <w:rFonts w:hint="eastAsia" w:ascii="Times New Roman" w:hAnsi="Times New Roman" w:cs="Times New Roman"/>
                <w:color w:val="auto"/>
                <w:sz w:val="24"/>
                <w:szCs w:val="32"/>
                <w:highlight w:val="none"/>
                <w:lang w:val="en-US" w:eastAsia="zh-CN"/>
              </w:rPr>
              <w:t>：本项目生产过程使用的盐酸浓度为10%，通过软水来稀释浓盐酸后制取，外购工业盐酸（浓度33%）量为</w:t>
            </w:r>
            <w:r>
              <w:rPr>
                <w:rFonts w:hint="eastAsia" w:cs="Times New Roman"/>
                <w:color w:val="auto"/>
                <w:sz w:val="24"/>
                <w:szCs w:val="32"/>
                <w:highlight w:val="none"/>
                <w:lang w:val="en-US" w:eastAsia="zh-CN"/>
              </w:rPr>
              <w:t>402.45</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eastAsia" w:ascii="Times New Roman" w:hAnsi="Times New Roman" w:cs="Times New Roman"/>
                <w:color w:val="auto"/>
                <w:sz w:val="24"/>
                <w:szCs w:val="32"/>
                <w:highlight w:val="none"/>
                <w:lang w:val="en-US" w:eastAsia="zh-CN"/>
              </w:rPr>
              <w:t>/a，则盐酸配置用水量为</w:t>
            </w:r>
            <w:r>
              <w:rPr>
                <w:rFonts w:hint="eastAsia" w:cs="Times New Roman"/>
                <w:color w:val="auto"/>
                <w:sz w:val="24"/>
                <w:szCs w:val="32"/>
                <w:highlight w:val="none"/>
                <w:lang w:val="en-US" w:eastAsia="zh-CN"/>
              </w:rPr>
              <w:t>925.64</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eastAsia" w:ascii="Times New Roman" w:hAnsi="Times New Roman" w:cs="Times New Roman"/>
                <w:color w:val="auto"/>
                <w:sz w:val="24"/>
                <w:szCs w:val="32"/>
                <w:highlight w:val="none"/>
                <w:lang w:val="en-US" w:eastAsia="zh-CN"/>
              </w:rPr>
              <w:t>/a。</w:t>
            </w:r>
          </w:p>
          <w:p w14:paraId="2A10B0E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搅拌用水：根据企业提供资料，二次搅拌和三次搅拌用水量均为50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eastAsia" w:ascii="Times New Roman" w:hAnsi="Times New Roman" w:cs="Times New Roman"/>
                <w:color w:val="auto"/>
                <w:sz w:val="24"/>
                <w:szCs w:val="32"/>
                <w:highlight w:val="none"/>
                <w:lang w:val="en-US" w:eastAsia="zh-CN"/>
              </w:rPr>
              <w:t>/d，则搅拌用水（软水）总量为30000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p>
          <w:p w14:paraId="0F18D22C">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auto"/>
                <w:sz w:val="24"/>
                <w:szCs w:val="32"/>
                <w:highlight w:val="none"/>
                <w:lang w:eastAsia="zh-CN"/>
              </w:rPr>
            </w:pPr>
            <w:r>
              <w:rPr>
                <w:rFonts w:hint="eastAsia" w:ascii="Times New Roman" w:hAnsi="Times New Roman" w:cs="Times New Roman"/>
                <w:color w:val="auto"/>
                <w:sz w:val="24"/>
                <w:szCs w:val="32"/>
                <w:highlight w:val="none"/>
                <w:lang w:val="en-US" w:eastAsia="zh-CN"/>
              </w:rPr>
              <w:t>蒸汽发生器补充用水：本项目二次搅拌罐通过蒸汽加热保温，电加热蒸汽发生器‌额定蒸发量为0.5t/h，年运行2400h，蒸汽冷凝后回用，回用率按80%计，则软水补充量为240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eastAsia" w:ascii="Times New Roman" w:hAnsi="Times New Roman" w:cs="Times New Roman"/>
                <w:color w:val="auto"/>
                <w:sz w:val="24"/>
                <w:szCs w:val="32"/>
                <w:highlight w:val="none"/>
                <w:lang w:eastAsia="zh-CN"/>
              </w:rPr>
              <w:t>。</w:t>
            </w:r>
          </w:p>
          <w:p w14:paraId="11C89C37">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脱硝用水：脱硝使用尿素溶液浓度为25%，尿素用量为20t/a，新鲜水用量约为80m</w:t>
            </w:r>
            <w:r>
              <w:rPr>
                <w:rFonts w:hint="eastAsia" w:ascii="Times New Roman" w:hAnsi="Times New Roman" w:cs="Times New Roman"/>
                <w:color w:val="auto"/>
                <w:sz w:val="24"/>
                <w:szCs w:val="32"/>
                <w:highlight w:val="none"/>
                <w:vertAlign w:val="superscript"/>
                <w:lang w:val="en-US" w:eastAsia="zh-CN"/>
              </w:rPr>
              <w:t>3</w:t>
            </w:r>
            <w:r>
              <w:rPr>
                <w:rFonts w:hint="eastAsia" w:ascii="Times New Roman" w:hAnsi="Times New Roman" w:cs="Times New Roman"/>
                <w:color w:val="auto"/>
                <w:sz w:val="24"/>
                <w:szCs w:val="32"/>
                <w:highlight w:val="none"/>
                <w:lang w:val="en-US" w:eastAsia="zh-CN"/>
              </w:rPr>
              <w:t>/a。</w:t>
            </w:r>
          </w:p>
          <w:p w14:paraId="160CD94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cs="Times New Roman"/>
                <w:color w:val="auto"/>
                <w:sz w:val="24"/>
                <w:szCs w:val="32"/>
                <w:highlight w:val="none"/>
                <w:lang w:val="en-US" w:eastAsia="zh-CN"/>
              </w:rPr>
              <w:t>综上述所述，</w:t>
            </w:r>
            <w:r>
              <w:rPr>
                <w:rFonts w:hint="eastAsia" w:ascii="Times New Roman" w:hAnsi="Times New Roman" w:cs="Times New Roman"/>
                <w:color w:val="auto"/>
                <w:sz w:val="24"/>
                <w:szCs w:val="32"/>
                <w:highlight w:val="none"/>
                <w:lang w:val="en-US" w:eastAsia="zh-CN"/>
              </w:rPr>
              <w:t>本项目自来水用量316</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软水总用量为</w:t>
            </w:r>
            <w:r>
              <w:rPr>
                <w:rFonts w:hint="eastAsia" w:cs="Times New Roman"/>
                <w:color w:val="auto"/>
                <w:sz w:val="24"/>
                <w:szCs w:val="32"/>
                <w:highlight w:val="none"/>
                <w:lang w:val="en-US" w:eastAsia="zh-CN"/>
              </w:rPr>
              <w:t>31165.64</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p>
          <w:p w14:paraId="1138495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2、排水</w:t>
            </w:r>
          </w:p>
          <w:p w14:paraId="128A384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cs="Times New Roman"/>
                <w:color w:val="auto"/>
                <w:sz w:val="24"/>
                <w:szCs w:val="32"/>
                <w:highlight w:val="none"/>
              </w:rPr>
              <w:t>本项目产生的废水</w:t>
            </w:r>
            <w:r>
              <w:rPr>
                <w:rFonts w:hint="eastAsia" w:ascii="Times New Roman" w:hAnsi="Times New Roman" w:cs="Times New Roman"/>
                <w:color w:val="auto"/>
                <w:sz w:val="24"/>
                <w:szCs w:val="32"/>
                <w:highlight w:val="none"/>
                <w:lang w:val="en-US" w:eastAsia="zh-CN"/>
              </w:rPr>
              <w:t>主要</w:t>
            </w:r>
            <w:r>
              <w:rPr>
                <w:rFonts w:hint="default" w:ascii="Times New Roman" w:hAnsi="Times New Roman" w:cs="Times New Roman"/>
                <w:color w:val="auto"/>
                <w:sz w:val="24"/>
                <w:szCs w:val="32"/>
                <w:highlight w:val="none"/>
              </w:rPr>
              <w:t>为生活污水</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压滤废水、水喷淋废水，蒸汽发生器补充用水、脱硝用水全部蒸发损耗</w:t>
            </w:r>
            <w:r>
              <w:rPr>
                <w:rFonts w:hint="default" w:ascii="Times New Roman" w:hAnsi="Times New Roman" w:cs="Times New Roman"/>
                <w:color w:val="auto"/>
                <w:sz w:val="24"/>
                <w:szCs w:val="32"/>
                <w:highlight w:val="none"/>
                <w:lang w:val="en-US" w:eastAsia="zh-CN"/>
              </w:rPr>
              <w:t>。</w:t>
            </w:r>
          </w:p>
          <w:p w14:paraId="58B3CBD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生活污水</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生活污水产生量按生活用水量的80%计算，即</w:t>
            </w:r>
            <w:r>
              <w:rPr>
                <w:rFonts w:hint="eastAsia" w:ascii="Times New Roman" w:hAnsi="Times New Roman" w:cs="Times New Roman"/>
                <w:color w:val="auto"/>
                <w:sz w:val="24"/>
                <w:szCs w:val="32"/>
                <w:highlight w:val="none"/>
                <w:lang w:val="en-US" w:eastAsia="zh-CN"/>
              </w:rPr>
              <w:t>144</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p>
          <w:p w14:paraId="110F78E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压滤废水：压滤废水产生量按搅拌用水</w:t>
            </w:r>
            <w:r>
              <w:rPr>
                <w:rFonts w:hint="default" w:ascii="Times New Roman" w:hAnsi="Times New Roman" w:cs="Times New Roman"/>
                <w:color w:val="auto"/>
                <w:sz w:val="24"/>
                <w:szCs w:val="32"/>
                <w:highlight w:val="none"/>
              </w:rPr>
              <w:t>量的80%计算，即</w:t>
            </w:r>
            <w:r>
              <w:rPr>
                <w:rFonts w:hint="eastAsia" w:ascii="Times New Roman" w:hAnsi="Times New Roman" w:cs="Times New Roman"/>
                <w:color w:val="auto"/>
                <w:sz w:val="24"/>
                <w:szCs w:val="32"/>
                <w:highlight w:val="none"/>
                <w:lang w:val="en-US" w:eastAsia="zh-CN"/>
              </w:rPr>
              <w:t>24000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eastAsia" w:ascii="Times New Roman" w:hAnsi="Times New Roman" w:cs="Times New Roman"/>
                <w:color w:val="auto"/>
                <w:sz w:val="24"/>
                <w:szCs w:val="32"/>
                <w:highlight w:val="none"/>
                <w:lang w:val="en-US" w:eastAsia="zh-CN"/>
              </w:rPr>
              <w:t>剩余20%软化水随产品进入烘干工序，全部蒸发损耗。</w:t>
            </w:r>
          </w:p>
          <w:p w14:paraId="3CBD177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水喷淋废水：二级水喷淋</w:t>
            </w:r>
            <w:r>
              <w:rPr>
                <w:rFonts w:hint="eastAsia" w:ascii="Times New Roman" w:hAnsi="Times New Roman" w:eastAsia="宋体" w:cs="Times New Roman"/>
                <w:color w:val="000000"/>
                <w:sz w:val="24"/>
                <w:szCs w:val="24"/>
                <w:highlight w:val="none"/>
                <w:lang w:val="en-US" w:eastAsia="zh-CN"/>
              </w:rPr>
              <w:t>配套循环水池容积为3m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，每月更换一次，</w:t>
            </w:r>
            <w:r>
              <w:rPr>
                <w:rFonts w:hint="eastAsia" w:ascii="Times New Roman" w:hAnsi="Times New Roman" w:eastAsia="宋体" w:cs="Times New Roman"/>
                <w:color w:val="auto"/>
                <w:sz w:val="24"/>
                <w:szCs w:val="32"/>
                <w:highlight w:val="none"/>
                <w:lang w:val="en-US" w:eastAsia="zh-CN"/>
              </w:rPr>
              <w:t>喷淋废水产生量为36</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eastAsia" w:ascii="Times New Roman" w:hAnsi="Times New Roman" w:cs="Times New Roman"/>
                <w:color w:val="auto"/>
                <w:sz w:val="24"/>
                <w:szCs w:val="32"/>
                <w:highlight w:val="none"/>
                <w:lang w:val="en-US" w:eastAsia="zh-CN"/>
              </w:rPr>
              <w:t>。</w:t>
            </w:r>
          </w:p>
          <w:p w14:paraId="0528A23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生活污水经化粪池处理</w:t>
            </w:r>
            <w:r>
              <w:rPr>
                <w:rFonts w:hint="default" w:ascii="Times New Roman" w:hAnsi="Times New Roman" w:cs="Times New Roman"/>
                <w:color w:val="auto"/>
                <w:sz w:val="24"/>
                <w:szCs w:val="32"/>
                <w:highlight w:val="none"/>
                <w:lang w:val="en-US" w:eastAsia="zh-CN"/>
              </w:rPr>
              <w:t>，</w:t>
            </w:r>
            <w:r>
              <w:rPr>
                <w:rFonts w:hint="eastAsia" w:ascii="Times New Roman" w:hAnsi="Times New Roman" w:cs="Times New Roman"/>
                <w:color w:val="auto"/>
                <w:sz w:val="24"/>
                <w:szCs w:val="32"/>
                <w:highlight w:val="none"/>
                <w:lang w:val="en-US" w:eastAsia="zh-CN"/>
              </w:rPr>
              <w:t>压滤废水、水喷淋废水通过厂区污水设备处理达标后</w:t>
            </w:r>
            <w:r>
              <w:rPr>
                <w:rFonts w:hint="default" w:ascii="Times New Roman" w:hAnsi="Times New Roman" w:cs="Times New Roman"/>
                <w:color w:val="auto"/>
                <w:sz w:val="24"/>
                <w:szCs w:val="32"/>
                <w:highlight w:val="none"/>
                <w:lang w:val="en-US" w:eastAsia="zh-CN"/>
              </w:rPr>
              <w:t>，与生活污水一同经污水管网排入至葛洲坝水务淄博淄川有限公司。</w:t>
            </w:r>
          </w:p>
          <w:p w14:paraId="08FA9BC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项目水平衡见</w:t>
            </w:r>
            <w:r>
              <w:rPr>
                <w:rFonts w:hint="default" w:ascii="Times New Roman" w:hAnsi="Times New Roman" w:cs="Times New Roman"/>
                <w:color w:val="auto"/>
                <w:sz w:val="24"/>
                <w:szCs w:val="32"/>
                <w:highlight w:val="none"/>
                <w:lang w:val="en-US" w:eastAsia="zh-CN"/>
              </w:rPr>
              <w:t>框</w:t>
            </w:r>
            <w:r>
              <w:rPr>
                <w:rFonts w:hint="default" w:ascii="Times New Roman" w:hAnsi="Times New Roman" w:cs="Times New Roman"/>
                <w:color w:val="auto"/>
                <w:sz w:val="24"/>
                <w:szCs w:val="32"/>
                <w:highlight w:val="none"/>
              </w:rPr>
              <w:t>图2-1。</w:t>
            </w:r>
          </w:p>
          <w:p w14:paraId="0B13DF7B">
            <w:pPr>
              <w:pStyle w:val="2"/>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lang w:eastAsia="zh-CN"/>
              </w:rPr>
              <w:object>
                <v:shape id="_x0000_i1025" o:spt="75" type="#_x0000_t75" style="height:318.05pt;width:331.7pt;" o:ole="t" filled="f" o:preferrelative="t" stroked="f" coordsize="21600,21600">
                  <v:path/>
                  <v:fill on="f" focussize="0,0"/>
                  <v:stroke on="f"/>
                  <v:imagedata r:id="rId21" o:title=""/>
                  <o:lock v:ext="edit" aspectratio="f"/>
                  <w10:wrap type="none"/>
                  <w10:anchorlock/>
                </v:shape>
                <o:OLEObject Type="Embed" ProgID="Visio.Drawing.11" ShapeID="_x0000_i1025" DrawAspect="Content" ObjectID="_1468075725" r:id="rId20">
                  <o:LockedField>false</o:LockedField>
                </o:OLEObject>
              </w:object>
            </w:r>
          </w:p>
          <w:p w14:paraId="76E0C18A">
            <w:pPr>
              <w:keepNext w:val="0"/>
              <w:keepLines w:val="0"/>
              <w:suppressLineNumbers w:val="0"/>
              <w:spacing w:before="0" w:beforeAutospacing="0" w:after="0" w:afterAutospacing="0" w:line="360" w:lineRule="auto"/>
              <w:ind w:left="0" w:right="0"/>
              <w:jc w:val="righ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 xml:space="preserve">图2-1项目水平衡图 </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rPr>
              <w:t xml:space="preserve"> 单位：m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/a</w:t>
            </w:r>
          </w:p>
          <w:p w14:paraId="3F2931E2">
            <w:pPr>
              <w:keepNext w:val="0"/>
              <w:keepLines w:val="0"/>
              <w:suppressLineNumbers w:val="0"/>
              <w:spacing w:before="0" w:beforeAutospacing="0" w:after="0" w:afterAutospacing="0" w:line="360" w:lineRule="auto"/>
              <w:ind w:left="0" w:right="0" w:firstLine="470" w:firstLineChars="196"/>
              <w:outlineLvl w:val="3"/>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3、供电</w:t>
            </w:r>
          </w:p>
          <w:p w14:paraId="06562EC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该项目用电由</w:t>
            </w:r>
            <w:r>
              <w:rPr>
                <w:rFonts w:hint="default" w:ascii="Times New Roman" w:hAnsi="Times New Roman" w:cs="Times New Roman"/>
                <w:color w:val="auto"/>
                <w:sz w:val="24"/>
                <w:szCs w:val="32"/>
                <w:highlight w:val="none"/>
                <w:lang w:eastAsia="zh-CN"/>
              </w:rPr>
              <w:t>淄博淄川区</w:t>
            </w:r>
            <w:r>
              <w:rPr>
                <w:rFonts w:hint="default" w:ascii="Times New Roman" w:hAnsi="Times New Roman" w:cs="Times New Roman"/>
                <w:color w:val="auto"/>
                <w:sz w:val="24"/>
                <w:szCs w:val="32"/>
                <w:highlight w:val="none"/>
              </w:rPr>
              <w:t>电网提供，年耗电量约</w:t>
            </w:r>
            <w:r>
              <w:rPr>
                <w:rFonts w:hint="eastAsia" w:ascii="Times New Roman" w:hAnsi="Times New Roman" w:cs="Times New Roman"/>
                <w:color w:val="auto"/>
                <w:sz w:val="24"/>
                <w:szCs w:val="32"/>
                <w:highlight w:val="none"/>
                <w:lang w:val="en-US" w:eastAsia="zh-CN"/>
              </w:rPr>
              <w:t>100</w:t>
            </w:r>
            <w:r>
              <w:rPr>
                <w:rFonts w:hint="default" w:ascii="Times New Roman" w:hAnsi="Times New Roman" w:cs="Times New Roman"/>
                <w:color w:val="auto"/>
                <w:sz w:val="24"/>
                <w:szCs w:val="32"/>
                <w:highlight w:val="none"/>
              </w:rPr>
              <w:t>万kWh。车间及办公室内电源插座均设漏电保护装置，厂区主要建筑物屋顶均设避雷带，作防雷保护。按照接地规程要求，所有电气设备金属外壳均作可靠接地、接零、防静电保护。</w:t>
            </w:r>
          </w:p>
          <w:p w14:paraId="540100B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4、消防安全</w:t>
            </w:r>
          </w:p>
          <w:p w14:paraId="5831202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本项目遵照《建筑设计防火规范》（GB50016-2014</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2018版）、《消防设施通用规范》</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GB55036-2022）、《建筑防火通用规范》</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GB55037-2022）、《建筑灭火器配置设计规范》（GB50140-2005）等设计规范，对厂区配备消防栓、灭火器等消防器材和设施，以保障安全生产。环保设施安装过程要严格执行规范要求，运行过程中要定期进行安全检查，确保环保设施稳定运行。</w:t>
            </w:r>
          </w:p>
          <w:p w14:paraId="56829864">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八、总平面布置及其合理性分析</w:t>
            </w:r>
          </w:p>
          <w:p w14:paraId="6BEA4D0E">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1、平面布置原则</w:t>
            </w:r>
          </w:p>
          <w:p w14:paraId="244026D1">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工程所处位置及周边状况，按照国家规范和生产工艺流程的要求，结合现场地形，保证工艺流程顺畅，衔接方便。严格遵守有关标准规范，确保安全生产，考虑防火、卫生安全距离及检修要求，因地制宜，进行合理功能分区，力求布置紧凑、布局合理，节约用地，统一规划，有利于生产管理和环境保护。</w:t>
            </w:r>
          </w:p>
          <w:p w14:paraId="5C9877FF">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2、厂房平面布置</w:t>
            </w:r>
          </w:p>
          <w:p w14:paraId="6AC117E8">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拟建项目位于</w:t>
            </w:r>
            <w:r>
              <w:rPr>
                <w:rFonts w:hint="eastAsia" w:ascii="Times New Roman" w:hAnsi="Times New Roman" w:eastAsia="宋体" w:cs="Times New Roman"/>
                <w:color w:val="auto"/>
                <w:sz w:val="24"/>
                <w:highlight w:val="none"/>
                <w:lang w:val="en-US" w:eastAsia="zh-CN"/>
              </w:rPr>
              <w:t>山东省淄博市淄川区双杨镇小庄村沿河路东部现有厂房</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cs="Times New Roman"/>
                <w:color w:val="auto"/>
                <w:sz w:val="24"/>
                <w:szCs w:val="32"/>
                <w:highlight w:val="none"/>
              </w:rPr>
              <w:t>项目布置1</w:t>
            </w:r>
            <w:r>
              <w:rPr>
                <w:rFonts w:hint="eastAsia" w:ascii="Times New Roman" w:hAnsi="Times New Roman" w:cs="Times New Roman"/>
                <w:color w:val="auto"/>
                <w:sz w:val="24"/>
                <w:szCs w:val="32"/>
                <w:highlight w:val="none"/>
                <w:lang w:val="en-US" w:eastAsia="zh-CN"/>
              </w:rPr>
              <w:t>座</w:t>
            </w:r>
            <w:r>
              <w:rPr>
                <w:rFonts w:hint="default" w:ascii="Times New Roman" w:hAnsi="Times New Roman" w:cs="Times New Roman"/>
                <w:color w:val="auto"/>
                <w:sz w:val="24"/>
                <w:szCs w:val="32"/>
                <w:highlight w:val="none"/>
              </w:rPr>
              <w:t>生产车间</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1座仓库、1座办公室</w:t>
            </w:r>
            <w:r>
              <w:rPr>
                <w:rFonts w:hint="default" w:ascii="Times New Roman" w:hAnsi="Times New Roman" w:cs="Times New Roman"/>
                <w:color w:val="auto"/>
                <w:sz w:val="24"/>
                <w:szCs w:val="32"/>
                <w:highlight w:val="none"/>
              </w:rPr>
              <w:t>。项目平面布置详见附图3。</w:t>
            </w:r>
          </w:p>
          <w:p w14:paraId="026CFE0D">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3、平面布置合理性分析</w:t>
            </w:r>
          </w:p>
          <w:p w14:paraId="4852BB2D">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（1）项目以产品的加工生产流程为原则布置，顺延了物料走向，交通方便，便于物料的运输；</w:t>
            </w:r>
          </w:p>
          <w:p w14:paraId="257BB1B2">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（2）该项目评价范围内不涉及自然保护区、风景名胜区等需要特殊保护的敏感目标，其他敏感目标距离项目均较远，因此生产过程对其环境影响较小；</w:t>
            </w:r>
          </w:p>
          <w:p w14:paraId="5FFAA6BF">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（3）该项目对外界环境要求不高，且周围企业采取相应的环保措施后能够满足相应大气及厂界噪声排放标准，对该项目环境影响程度较小。因此，该项目与厂区周围环境相协调；</w:t>
            </w:r>
          </w:p>
          <w:p w14:paraId="758375E1">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（4）厂区平面布置可以满足企业生产和管理要求，符合国家和地方有关环保、防火、安全、卫生等方面的要求；</w:t>
            </w:r>
          </w:p>
          <w:p w14:paraId="597ADD3A">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（5）厂区内通道宽阔，能满足产品的运输和消防要求。</w:t>
            </w:r>
          </w:p>
          <w:p w14:paraId="506B54A2">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4"/>
                <w:szCs w:val="32"/>
                <w:highlight w:val="none"/>
              </w:rPr>
              <w:t>由以上分析，项目区平面布置较为合理。</w:t>
            </w:r>
          </w:p>
          <w:p w14:paraId="5889E067">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九、环保投资情况</w:t>
            </w:r>
          </w:p>
          <w:p w14:paraId="402DA40E">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rPr>
              <w:t>项目总投资</w:t>
            </w:r>
            <w:r>
              <w:rPr>
                <w:rFonts w:hint="eastAsia" w:cs="Times New Roman"/>
                <w:color w:val="auto"/>
                <w:sz w:val="24"/>
                <w:szCs w:val="22"/>
                <w:highlight w:val="none"/>
                <w:lang w:val="en-US" w:eastAsia="zh-CN"/>
              </w:rPr>
              <w:t>1200</w:t>
            </w:r>
            <w:r>
              <w:rPr>
                <w:rFonts w:hint="default" w:ascii="Times New Roman" w:hAnsi="Times New Roman" w:cs="Times New Roman"/>
                <w:color w:val="auto"/>
                <w:sz w:val="24"/>
                <w:szCs w:val="22"/>
                <w:highlight w:val="none"/>
              </w:rPr>
              <w:t>万元，环保投资</w:t>
            </w:r>
            <w:r>
              <w:rPr>
                <w:rFonts w:hint="eastAsia" w:cs="Times New Roman"/>
                <w:color w:val="auto"/>
                <w:sz w:val="24"/>
                <w:szCs w:val="22"/>
                <w:highlight w:val="none"/>
                <w:lang w:val="en-US" w:eastAsia="zh-CN"/>
              </w:rPr>
              <w:t>44</w:t>
            </w:r>
            <w:r>
              <w:rPr>
                <w:rFonts w:hint="default" w:ascii="Times New Roman" w:hAnsi="Times New Roman" w:cs="Times New Roman"/>
                <w:color w:val="auto"/>
                <w:sz w:val="24"/>
                <w:szCs w:val="22"/>
                <w:highlight w:val="none"/>
              </w:rPr>
              <w:t>万元，占工程总投资的</w:t>
            </w:r>
            <w:r>
              <w:rPr>
                <w:rFonts w:hint="eastAsia" w:cs="Times New Roman"/>
                <w:color w:val="auto"/>
                <w:sz w:val="24"/>
                <w:szCs w:val="22"/>
                <w:highlight w:val="none"/>
                <w:lang w:val="en-US" w:eastAsia="zh-CN"/>
              </w:rPr>
              <w:t>3.7</w:t>
            </w:r>
            <w:r>
              <w:rPr>
                <w:rFonts w:hint="default" w:ascii="Times New Roman" w:hAnsi="Times New Roman" w:cs="Times New Roman"/>
                <w:color w:val="auto"/>
                <w:sz w:val="24"/>
                <w:szCs w:val="22"/>
                <w:highlight w:val="none"/>
              </w:rPr>
              <w:t>%，见</w:t>
            </w:r>
            <w:r>
              <w:rPr>
                <w:rFonts w:hint="eastAsia" w:cs="Times New Roman"/>
                <w:color w:val="auto"/>
                <w:sz w:val="24"/>
                <w:szCs w:val="22"/>
                <w:highlight w:val="none"/>
                <w:lang w:val="en-US" w:eastAsia="zh-CN"/>
              </w:rPr>
              <w:t>下</w:t>
            </w:r>
            <w:r>
              <w:rPr>
                <w:rFonts w:hint="default" w:ascii="Times New Roman" w:hAnsi="Times New Roman" w:cs="Times New Roman"/>
                <w:color w:val="auto"/>
                <w:sz w:val="24"/>
                <w:szCs w:val="22"/>
                <w:highlight w:val="none"/>
              </w:rPr>
              <w:t>表</w:t>
            </w:r>
            <w:r>
              <w:rPr>
                <w:rFonts w:hint="default" w:ascii="Times New Roman" w:hAnsi="Times New Roman" w:cs="Times New Roman"/>
                <w:color w:val="auto"/>
                <w:sz w:val="24"/>
                <w:szCs w:val="22"/>
                <w:highlight w:val="none"/>
                <w:lang w:val="en-US" w:eastAsia="zh-CN"/>
              </w:rPr>
              <w:t>。</w:t>
            </w:r>
          </w:p>
          <w:p w14:paraId="668EE3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 w:val="22"/>
                <w:szCs w:val="22"/>
                <w:highlight w:val="none"/>
                <w:lang w:val="en-US" w:eastAsia="zh-CN"/>
              </w:rPr>
            </w:pPr>
            <w:r>
              <w:rPr>
                <w:rFonts w:hint="default" w:ascii="Times New Roman" w:hAnsi="Times New Roman" w:eastAsia="宋体" w:cs="Times New Roman"/>
                <w:b/>
                <w:color w:val="auto"/>
                <w:sz w:val="22"/>
                <w:szCs w:val="22"/>
                <w:highlight w:val="none"/>
                <w:lang w:val="en-US" w:eastAsia="zh-CN"/>
              </w:rPr>
              <w:t>表2-</w:t>
            </w:r>
            <w:r>
              <w:rPr>
                <w:rFonts w:hint="eastAsia" w:cs="Times New Roman"/>
                <w:b/>
                <w:color w:val="auto"/>
                <w:sz w:val="22"/>
                <w:szCs w:val="22"/>
                <w:highlight w:val="none"/>
                <w:lang w:val="en-US" w:eastAsia="zh-CN"/>
              </w:rPr>
              <w:t>8</w:t>
            </w:r>
            <w:r>
              <w:rPr>
                <w:rFonts w:hint="default" w:ascii="Times New Roman" w:hAnsi="Times New Roman" w:eastAsia="宋体" w:cs="Times New Roman"/>
                <w:b/>
                <w:color w:val="auto"/>
                <w:sz w:val="22"/>
                <w:szCs w:val="22"/>
                <w:highlight w:val="none"/>
                <w:lang w:val="en-US" w:eastAsia="zh-CN"/>
              </w:rPr>
              <w:t>工程环保设施（措施）及投资估算一览表</w:t>
            </w:r>
          </w:p>
          <w:tbl>
            <w:tblPr>
              <w:tblStyle w:val="32"/>
              <w:tblW w:w="877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07"/>
              <w:gridCol w:w="1366"/>
              <w:gridCol w:w="4467"/>
              <w:gridCol w:w="1938"/>
            </w:tblGrid>
            <w:tr w14:paraId="05B4AD2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8" w:hRule="atLeast"/>
                <w:jc w:val="center"/>
              </w:trPr>
              <w:tc>
                <w:tcPr>
                  <w:tcW w:w="1007" w:type="dxa"/>
                  <w:noWrap w:val="0"/>
                  <w:vAlign w:val="center"/>
                </w:tcPr>
                <w:p w14:paraId="0ECDA308">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1366" w:type="dxa"/>
                  <w:noWrap w:val="0"/>
                  <w:vAlign w:val="center"/>
                </w:tcPr>
                <w:p w14:paraId="5927D615">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项目名称</w:t>
                  </w:r>
                </w:p>
              </w:tc>
              <w:tc>
                <w:tcPr>
                  <w:tcW w:w="4467" w:type="dxa"/>
                  <w:noWrap w:val="0"/>
                  <w:vAlign w:val="center"/>
                </w:tcPr>
                <w:p w14:paraId="02C54227">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治理设施</w:t>
                  </w:r>
                </w:p>
              </w:tc>
              <w:tc>
                <w:tcPr>
                  <w:tcW w:w="1938" w:type="dxa"/>
                  <w:noWrap w:val="0"/>
                  <w:vAlign w:val="center"/>
                </w:tcPr>
                <w:p w14:paraId="128D8494">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投资（万元）</w:t>
                  </w:r>
                </w:p>
              </w:tc>
            </w:tr>
            <w:tr w14:paraId="67B2BC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06" w:hRule="atLeast"/>
                <w:jc w:val="center"/>
              </w:trPr>
              <w:tc>
                <w:tcPr>
                  <w:tcW w:w="1007" w:type="dxa"/>
                  <w:noWrap w:val="0"/>
                  <w:vAlign w:val="center"/>
                </w:tcPr>
                <w:p w14:paraId="7431CE7D">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66" w:type="dxa"/>
                  <w:noWrap w:val="0"/>
                  <w:vAlign w:val="center"/>
                </w:tcPr>
                <w:p w14:paraId="5DC5500D">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4467" w:type="dxa"/>
                  <w:noWrap w:val="0"/>
                  <w:vAlign w:val="center"/>
                </w:tcPr>
                <w:p w14:paraId="1B197291">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二级水喷淋+除雾器+布袋除尘器</w:t>
                  </w:r>
                  <w:r>
                    <w:rPr>
                      <w:rFonts w:hint="default" w:ascii="Times New Roman" w:hAnsi="Times New Roman" w:cs="Times New Roman"/>
                      <w:color w:val="auto"/>
                      <w:highlight w:val="none"/>
                      <w:lang w:val="en-US" w:eastAsia="zh-CN"/>
                    </w:rPr>
                    <w:t>、</w:t>
                  </w:r>
                  <w:r>
                    <w:rPr>
                      <w:rFonts w:hint="eastAsia" w:eastAsia="宋体" w:cs="Times New Roman"/>
                      <w:color w:val="auto"/>
                      <w:sz w:val="21"/>
                      <w:szCs w:val="24"/>
                      <w:lang w:val="en-US" w:eastAsia="zh-CN"/>
                    </w:rPr>
                    <w:t>低氮燃烧器、SNCR脱硝装置+布袋除尘器</w:t>
                  </w:r>
                  <w:r>
                    <w:rPr>
                      <w:rFonts w:hint="default" w:ascii="Times New Roman" w:hAnsi="Times New Roman" w:cs="Times New Roman"/>
                      <w:color w:val="auto"/>
                      <w:highlight w:val="none"/>
                      <w:lang w:val="en-US" w:eastAsia="zh-CN"/>
                    </w:rPr>
                    <w:t>等</w:t>
                  </w:r>
                </w:p>
              </w:tc>
              <w:tc>
                <w:tcPr>
                  <w:tcW w:w="1938" w:type="dxa"/>
                  <w:noWrap w:val="0"/>
                  <w:vAlign w:val="center"/>
                </w:tcPr>
                <w:p w14:paraId="5C90F41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w:t>
                  </w:r>
                </w:p>
              </w:tc>
            </w:tr>
            <w:tr w14:paraId="380FC9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4" w:hRule="atLeast"/>
                <w:jc w:val="center"/>
              </w:trPr>
              <w:tc>
                <w:tcPr>
                  <w:tcW w:w="1007" w:type="dxa"/>
                  <w:vMerge w:val="restart"/>
                  <w:noWrap w:val="0"/>
                  <w:vAlign w:val="center"/>
                </w:tcPr>
                <w:p w14:paraId="02249EB1">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2</w:t>
                  </w:r>
                </w:p>
              </w:tc>
              <w:tc>
                <w:tcPr>
                  <w:tcW w:w="1366" w:type="dxa"/>
                  <w:vMerge w:val="restart"/>
                  <w:noWrap w:val="0"/>
                  <w:vAlign w:val="center"/>
                </w:tcPr>
                <w:p w14:paraId="0A0B8521">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4467" w:type="dxa"/>
                  <w:noWrap w:val="0"/>
                  <w:vAlign w:val="center"/>
                </w:tcPr>
                <w:p w14:paraId="5D287133">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化粪池</w:t>
                  </w:r>
                </w:p>
              </w:tc>
              <w:tc>
                <w:tcPr>
                  <w:tcW w:w="1938" w:type="dxa"/>
                  <w:noWrap w:val="0"/>
                  <w:vAlign w:val="center"/>
                </w:tcPr>
                <w:p w14:paraId="3C79FBBD">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依托现有</w:t>
                  </w:r>
                </w:p>
              </w:tc>
            </w:tr>
            <w:tr w14:paraId="24CE50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4" w:hRule="atLeast"/>
                <w:jc w:val="center"/>
              </w:trPr>
              <w:tc>
                <w:tcPr>
                  <w:tcW w:w="1007" w:type="dxa"/>
                  <w:vMerge w:val="continue"/>
                  <w:noWrap w:val="0"/>
                  <w:vAlign w:val="center"/>
                </w:tcPr>
                <w:p w14:paraId="3AFC626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lang w:val="en-US" w:eastAsia="zh-CN"/>
                    </w:rPr>
                  </w:pPr>
                </w:p>
              </w:tc>
              <w:tc>
                <w:tcPr>
                  <w:tcW w:w="1366" w:type="dxa"/>
                  <w:vMerge w:val="continue"/>
                  <w:noWrap w:val="0"/>
                  <w:vAlign w:val="center"/>
                </w:tcPr>
                <w:p w14:paraId="15EBE08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p>
              </w:tc>
              <w:tc>
                <w:tcPr>
                  <w:tcW w:w="4467" w:type="dxa"/>
                  <w:noWrap w:val="0"/>
                  <w:vAlign w:val="center"/>
                </w:tcPr>
                <w:p w14:paraId="510903A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废水处理设备</w:t>
                  </w:r>
                </w:p>
              </w:tc>
              <w:tc>
                <w:tcPr>
                  <w:tcW w:w="1938" w:type="dxa"/>
                  <w:noWrap w:val="0"/>
                  <w:vAlign w:val="center"/>
                </w:tcPr>
                <w:p w14:paraId="4FEFFB0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r>
            <w:tr w14:paraId="6DCE9A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8" w:hRule="atLeast"/>
                <w:jc w:val="center"/>
              </w:trPr>
              <w:tc>
                <w:tcPr>
                  <w:tcW w:w="1007" w:type="dxa"/>
                  <w:noWrap w:val="0"/>
                  <w:vAlign w:val="center"/>
                </w:tcPr>
                <w:p w14:paraId="5BB53646">
                  <w:pPr>
                    <w:pStyle w:val="2"/>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3</w:t>
                  </w:r>
                </w:p>
              </w:tc>
              <w:tc>
                <w:tcPr>
                  <w:tcW w:w="1366" w:type="dxa"/>
                  <w:noWrap w:val="0"/>
                  <w:vAlign w:val="center"/>
                </w:tcPr>
                <w:p w14:paraId="60DCB668">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4467" w:type="dxa"/>
                  <w:noWrap w:val="0"/>
                  <w:vAlign w:val="center"/>
                </w:tcPr>
                <w:p w14:paraId="687D654B">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隔声、减振</w:t>
                  </w:r>
                </w:p>
              </w:tc>
              <w:tc>
                <w:tcPr>
                  <w:tcW w:w="1938" w:type="dxa"/>
                  <w:noWrap w:val="0"/>
                  <w:vAlign w:val="center"/>
                </w:tcPr>
                <w:p w14:paraId="65C117F6">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r>
            <w:tr w14:paraId="6F9832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06" w:hRule="atLeast"/>
                <w:jc w:val="center"/>
              </w:trPr>
              <w:tc>
                <w:tcPr>
                  <w:tcW w:w="1007" w:type="dxa"/>
                  <w:noWrap w:val="0"/>
                  <w:vAlign w:val="center"/>
                </w:tcPr>
                <w:p w14:paraId="0B7DF496">
                  <w:pPr>
                    <w:pStyle w:val="2"/>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4</w:t>
                  </w:r>
                </w:p>
              </w:tc>
              <w:tc>
                <w:tcPr>
                  <w:tcW w:w="1366" w:type="dxa"/>
                  <w:noWrap w:val="0"/>
                  <w:vAlign w:val="center"/>
                </w:tcPr>
                <w:p w14:paraId="227FD3D2">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4467" w:type="dxa"/>
                  <w:noWrap w:val="0"/>
                  <w:vAlign w:val="center"/>
                </w:tcPr>
                <w:p w14:paraId="4A260C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一般工业固废暂存处</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占地</w:t>
                  </w: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p w14:paraId="4122ACF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危废暂存间：占地</w:t>
                  </w: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tc>
              <w:tc>
                <w:tcPr>
                  <w:tcW w:w="1938" w:type="dxa"/>
                  <w:noWrap w:val="0"/>
                  <w:vAlign w:val="center"/>
                </w:tcPr>
                <w:p w14:paraId="32B2491B">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r>
            <w:tr w14:paraId="5FFB91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1" w:hRule="atLeast"/>
                <w:jc w:val="center"/>
              </w:trPr>
              <w:tc>
                <w:tcPr>
                  <w:tcW w:w="6840" w:type="dxa"/>
                  <w:gridSpan w:val="3"/>
                  <w:noWrap w:val="0"/>
                  <w:vAlign w:val="center"/>
                </w:tcPr>
                <w:p w14:paraId="12CE2422">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1938" w:type="dxa"/>
                  <w:noWrap w:val="0"/>
                  <w:vAlign w:val="center"/>
                </w:tcPr>
                <w:p w14:paraId="5C240302">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44</w:t>
                  </w:r>
                </w:p>
              </w:tc>
            </w:tr>
          </w:tbl>
          <w:p w14:paraId="07AE36AC">
            <w:pPr>
              <w:keepNext w:val="0"/>
              <w:keepLines w:val="0"/>
              <w:suppressLineNumbers w:val="0"/>
              <w:spacing w:before="0" w:beforeAutospacing="0" w:after="0" w:afterAutospacing="0" w:line="360" w:lineRule="auto"/>
              <w:ind w:left="0" w:right="0"/>
              <w:jc w:val="left"/>
              <w:rPr>
                <w:rFonts w:hint="eastAsia" w:ascii="Times New Roman" w:hAnsi="Times New Roman" w:eastAsia="宋体" w:cs="Times New Roman"/>
                <w:color w:val="auto"/>
                <w:highlight w:val="none"/>
                <w:lang w:val="en-US" w:eastAsia="zh-CN"/>
              </w:rPr>
            </w:pPr>
          </w:p>
        </w:tc>
      </w:tr>
      <w:tr w14:paraId="2CECF9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1C7F65A7">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Cs w:val="24"/>
                <w:highlight w:val="none"/>
              </w:rPr>
              <w:t>工艺流程和产排污环节</w:t>
            </w:r>
          </w:p>
        </w:tc>
        <w:tc>
          <w:tcPr>
            <w:tcW w:w="8161" w:type="dxa"/>
            <w:noWrap w:val="0"/>
            <w:vAlign w:val="top"/>
          </w:tcPr>
          <w:p w14:paraId="73258824">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一、施工期</w:t>
            </w:r>
          </w:p>
          <w:p w14:paraId="63091596">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项目利用现有</w:t>
            </w:r>
            <w:r>
              <w:rPr>
                <w:rFonts w:hint="default" w:ascii="Times New Roman" w:hAnsi="Times New Roman" w:cs="Times New Roman"/>
                <w:color w:val="auto"/>
                <w:sz w:val="24"/>
                <w:highlight w:val="none"/>
                <w:lang w:val="en-US" w:eastAsia="zh-CN"/>
              </w:rPr>
              <w:t>闲置</w:t>
            </w:r>
            <w:r>
              <w:rPr>
                <w:rFonts w:hint="default" w:ascii="Times New Roman" w:hAnsi="Times New Roman" w:cs="Times New Roman"/>
                <w:color w:val="auto"/>
                <w:sz w:val="24"/>
                <w:highlight w:val="none"/>
              </w:rPr>
              <w:t>厂房，</w:t>
            </w:r>
            <w:r>
              <w:rPr>
                <w:rFonts w:hint="default" w:ascii="Times New Roman" w:hAnsi="Times New Roman" w:cs="Times New Roman"/>
                <w:color w:val="auto"/>
                <w:sz w:val="24"/>
                <w:highlight w:val="none"/>
                <w:lang w:val="en-US" w:eastAsia="zh-CN"/>
              </w:rPr>
              <w:t>不涉及拆除现有工程，</w:t>
            </w:r>
            <w:r>
              <w:rPr>
                <w:rFonts w:hint="default" w:ascii="Times New Roman" w:hAnsi="Times New Roman" w:cs="Times New Roman"/>
                <w:color w:val="auto"/>
                <w:sz w:val="24"/>
                <w:highlight w:val="none"/>
              </w:rPr>
              <w:t>施工期主要为设备的安装、调试等，对周围环境影响较小，本次评价不再赘述施工期的环境影响。</w:t>
            </w:r>
          </w:p>
          <w:p w14:paraId="12B5AD07">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二、运营期</w:t>
            </w:r>
          </w:p>
          <w:p w14:paraId="03A660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1、生产工艺流程及产污环节图</w:t>
            </w:r>
          </w:p>
          <w:p w14:paraId="5FC9AE5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cs="Times New Roman"/>
                <w:color w:val="auto"/>
              </w:rPr>
              <w:object>
                <v:shape id="_x0000_i1026" o:spt="75" type="#_x0000_t75" style="height:111.35pt;width:444.9pt;" o:ole="t" filled="f" o:preferrelative="t" stroked="f" coordsize="21600,21600">
                  <v:path/>
                  <v:fill on="f" focussize="0,0"/>
                  <v:stroke on="f"/>
                  <v:imagedata r:id="rId23" o:title=""/>
                  <o:lock v:ext="edit" aspectratio="f"/>
                  <w10:wrap type="none"/>
                  <w10:anchorlock/>
                </v:shape>
                <o:OLEObject Type="Embed" ProgID="Visio.Drawing.11" ShapeID="_x0000_i1026" DrawAspect="Content" ObjectID="_1468075726" r:id="rId22">
                  <o:LockedField>false</o:LockedField>
                </o:OLEObject>
              </w:object>
            </w:r>
            <w:r>
              <w:rPr>
                <w:rFonts w:hint="default" w:ascii="Times New Roman" w:hAnsi="Times New Roman" w:eastAsia="宋体" w:cs="Times New Roman"/>
                <w:b/>
                <w:color w:val="auto"/>
                <w:szCs w:val="21"/>
                <w:highlight w:val="none"/>
                <w:lang w:val="en-US" w:eastAsia="zh-CN"/>
              </w:rPr>
              <w:object>
                <v:shape id="_x0000_i1027" o:spt="75" type="#_x0000_t75" style="height:0.05pt;width:0.05pt;" o:ole="t" filled="f" o:preferrelative="t" stroked="f" coordsize="21600,21600">
                  <v:path/>
                  <v:fill on="f" focussize="0,0"/>
                  <v:stroke on="f"/>
                  <v:imagedata r:id="rId25" o:title=""/>
                  <o:lock v:ext="edit" aspectratio="t"/>
                  <w10:wrap type="none"/>
                  <w10:anchorlock/>
                </v:shape>
                <o:OLEObject Type="Embed" ProgID="EdrawMax.EdrawDocument.1" ShapeID="_x0000_i1027" DrawAspect="Content" ObjectID="_1468075727" r:id="rId24">
                  <o:LockedField>false</o:LockedField>
                </o:OLEObject>
              </w:object>
            </w:r>
            <w:r>
              <w:rPr>
                <w:rFonts w:hint="default" w:ascii="Times New Roman" w:hAnsi="Times New Roman" w:eastAsia="宋体" w:cs="Times New Roman"/>
                <w:b/>
                <w:color w:val="auto"/>
                <w:szCs w:val="21"/>
                <w:highlight w:val="none"/>
                <w:lang w:val="en-US" w:eastAsia="zh-CN"/>
              </w:rPr>
              <w:t xml:space="preserve">图2-2 </w:t>
            </w:r>
            <w:r>
              <w:rPr>
                <w:rFonts w:hint="eastAsia"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本项目生产工艺流程图</w:t>
            </w:r>
          </w:p>
          <w:p w14:paraId="16E4CB29">
            <w:pPr>
              <w:pStyle w:val="69"/>
              <w:keepNext w:val="0"/>
              <w:keepLines w:val="0"/>
              <w:suppressLineNumbers w:val="0"/>
              <w:spacing w:before="120" w:beforeAutospacing="0" w:after="0" w:afterAutospacing="0" w:line="360" w:lineRule="auto"/>
              <w:ind w:left="0" w:right="0" w:firstLine="472" w:firstLineChars="196"/>
              <w:jc w:val="both"/>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2、工艺流程简述</w:t>
            </w:r>
          </w:p>
          <w:p w14:paraId="613DF937">
            <w:pPr>
              <w:keepNext w:val="0"/>
              <w:keepLines w:val="0"/>
              <w:suppressLineNumbers w:val="0"/>
              <w:spacing w:before="0" w:beforeAutospacing="0" w:after="0" w:afterAutospacing="0" w:line="360" w:lineRule="auto"/>
              <w:ind w:left="0" w:right="0" w:firstLine="482" w:firstLineChars="200"/>
              <w:rPr>
                <w:rFonts w:hint="eastAsia" w:cs="Times New Roman"/>
                <w:snapToGrid w:val="0"/>
                <w:color w:val="auto"/>
                <w:kern w:val="0"/>
                <w:sz w:val="24"/>
                <w:szCs w:val="24"/>
                <w:lang w:val="en-US" w:eastAsia="zh-CN" w:bidi="ar-SA"/>
              </w:rPr>
            </w:pPr>
            <w:r>
              <w:rPr>
                <w:rFonts w:hint="eastAsia" w:cs="Times New Roman"/>
                <w:b/>
                <w:bCs/>
                <w:snapToGrid w:val="0"/>
                <w:color w:val="auto"/>
                <w:kern w:val="0"/>
                <w:sz w:val="24"/>
                <w:szCs w:val="24"/>
                <w:lang w:val="en-US" w:eastAsia="zh-CN" w:bidi="ar-SA"/>
              </w:rPr>
              <w:t>工艺原理：</w:t>
            </w:r>
            <w:r>
              <w:rPr>
                <w:rFonts w:hint="eastAsia" w:cs="Times New Roman"/>
                <w:b w:val="0"/>
                <w:bCs w:val="0"/>
                <w:snapToGrid w:val="0"/>
                <w:color w:val="auto"/>
                <w:kern w:val="0"/>
                <w:sz w:val="24"/>
                <w:szCs w:val="24"/>
                <w:lang w:val="en-US" w:eastAsia="zh-CN" w:bidi="ar-SA"/>
              </w:rPr>
              <w:t>根据原料高纯晶体氧化铝粉出厂检测报告（详见附件8）可知，外购</w:t>
            </w:r>
            <w:r>
              <w:rPr>
                <w:rFonts w:hint="eastAsia" w:cs="Times New Roman"/>
                <w:snapToGrid w:val="0"/>
                <w:color w:val="auto"/>
                <w:kern w:val="0"/>
                <w:sz w:val="24"/>
                <w:szCs w:val="24"/>
                <w:lang w:val="en-US" w:eastAsia="zh-CN" w:bidi="ar-SA"/>
              </w:rPr>
              <w:t>的高纯晶体氧化铝粉主要成份为</w:t>
            </w:r>
            <w:r>
              <w:rPr>
                <w:rFonts w:hint="default" w:ascii="Times New Roman" w:hAnsi="Times New Roman" w:cs="Times New Roman"/>
                <w:b w:val="0"/>
                <w:bCs w:val="0"/>
                <w:color w:val="auto"/>
                <w:sz w:val="24"/>
                <w:szCs w:val="32"/>
                <w:highlight w:val="none"/>
                <w:lang w:val="en-US" w:eastAsia="zh-CN"/>
              </w:rPr>
              <w:t>α</w:t>
            </w:r>
            <w:r>
              <w:rPr>
                <w:rFonts w:hint="default" w:ascii="Times New Roman" w:hAnsi="Times New Roman" w:eastAsia="宋体" w:cs="Times New Roman"/>
                <w:b w:val="0"/>
                <w:bCs w:val="0"/>
                <w:color w:val="auto"/>
                <w:sz w:val="24"/>
                <w:szCs w:val="32"/>
                <w:highlight w:val="none"/>
                <w:lang w:val="en-US" w:eastAsia="zh-CN"/>
              </w:rPr>
              <w:t>Al₂O₃</w:t>
            </w:r>
            <w:r>
              <w:rPr>
                <w:rFonts w:hint="eastAsia" w:cs="Times New Roman"/>
                <w:snapToGrid w:val="0"/>
                <w:color w:val="auto"/>
                <w:kern w:val="0"/>
                <w:sz w:val="24"/>
                <w:szCs w:val="24"/>
                <w:lang w:val="en-US" w:eastAsia="zh-CN" w:bidi="ar-SA"/>
              </w:rPr>
              <w:t>，含有少量杂质，杂质主要为氧化钠、氧化铁、二氧化硅等杂质，通过10%盐酸、干冰去除杂质。</w:t>
            </w:r>
          </w:p>
          <w:p w14:paraId="08F3896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szCs w:val="32"/>
                <w:highlight w:val="none"/>
                <w:lang w:val="en-US" w:eastAsia="zh-CN"/>
              </w:rPr>
            </w:pPr>
            <w:r>
              <w:rPr>
                <w:rFonts w:hint="default" w:ascii="Times New Roman" w:hAnsi="Times New Roman" w:cs="Times New Roman"/>
                <w:b w:val="0"/>
                <w:bCs w:val="0"/>
                <w:color w:val="auto"/>
                <w:sz w:val="24"/>
                <w:szCs w:val="32"/>
                <w:highlight w:val="none"/>
                <w:lang w:val="en-US" w:eastAsia="zh-CN"/>
              </w:rPr>
              <w:t>α</w:t>
            </w:r>
            <w:r>
              <w:rPr>
                <w:rFonts w:hint="default" w:ascii="Times New Roman" w:hAnsi="Times New Roman" w:eastAsia="宋体" w:cs="Times New Roman"/>
                <w:b w:val="0"/>
                <w:bCs w:val="0"/>
                <w:color w:val="auto"/>
                <w:sz w:val="24"/>
                <w:szCs w:val="32"/>
                <w:highlight w:val="none"/>
                <w:lang w:val="en-US" w:eastAsia="zh-CN"/>
              </w:rPr>
              <w:t>Al₂O₃</w:t>
            </w:r>
            <w:r>
              <w:rPr>
                <w:rFonts w:hint="default" w:ascii="Times New Roman" w:hAnsi="Times New Roman" w:cs="Times New Roman"/>
                <w:b w:val="0"/>
                <w:bCs w:val="0"/>
                <w:color w:val="auto"/>
                <w:sz w:val="24"/>
                <w:szCs w:val="32"/>
                <w:highlight w:val="none"/>
                <w:lang w:val="en-US" w:eastAsia="zh-CN"/>
              </w:rPr>
              <w:t>结构稳定，化学性质不活泼，属于三方晶系，其中O²⁻离子近似呈现六方最密堆积（HCP）排列。铝离子则填充在八面体空隙中，而氧离子则形成了紧密的排列。这种紧密的堆积方式赋予了晶体较高的晶格能。α</w:t>
            </w:r>
            <w:r>
              <w:rPr>
                <w:rFonts w:hint="default" w:ascii="Times New Roman" w:hAnsi="Times New Roman" w:eastAsia="宋体" w:cs="Times New Roman"/>
                <w:b w:val="0"/>
                <w:bCs w:val="0"/>
                <w:color w:val="auto"/>
                <w:sz w:val="24"/>
                <w:szCs w:val="32"/>
                <w:highlight w:val="none"/>
                <w:lang w:val="en-US" w:eastAsia="zh-CN"/>
              </w:rPr>
              <w:t>Al₂O₃</w:t>
            </w:r>
            <w:r>
              <w:rPr>
                <w:rFonts w:hint="default" w:ascii="Times New Roman" w:hAnsi="Times New Roman" w:cs="Times New Roman"/>
                <w:b w:val="0"/>
                <w:bCs w:val="0"/>
                <w:color w:val="auto"/>
                <w:sz w:val="24"/>
                <w:szCs w:val="32"/>
                <w:highlight w:val="none"/>
                <w:lang w:val="en-US" w:eastAsia="zh-CN"/>
              </w:rPr>
              <w:t>在化学性质上展现出了稳定性，不溶于强酸和强碱，仅在高温熔融状态下会与强碱或浓硫酸发生缓慢反应</w:t>
            </w:r>
            <w:r>
              <w:rPr>
                <w:rFonts w:hint="eastAsia" w:cs="Times New Roman"/>
                <w:b w:val="0"/>
                <w:bCs w:val="0"/>
                <w:color w:val="auto"/>
                <w:sz w:val="24"/>
                <w:szCs w:val="32"/>
                <w:highlight w:val="none"/>
                <w:lang w:val="en-US" w:eastAsia="zh-CN"/>
              </w:rPr>
              <w:t>。</w:t>
            </w:r>
          </w:p>
          <w:p w14:paraId="66B92937">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snapToGrid w:val="0"/>
                <w:color w:val="auto"/>
                <w:kern w:val="0"/>
                <w:sz w:val="24"/>
                <w:szCs w:val="24"/>
                <w:lang w:val="en-US" w:eastAsia="zh-CN" w:bidi="ar-SA"/>
              </w:rPr>
            </w:pPr>
            <w:r>
              <w:rPr>
                <w:rFonts w:hint="eastAsia" w:cs="Times New Roman"/>
                <w:b/>
                <w:bCs/>
                <w:color w:val="auto"/>
                <w:sz w:val="24"/>
                <w:szCs w:val="32"/>
                <w:highlight w:val="none"/>
                <w:lang w:val="en-US" w:eastAsia="zh-CN"/>
              </w:rPr>
              <w:t>本项目一次搅拌工序常温状态下运行，故</w:t>
            </w:r>
            <w:r>
              <w:rPr>
                <w:rFonts w:hint="default" w:ascii="Times New Roman" w:hAnsi="Times New Roman" w:cs="Times New Roman"/>
                <w:b/>
                <w:bCs/>
                <w:color w:val="auto"/>
                <w:sz w:val="24"/>
                <w:szCs w:val="32"/>
                <w:highlight w:val="none"/>
                <w:lang w:val="en-US" w:eastAsia="zh-CN"/>
              </w:rPr>
              <w:t>α</w:t>
            </w:r>
            <w:r>
              <w:rPr>
                <w:rFonts w:hint="default" w:ascii="Times New Roman" w:hAnsi="Times New Roman" w:eastAsia="宋体" w:cs="Times New Roman"/>
                <w:b/>
                <w:bCs/>
                <w:color w:val="auto"/>
                <w:sz w:val="24"/>
                <w:szCs w:val="32"/>
                <w:highlight w:val="none"/>
                <w:lang w:val="en-US" w:eastAsia="zh-CN"/>
              </w:rPr>
              <w:t>Al₂O₃</w:t>
            </w:r>
            <w:r>
              <w:rPr>
                <w:rFonts w:hint="eastAsia" w:cs="Times New Roman"/>
                <w:b/>
                <w:bCs/>
                <w:snapToGrid w:val="0"/>
                <w:color w:val="auto"/>
                <w:kern w:val="0"/>
                <w:sz w:val="24"/>
                <w:szCs w:val="24"/>
                <w:lang w:val="en-US" w:eastAsia="zh-CN" w:bidi="ar-SA"/>
              </w:rPr>
              <w:t>与盐酸不发生反应。</w:t>
            </w:r>
            <w:r>
              <w:rPr>
                <w:rFonts w:hint="eastAsia" w:cs="Times New Roman"/>
                <w:snapToGrid w:val="0"/>
                <w:color w:val="auto"/>
                <w:kern w:val="0"/>
                <w:sz w:val="24"/>
                <w:szCs w:val="24"/>
                <w:lang w:val="en-US" w:eastAsia="zh-CN" w:bidi="ar-SA"/>
              </w:rPr>
              <w:t>通过加入盐酸，使物料中的大部分氧化钠、氧化铁与稀盐酸发生反应（反应效率按90%计），生成氯化钠、氯化铁溶于稀盐酸中，通过过滤去除；过滤后物料还有极少量氧化钠杂质，通过加入干冰、软水，氧化钠和碳酸反应生产碳酸钠（反应效率按50%计），溶于水中，通过过滤去除，再经水洗、压滤、烘干后得到新能源电池用高纯晶体纳米新材料。</w:t>
            </w:r>
          </w:p>
          <w:p w14:paraId="71794CB8">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snapToGrid w:val="0"/>
                <w:color w:val="auto"/>
                <w:kern w:val="0"/>
                <w:sz w:val="24"/>
                <w:szCs w:val="24"/>
                <w:vertAlign w:val="baseline"/>
                <w:lang w:val="en-US" w:eastAsia="zh-CN" w:bidi="ar-SA"/>
              </w:rPr>
            </w:pPr>
            <w:r>
              <w:rPr>
                <w:rFonts w:hint="default" w:ascii="Times New Roman" w:hAnsi="Times New Roman" w:eastAsia="宋体" w:cs="Times New Roman"/>
                <w:snapToGrid w:val="0"/>
                <w:color w:val="auto"/>
                <w:kern w:val="0"/>
                <w:sz w:val="24"/>
                <w:szCs w:val="24"/>
                <w:vertAlign w:val="baseline"/>
                <w:lang w:val="en-US" w:eastAsia="zh-CN" w:bidi="ar-SA"/>
              </w:rPr>
              <w:t>Na</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vertAlign w:val="baseline"/>
                <w:lang w:val="en-US" w:eastAsia="zh-CN" w:bidi="ar-SA"/>
              </w:rPr>
              <w:t>O+2HCl→2NaCl+H</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vertAlign w:val="baseline"/>
                <w:lang w:val="en-US" w:eastAsia="zh-CN" w:bidi="ar-SA"/>
              </w:rPr>
              <w:t>O</w:t>
            </w:r>
          </w:p>
          <w:p w14:paraId="1D6EAC67">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snapToGrid w:val="0"/>
                <w:color w:val="auto"/>
                <w:kern w:val="0"/>
                <w:sz w:val="24"/>
                <w:szCs w:val="24"/>
                <w:vertAlign w:val="baseline"/>
                <w:lang w:val="en-US" w:eastAsia="zh-CN" w:bidi="ar-SA"/>
              </w:rPr>
            </w:pPr>
            <w:r>
              <w:rPr>
                <w:rFonts w:hint="default" w:ascii="Times New Roman" w:hAnsi="Times New Roman" w:eastAsia="宋体" w:cs="Times New Roman"/>
                <w:snapToGrid w:val="0"/>
                <w:color w:val="auto"/>
                <w:kern w:val="0"/>
                <w:sz w:val="24"/>
                <w:szCs w:val="24"/>
                <w:vertAlign w:val="baseline"/>
                <w:lang w:val="en-US" w:eastAsia="zh-CN" w:bidi="ar-SA"/>
              </w:rPr>
              <w:t>Fe₂O₃+6HCl→2FeCl₃+ 3H₂O</w:t>
            </w:r>
          </w:p>
          <w:p w14:paraId="7AC948F1">
            <w:pPr>
              <w:keepNext w:val="0"/>
              <w:keepLines w:val="0"/>
              <w:suppressLineNumbers w:val="0"/>
              <w:spacing w:before="0" w:beforeAutospacing="0" w:after="0" w:afterAutospacing="0" w:line="360" w:lineRule="auto"/>
              <w:ind w:left="0" w:right="0" w:firstLine="480" w:firstLineChars="200"/>
              <w:jc w:val="center"/>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CO</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+H</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O→H</w:t>
            </w:r>
            <w:r>
              <w:rPr>
                <w:rFonts w:hint="eastAsia" w:cs="Times New Roman"/>
                <w:snapToGrid w:val="0"/>
                <w:color w:val="auto"/>
                <w:kern w:val="0"/>
                <w:sz w:val="24"/>
                <w:szCs w:val="24"/>
                <w:vertAlign w:val="sub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CO</w:t>
            </w:r>
            <w:r>
              <w:rPr>
                <w:rFonts w:hint="eastAsia" w:cs="Times New Roman"/>
                <w:snapToGrid w:val="0"/>
                <w:color w:val="auto"/>
                <w:kern w:val="0"/>
                <w:sz w:val="24"/>
                <w:szCs w:val="24"/>
                <w:vertAlign w:val="subscript"/>
                <w:lang w:val="en-US" w:eastAsia="zh-CN" w:bidi="ar-SA"/>
              </w:rPr>
              <w:t>3</w:t>
            </w:r>
          </w:p>
          <w:p w14:paraId="7DD44FE1">
            <w:pPr>
              <w:keepNext w:val="0"/>
              <w:keepLines w:val="0"/>
              <w:suppressLineNumbers w:val="0"/>
              <w:spacing w:before="0" w:beforeAutospacing="0" w:after="0" w:afterAutospacing="0" w:line="360" w:lineRule="auto"/>
              <w:ind w:left="0" w:right="0" w:firstLine="480" w:firstLineChars="200"/>
              <w:jc w:val="center"/>
              <w:rPr>
                <w:rFonts w:hint="default" w:ascii="Times New Roman" w:hAnsi="Times New Roman" w:eastAsia="宋体" w:cs="Times New Roman"/>
                <w:snapToGrid w:val="0"/>
                <w:color w:val="auto"/>
                <w:kern w:val="0"/>
                <w:sz w:val="24"/>
                <w:szCs w:val="24"/>
                <w:lang w:val="en-US" w:eastAsia="zh-CN" w:bidi="ar-SA"/>
              </w:rPr>
            </w:pPr>
            <w:r>
              <w:rPr>
                <w:rFonts w:hint="eastAsia" w:cs="Times New Roman"/>
                <w:snapToGrid w:val="0"/>
                <w:color w:val="auto"/>
                <w:kern w:val="0"/>
                <w:sz w:val="24"/>
                <w:szCs w:val="24"/>
                <w:lang w:val="en-US" w:eastAsia="zh-CN" w:bidi="ar-SA"/>
              </w:rPr>
              <w:t>‌Na</w:t>
            </w:r>
            <w:r>
              <w:rPr>
                <w:rFonts w:hint="eastAsia" w:cs="Times New Roman"/>
                <w:snapToGrid w:val="0"/>
                <w:color w:val="auto"/>
                <w:kern w:val="0"/>
                <w:sz w:val="24"/>
                <w:szCs w:val="24"/>
                <w:vertAlign w:val="subscript"/>
                <w:lang w:val="en-US" w:eastAsia="zh-CN" w:bidi="ar-SA"/>
              </w:rPr>
              <w:t>2</w:t>
            </w:r>
            <w:r>
              <w:rPr>
                <w:rFonts w:hint="eastAsia" w:cs="Times New Roman"/>
                <w:snapToGrid w:val="0"/>
                <w:color w:val="auto"/>
                <w:kern w:val="0"/>
                <w:sz w:val="24"/>
                <w:szCs w:val="24"/>
                <w:lang w:val="en-US" w:eastAsia="zh-CN" w:bidi="ar-SA"/>
              </w:rPr>
              <w:t>O + H</w:t>
            </w:r>
            <w:r>
              <w:rPr>
                <w:rFonts w:hint="eastAsia" w:cs="Times New Roman"/>
                <w:snapToGrid w:val="0"/>
                <w:color w:val="auto"/>
                <w:kern w:val="0"/>
                <w:sz w:val="24"/>
                <w:szCs w:val="24"/>
                <w:vertAlign w:val="subscript"/>
                <w:lang w:val="en-US" w:eastAsia="zh-CN" w:bidi="ar-SA"/>
              </w:rPr>
              <w:t>2</w:t>
            </w:r>
            <w:r>
              <w:rPr>
                <w:rFonts w:hint="eastAsia" w:cs="Times New Roman"/>
                <w:snapToGrid w:val="0"/>
                <w:color w:val="auto"/>
                <w:kern w:val="0"/>
                <w:sz w:val="24"/>
                <w:szCs w:val="24"/>
                <w:lang w:val="en-US" w:eastAsia="zh-CN" w:bidi="ar-SA"/>
              </w:rPr>
              <w:t>CO</w:t>
            </w:r>
            <w:r>
              <w:rPr>
                <w:rFonts w:hint="eastAsia" w:cs="Times New Roman"/>
                <w:snapToGrid w:val="0"/>
                <w:color w:val="auto"/>
                <w:kern w:val="0"/>
                <w:sz w:val="24"/>
                <w:szCs w:val="24"/>
                <w:vertAlign w:val="subscript"/>
                <w:lang w:val="en-US" w:eastAsia="zh-CN" w:bidi="ar-SA"/>
              </w:rPr>
              <w:t>3</w:t>
            </w:r>
            <w:r>
              <w:rPr>
                <w:rFonts w:hint="eastAsia" w:cs="Times New Roman"/>
                <w:snapToGrid w:val="0"/>
                <w:color w:val="auto"/>
                <w:kern w:val="0"/>
                <w:sz w:val="24"/>
                <w:szCs w:val="24"/>
                <w:lang w:val="en-US" w:eastAsia="zh-CN" w:bidi="ar-SA"/>
              </w:rPr>
              <w:t>→Na</w:t>
            </w:r>
            <w:r>
              <w:rPr>
                <w:rFonts w:hint="eastAsia" w:cs="Times New Roman"/>
                <w:snapToGrid w:val="0"/>
                <w:color w:val="auto"/>
                <w:kern w:val="0"/>
                <w:sz w:val="24"/>
                <w:szCs w:val="24"/>
                <w:vertAlign w:val="subscript"/>
                <w:lang w:val="en-US" w:eastAsia="zh-CN" w:bidi="ar-SA"/>
              </w:rPr>
              <w:t>2</w:t>
            </w:r>
            <w:r>
              <w:rPr>
                <w:rFonts w:hint="eastAsia" w:cs="Times New Roman"/>
                <w:snapToGrid w:val="0"/>
                <w:color w:val="auto"/>
                <w:kern w:val="0"/>
                <w:sz w:val="24"/>
                <w:szCs w:val="24"/>
                <w:lang w:val="en-US" w:eastAsia="zh-CN" w:bidi="ar-SA"/>
              </w:rPr>
              <w:t>CO</w:t>
            </w:r>
            <w:r>
              <w:rPr>
                <w:rFonts w:hint="eastAsia" w:cs="Times New Roman"/>
                <w:snapToGrid w:val="0"/>
                <w:color w:val="auto"/>
                <w:kern w:val="0"/>
                <w:sz w:val="24"/>
                <w:szCs w:val="24"/>
                <w:vertAlign w:val="subscript"/>
                <w:lang w:val="en-US" w:eastAsia="zh-CN" w:bidi="ar-SA"/>
              </w:rPr>
              <w:t>3</w:t>
            </w:r>
            <w:r>
              <w:rPr>
                <w:rFonts w:hint="eastAsia" w:cs="Times New Roman"/>
                <w:snapToGrid w:val="0"/>
                <w:color w:val="auto"/>
                <w:kern w:val="0"/>
                <w:sz w:val="24"/>
                <w:szCs w:val="24"/>
                <w:lang w:val="en-US" w:eastAsia="zh-CN" w:bidi="ar-SA"/>
              </w:rPr>
              <w:t>+H</w:t>
            </w:r>
            <w:r>
              <w:rPr>
                <w:rFonts w:hint="eastAsia" w:cs="Times New Roman"/>
                <w:snapToGrid w:val="0"/>
                <w:color w:val="auto"/>
                <w:kern w:val="0"/>
                <w:sz w:val="24"/>
                <w:szCs w:val="24"/>
                <w:vertAlign w:val="subscript"/>
                <w:lang w:val="en-US" w:eastAsia="zh-CN" w:bidi="ar-SA"/>
              </w:rPr>
              <w:t>2</w:t>
            </w:r>
            <w:r>
              <w:rPr>
                <w:rFonts w:hint="eastAsia" w:cs="Times New Roman"/>
                <w:snapToGrid w:val="0"/>
                <w:color w:val="auto"/>
                <w:kern w:val="0"/>
                <w:sz w:val="24"/>
                <w:szCs w:val="24"/>
                <w:lang w:val="en-US" w:eastAsia="zh-CN" w:bidi="ar-SA"/>
              </w:rPr>
              <w:t>O</w:t>
            </w:r>
          </w:p>
          <w:p w14:paraId="795FD85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w:t>
            </w:r>
            <w:r>
              <w:rPr>
                <w:rFonts w:hint="eastAsia" w:ascii="Times New Roman" w:hAnsi="Times New Roman" w:eastAsia="宋体" w:cs="Times New Roman"/>
                <w:snapToGrid w:val="0"/>
                <w:color w:val="auto"/>
                <w:kern w:val="0"/>
                <w:sz w:val="24"/>
                <w:szCs w:val="24"/>
                <w:lang w:val="en-US" w:eastAsia="zh-CN" w:bidi="ar-SA"/>
              </w:rPr>
              <w:t>一次搅拌、压滤</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外购吨桶包装的33%盐酸，通过酸泵输送至密闭的盐酸配制罐，加入软水稀释至10%盐酸，通过酸泵输送至密闭的一次搅拌罐中。</w:t>
            </w:r>
            <w:r>
              <w:rPr>
                <w:rFonts w:hint="eastAsia" w:ascii="Times New Roman" w:hAnsi="Times New Roman" w:eastAsia="宋体" w:cs="Times New Roman"/>
                <w:snapToGrid w:val="0"/>
                <w:color w:val="000000"/>
                <w:kern w:val="0"/>
                <w:sz w:val="24"/>
                <w:szCs w:val="24"/>
                <w:highlight w:val="none"/>
                <w:lang w:val="en-US" w:eastAsia="zh-CN" w:bidi="ar-SA"/>
              </w:rPr>
              <w:t>外购的高纯晶体氧化铝粉通过搅拌罐配套的真空上料机输送至密闭的一次搅拌罐中，产生的粉尘通过配套的集尘管负压收集至布袋除尘器，</w:t>
            </w:r>
            <w:r>
              <w:rPr>
                <w:rFonts w:hint="eastAsia" w:ascii="Times New Roman" w:hAnsi="Times New Roman" w:eastAsia="宋体" w:cs="Times New Roman"/>
                <w:snapToGrid w:val="0"/>
                <w:color w:val="auto"/>
                <w:kern w:val="0"/>
                <w:sz w:val="24"/>
                <w:szCs w:val="24"/>
                <w:lang w:val="en-US" w:eastAsia="zh-CN" w:bidi="ar-SA"/>
              </w:rPr>
              <w:t>通过盐酸脱除氧化铝粉中含有的少量</w:t>
            </w:r>
            <w:r>
              <w:rPr>
                <w:rFonts w:hint="eastAsia" w:cs="Times New Roman"/>
                <w:snapToGrid w:val="0"/>
                <w:color w:val="auto"/>
                <w:kern w:val="0"/>
                <w:sz w:val="24"/>
                <w:szCs w:val="24"/>
                <w:lang w:val="en-US" w:eastAsia="zh-CN" w:bidi="ar-SA"/>
              </w:rPr>
              <w:t>杂质</w:t>
            </w:r>
            <w:r>
              <w:rPr>
                <w:rFonts w:hint="eastAsia" w:ascii="Times New Roman" w:hAnsi="Times New Roman" w:eastAsia="宋体" w:cs="Times New Roman"/>
                <w:snapToGrid w:val="0"/>
                <w:color w:val="auto"/>
                <w:kern w:val="0"/>
                <w:sz w:val="24"/>
                <w:szCs w:val="24"/>
                <w:lang w:val="en-US" w:eastAsia="zh-CN" w:bidi="ar-SA"/>
              </w:rPr>
              <w:t>（</w:t>
            </w:r>
            <w:r>
              <w:rPr>
                <w:rFonts w:hint="eastAsia" w:ascii="Times New Roman" w:hAnsi="Times New Roman" w:cs="Times New Roman"/>
                <w:snapToGrid w:val="0"/>
                <w:color w:val="auto"/>
                <w:kern w:val="0"/>
                <w:sz w:val="24"/>
                <w:szCs w:val="24"/>
                <w:lang w:val="en-US" w:eastAsia="zh-CN" w:bidi="ar-SA"/>
              </w:rPr>
              <w:t>氧</w:t>
            </w:r>
            <w:r>
              <w:rPr>
                <w:rFonts w:hint="eastAsia" w:ascii="Times New Roman" w:hAnsi="Times New Roman" w:eastAsia="宋体" w:cs="Times New Roman"/>
                <w:snapToGrid w:val="0"/>
                <w:color w:val="auto"/>
                <w:kern w:val="0"/>
                <w:sz w:val="24"/>
                <w:szCs w:val="24"/>
                <w:lang w:val="en-US" w:eastAsia="zh-CN" w:bidi="ar-SA"/>
              </w:rPr>
              <w:t>化钠、</w:t>
            </w:r>
            <w:r>
              <w:rPr>
                <w:rFonts w:hint="eastAsia" w:ascii="Times New Roman" w:hAnsi="Times New Roman" w:cs="Times New Roman"/>
                <w:snapToGrid w:val="0"/>
                <w:color w:val="auto"/>
                <w:kern w:val="0"/>
                <w:sz w:val="24"/>
                <w:szCs w:val="24"/>
                <w:lang w:val="en-US" w:eastAsia="zh-CN" w:bidi="ar-SA"/>
              </w:rPr>
              <w:t>氧</w:t>
            </w:r>
            <w:r>
              <w:rPr>
                <w:rFonts w:hint="eastAsia" w:ascii="Times New Roman" w:hAnsi="Times New Roman" w:eastAsia="宋体" w:cs="Times New Roman"/>
                <w:snapToGrid w:val="0"/>
                <w:color w:val="auto"/>
                <w:kern w:val="0"/>
                <w:sz w:val="24"/>
                <w:szCs w:val="24"/>
                <w:lang w:val="en-US" w:eastAsia="zh-CN" w:bidi="ar-SA"/>
              </w:rPr>
              <w:t>化铁）</w:t>
            </w:r>
            <w:r>
              <w:rPr>
                <w:rFonts w:hint="eastAsia" w:cs="Times New Roman"/>
                <w:snapToGrid w:val="0"/>
                <w:color w:val="auto"/>
                <w:kern w:val="0"/>
                <w:sz w:val="24"/>
                <w:szCs w:val="24"/>
                <w:lang w:val="en-US" w:eastAsia="zh-CN" w:bidi="ar-SA"/>
              </w:rPr>
              <w:t>，</w:t>
            </w:r>
            <w:r>
              <w:rPr>
                <w:rFonts w:hint="default" w:ascii="Times New Roman" w:hAnsi="Times New Roman" w:eastAsia="宋体" w:cs="Times New Roman"/>
                <w:snapToGrid w:val="0"/>
                <w:color w:val="auto"/>
                <w:kern w:val="0"/>
                <w:sz w:val="24"/>
                <w:szCs w:val="24"/>
                <w:lang w:val="en-US" w:eastAsia="zh-CN" w:bidi="ar-SA"/>
              </w:rPr>
              <w:t>充分搅拌后，</w:t>
            </w:r>
            <w:r>
              <w:rPr>
                <w:rFonts w:hint="eastAsia" w:ascii="Times New Roman" w:hAnsi="Times New Roman" w:eastAsia="宋体" w:cs="Times New Roman"/>
                <w:snapToGrid w:val="0"/>
                <w:color w:val="auto"/>
                <w:kern w:val="0"/>
                <w:sz w:val="24"/>
                <w:szCs w:val="24"/>
                <w:lang w:val="en-US" w:eastAsia="zh-CN" w:bidi="ar-SA"/>
              </w:rPr>
              <w:t>通过料泵将物料送至压滤机进行压滤，</w:t>
            </w:r>
            <w:r>
              <w:rPr>
                <w:rFonts w:hint="eastAsia" w:cs="Times New Roman"/>
                <w:snapToGrid w:val="0"/>
                <w:color w:val="auto"/>
                <w:kern w:val="0"/>
                <w:sz w:val="24"/>
                <w:szCs w:val="24"/>
                <w:lang w:val="en-US" w:eastAsia="zh-CN" w:bidi="ar-SA"/>
              </w:rPr>
              <w:t>盐酸除杂生成的氯化钠、氯化铁随着</w:t>
            </w:r>
            <w:r>
              <w:rPr>
                <w:rFonts w:hint="eastAsia" w:ascii="Times New Roman" w:hAnsi="Times New Roman" w:eastAsia="宋体" w:cs="Times New Roman"/>
                <w:snapToGrid w:val="0"/>
                <w:color w:val="auto"/>
                <w:kern w:val="0"/>
                <w:sz w:val="24"/>
                <w:szCs w:val="24"/>
                <w:lang w:val="en-US" w:eastAsia="zh-CN" w:bidi="ar-SA"/>
              </w:rPr>
              <w:t>滤液通过酸泵输送至密闭的盐酸循环储罐暂存，回用至一次搅拌工序；滤饼</w:t>
            </w:r>
            <w:r>
              <w:rPr>
                <w:rFonts w:hint="default" w:ascii="Times New Roman" w:hAnsi="Times New Roman" w:eastAsia="宋体" w:cs="Times New Roman"/>
                <w:snapToGrid w:val="0"/>
                <w:color w:val="auto"/>
                <w:kern w:val="0"/>
                <w:sz w:val="24"/>
                <w:szCs w:val="24"/>
                <w:lang w:val="en-US" w:eastAsia="zh-CN" w:bidi="ar-SA"/>
              </w:rPr>
              <w:t>进入下一工序</w:t>
            </w:r>
            <w:r>
              <w:rPr>
                <w:rFonts w:hint="eastAsia" w:ascii="Times New Roman" w:hAnsi="Times New Roman" w:eastAsia="宋体" w:cs="Times New Roman"/>
                <w:snapToGrid w:val="0"/>
                <w:color w:val="auto"/>
                <w:kern w:val="0"/>
                <w:sz w:val="24"/>
                <w:szCs w:val="24"/>
                <w:lang w:val="en-US" w:eastAsia="zh-CN" w:bidi="ar-SA"/>
              </w:rPr>
              <w:t>。盐酸配置过程33%盐酸产生的氯化氢通过盐酸配制罐的排气口排入废气处理设施，投料过程产生氯化氢、颗粒物通过一次搅拌罐的排气口排入废气处理设施，循环储罐中盐酸溶液定期外排，做危废处置</w:t>
            </w:r>
            <w:r>
              <w:rPr>
                <w:rFonts w:hint="default" w:ascii="Times New Roman" w:hAnsi="Times New Roman" w:eastAsia="宋体" w:cs="Times New Roman"/>
                <w:snapToGrid w:val="0"/>
                <w:color w:val="auto"/>
                <w:kern w:val="0"/>
                <w:sz w:val="24"/>
                <w:szCs w:val="24"/>
                <w:lang w:val="en-US" w:eastAsia="zh-CN" w:bidi="ar-SA"/>
              </w:rPr>
              <w:t>。</w:t>
            </w:r>
          </w:p>
          <w:p w14:paraId="6341053C">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snapToGrid w:val="0"/>
                <w:kern w:val="0"/>
                <w:sz w:val="24"/>
                <w:szCs w:val="24"/>
                <w:highlight w:val="none"/>
                <w:lang w:val="en-US" w:eastAsia="zh-CN" w:bidi="ar-SA"/>
              </w:rPr>
            </w:pPr>
            <w:r>
              <w:rPr>
                <w:rFonts w:hint="eastAsia" w:ascii="Times New Roman" w:hAnsi="Times New Roman" w:eastAsia="宋体" w:cs="Times New Roman"/>
                <w:snapToGrid w:val="0"/>
                <w:kern w:val="0"/>
                <w:sz w:val="24"/>
                <w:szCs w:val="24"/>
                <w:highlight w:val="none"/>
                <w:lang w:val="en-US" w:eastAsia="zh-CN"/>
              </w:rPr>
              <w:t>产污环节：此过程会产生氯化氢、颗粒物、噪声、废包装袋、布袋除尘器收集的粉尘、废酸桶、污泥等固废。</w:t>
            </w:r>
          </w:p>
          <w:p w14:paraId="37152A2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w:t>
            </w:r>
            <w:r>
              <w:rPr>
                <w:rFonts w:hint="eastAsia" w:ascii="Times New Roman" w:hAnsi="Times New Roman" w:eastAsia="宋体" w:cs="Times New Roman"/>
                <w:snapToGrid w:val="0"/>
                <w:color w:val="auto"/>
                <w:kern w:val="0"/>
                <w:sz w:val="24"/>
                <w:szCs w:val="24"/>
                <w:lang w:val="en-US" w:eastAsia="zh-CN" w:bidi="ar-SA"/>
              </w:rPr>
              <w:t>二次搅拌、压滤</w:t>
            </w:r>
            <w:r>
              <w:rPr>
                <w:rFonts w:hint="default" w:ascii="Times New Roman" w:hAnsi="Times New Roman" w:eastAsia="宋体" w:cs="Times New Roman"/>
                <w:snapToGrid w:val="0"/>
                <w:color w:val="auto"/>
                <w:kern w:val="0"/>
                <w:sz w:val="24"/>
                <w:szCs w:val="24"/>
                <w:lang w:val="en-US" w:eastAsia="zh-CN" w:bidi="ar-SA"/>
              </w:rPr>
              <w:t>：二次搅拌罐中加软化水，投入滤饼搅拌</w:t>
            </w:r>
            <w:r>
              <w:rPr>
                <w:rFonts w:hint="eastAsia" w:ascii="Times New Roman" w:hAnsi="Times New Roman" w:eastAsia="宋体" w:cs="Times New Roman"/>
                <w:snapToGrid w:val="0"/>
                <w:color w:val="auto"/>
                <w:kern w:val="0"/>
                <w:sz w:val="24"/>
                <w:szCs w:val="24"/>
                <w:lang w:val="en-US" w:eastAsia="zh-CN" w:bidi="ar-SA"/>
              </w:rPr>
              <w:t>均匀，清除滤料中含有的少量盐酸及钠盐</w:t>
            </w:r>
            <w:r>
              <w:rPr>
                <w:rFonts w:hint="default" w:ascii="Times New Roman" w:hAnsi="Times New Roman" w:eastAsia="宋体" w:cs="Times New Roman"/>
                <w:snapToGrid w:val="0"/>
                <w:color w:val="auto"/>
                <w:kern w:val="0"/>
                <w:sz w:val="24"/>
                <w:szCs w:val="24"/>
                <w:lang w:val="en-US" w:eastAsia="zh-CN" w:bidi="ar-SA"/>
              </w:rPr>
              <w:t>，然后再加入干冰，</w:t>
            </w:r>
            <w:r>
              <w:rPr>
                <w:rFonts w:hint="eastAsia" w:ascii="Times New Roman" w:hAnsi="Times New Roman" w:eastAsia="宋体" w:cs="Times New Roman"/>
                <w:snapToGrid w:val="0"/>
                <w:color w:val="auto"/>
                <w:kern w:val="0"/>
                <w:sz w:val="24"/>
                <w:szCs w:val="24"/>
                <w:lang w:val="en-US" w:eastAsia="zh-CN" w:bidi="ar-SA"/>
              </w:rPr>
              <w:t>通过干冰脱除氧化铝粉中含有的少量</w:t>
            </w:r>
            <w:r>
              <w:rPr>
                <w:rFonts w:hint="eastAsia" w:cs="Times New Roman"/>
                <w:snapToGrid w:val="0"/>
                <w:color w:val="auto"/>
                <w:kern w:val="0"/>
                <w:sz w:val="24"/>
                <w:szCs w:val="24"/>
                <w:lang w:val="en-US" w:eastAsia="zh-CN" w:bidi="ar-SA"/>
              </w:rPr>
              <w:t>杂质</w:t>
            </w:r>
            <w:r>
              <w:rPr>
                <w:rFonts w:hint="eastAsia" w:ascii="Times New Roman" w:hAnsi="Times New Roman" w:eastAsia="宋体" w:cs="Times New Roman"/>
                <w:snapToGrid w:val="0"/>
                <w:color w:val="auto"/>
                <w:kern w:val="0"/>
                <w:sz w:val="24"/>
                <w:szCs w:val="24"/>
                <w:lang w:val="en-US" w:eastAsia="zh-CN" w:bidi="ar-SA"/>
              </w:rPr>
              <w:t>（</w:t>
            </w:r>
            <w:r>
              <w:rPr>
                <w:rFonts w:hint="eastAsia" w:ascii="Times New Roman" w:hAnsi="Times New Roman" w:cs="Times New Roman"/>
                <w:snapToGrid w:val="0"/>
                <w:color w:val="auto"/>
                <w:kern w:val="0"/>
                <w:sz w:val="24"/>
                <w:szCs w:val="24"/>
                <w:lang w:val="en-US" w:eastAsia="zh-CN" w:bidi="ar-SA"/>
              </w:rPr>
              <w:t>氧</w:t>
            </w:r>
            <w:r>
              <w:rPr>
                <w:rFonts w:hint="eastAsia" w:ascii="Times New Roman" w:hAnsi="Times New Roman" w:eastAsia="宋体" w:cs="Times New Roman"/>
                <w:snapToGrid w:val="0"/>
                <w:color w:val="auto"/>
                <w:kern w:val="0"/>
                <w:sz w:val="24"/>
                <w:szCs w:val="24"/>
                <w:lang w:val="en-US" w:eastAsia="zh-CN" w:bidi="ar-SA"/>
              </w:rPr>
              <w:t>化钠），</w:t>
            </w:r>
            <w:r>
              <w:rPr>
                <w:rFonts w:hint="default" w:ascii="Times New Roman" w:hAnsi="Times New Roman" w:eastAsia="宋体" w:cs="Times New Roman"/>
                <w:snapToGrid w:val="0"/>
                <w:color w:val="auto"/>
                <w:kern w:val="0"/>
                <w:sz w:val="24"/>
                <w:szCs w:val="24"/>
                <w:lang w:val="en-US" w:eastAsia="zh-CN" w:bidi="ar-SA"/>
              </w:rPr>
              <w:t>充分搅拌后，搅拌罐</w:t>
            </w:r>
            <w:r>
              <w:rPr>
                <w:rFonts w:hint="eastAsia" w:ascii="Times New Roman" w:hAnsi="Times New Roman" w:eastAsia="宋体" w:cs="Times New Roman"/>
                <w:snapToGrid w:val="0"/>
                <w:color w:val="auto"/>
                <w:kern w:val="0"/>
                <w:sz w:val="24"/>
                <w:szCs w:val="24"/>
                <w:lang w:val="en-US" w:eastAsia="zh-CN" w:bidi="ar-SA"/>
              </w:rPr>
              <w:t>夹套</w:t>
            </w:r>
            <w:r>
              <w:rPr>
                <w:rFonts w:hint="default" w:ascii="Times New Roman" w:hAnsi="Times New Roman" w:eastAsia="宋体" w:cs="Times New Roman"/>
                <w:snapToGrid w:val="0"/>
                <w:color w:val="auto"/>
                <w:kern w:val="0"/>
                <w:sz w:val="24"/>
                <w:szCs w:val="24"/>
                <w:lang w:val="en-US" w:eastAsia="zh-CN" w:bidi="ar-SA"/>
              </w:rPr>
              <w:t>中引入电蒸汽发生器产生的蒸汽</w:t>
            </w:r>
            <w:r>
              <w:rPr>
                <w:rFonts w:hint="eastAsia" w:ascii="Times New Roman" w:hAnsi="Times New Roman" w:eastAsia="宋体" w:cs="Times New Roman"/>
                <w:snapToGrid w:val="0"/>
                <w:color w:val="auto"/>
                <w:kern w:val="0"/>
                <w:sz w:val="24"/>
                <w:szCs w:val="24"/>
                <w:lang w:val="en-US" w:eastAsia="zh-CN" w:bidi="ar-SA"/>
              </w:rPr>
              <w:t>进行间接加热</w:t>
            </w:r>
            <w:r>
              <w:rPr>
                <w:rFonts w:hint="default" w:ascii="Times New Roman" w:hAnsi="Times New Roman" w:eastAsia="宋体" w:cs="Times New Roman"/>
                <w:snapToGrid w:val="0"/>
                <w:color w:val="auto"/>
                <w:kern w:val="0"/>
                <w:sz w:val="24"/>
                <w:szCs w:val="24"/>
                <w:lang w:val="en-US" w:eastAsia="zh-CN" w:bidi="ar-SA"/>
              </w:rPr>
              <w:t>，搅拌罐温度控制在50-60℃范围内，使料液中的二氧化碳充分挥发</w:t>
            </w:r>
            <w:r>
              <w:rPr>
                <w:rFonts w:hint="eastAsia" w:ascii="Times New Roman" w:hAnsi="Times New Roman" w:eastAsia="宋体" w:cs="Times New Roman"/>
                <w:snapToGrid w:val="0"/>
                <w:color w:val="auto"/>
                <w:kern w:val="0"/>
                <w:sz w:val="24"/>
                <w:szCs w:val="24"/>
                <w:lang w:val="en-US" w:eastAsia="zh-CN" w:bidi="ar-SA"/>
              </w:rPr>
              <w:t>。通过料泵将物料送至压滤机进行压滤，</w:t>
            </w:r>
            <w:r>
              <w:rPr>
                <w:rFonts w:hint="eastAsia" w:cs="Times New Roman"/>
                <w:snapToGrid w:val="0"/>
                <w:color w:val="auto"/>
                <w:kern w:val="0"/>
                <w:sz w:val="24"/>
                <w:szCs w:val="24"/>
                <w:lang w:val="en-US" w:eastAsia="zh-CN" w:bidi="ar-SA"/>
              </w:rPr>
              <w:t>除杂生成的碳酸钠随着</w:t>
            </w:r>
            <w:r>
              <w:rPr>
                <w:rFonts w:hint="eastAsia" w:ascii="Times New Roman" w:hAnsi="Times New Roman" w:eastAsia="宋体" w:cs="Times New Roman"/>
                <w:snapToGrid w:val="0"/>
                <w:kern w:val="0"/>
                <w:sz w:val="24"/>
                <w:szCs w:val="24"/>
                <w:highlight w:val="none"/>
                <w:lang w:val="en-US" w:eastAsia="zh-CN"/>
              </w:rPr>
              <w:t>压滤废水</w:t>
            </w:r>
            <w:r>
              <w:rPr>
                <w:rFonts w:hint="eastAsia" w:ascii="Times New Roman" w:hAnsi="Times New Roman" w:eastAsia="宋体" w:cs="Times New Roman"/>
                <w:snapToGrid w:val="0"/>
                <w:color w:val="auto"/>
                <w:kern w:val="0"/>
                <w:sz w:val="24"/>
                <w:szCs w:val="24"/>
                <w:highlight w:val="none"/>
                <w:lang w:val="en-US" w:eastAsia="zh-CN" w:bidi="ar-SA"/>
              </w:rPr>
              <w:t>进入污水处理设备进行处理；滤</w:t>
            </w:r>
            <w:r>
              <w:rPr>
                <w:rFonts w:hint="eastAsia" w:ascii="Times New Roman" w:hAnsi="Times New Roman" w:eastAsia="宋体" w:cs="Times New Roman"/>
                <w:snapToGrid w:val="0"/>
                <w:color w:val="auto"/>
                <w:kern w:val="0"/>
                <w:sz w:val="24"/>
                <w:szCs w:val="24"/>
                <w:lang w:val="en-US" w:eastAsia="zh-CN" w:bidi="ar-SA"/>
              </w:rPr>
              <w:t>饼</w:t>
            </w:r>
            <w:r>
              <w:rPr>
                <w:rFonts w:hint="default" w:ascii="Times New Roman" w:hAnsi="Times New Roman" w:eastAsia="宋体" w:cs="Times New Roman"/>
                <w:snapToGrid w:val="0"/>
                <w:color w:val="auto"/>
                <w:kern w:val="0"/>
                <w:sz w:val="24"/>
                <w:szCs w:val="24"/>
                <w:lang w:val="en-US" w:eastAsia="zh-CN" w:bidi="ar-SA"/>
              </w:rPr>
              <w:t>进入下一工序</w:t>
            </w:r>
            <w:r>
              <w:rPr>
                <w:rFonts w:hint="eastAsia" w:ascii="Times New Roman" w:hAnsi="Times New Roman" w:eastAsia="宋体" w:cs="Times New Roman"/>
                <w:snapToGrid w:val="0"/>
                <w:color w:val="auto"/>
                <w:kern w:val="0"/>
                <w:sz w:val="24"/>
                <w:szCs w:val="24"/>
                <w:lang w:val="en-US" w:eastAsia="zh-CN" w:bidi="ar-SA"/>
              </w:rPr>
              <w:t>。</w:t>
            </w:r>
          </w:p>
          <w:p w14:paraId="694E8812">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snapToGrid w:val="0"/>
                <w:kern w:val="0"/>
                <w:sz w:val="24"/>
                <w:szCs w:val="24"/>
                <w:highlight w:val="none"/>
                <w:lang w:val="en-US" w:eastAsia="zh-CN" w:bidi="ar-SA"/>
              </w:rPr>
            </w:pPr>
            <w:r>
              <w:rPr>
                <w:rFonts w:hint="eastAsia" w:ascii="Times New Roman" w:hAnsi="Times New Roman" w:eastAsia="宋体" w:cs="Times New Roman"/>
                <w:snapToGrid w:val="0"/>
                <w:kern w:val="0"/>
                <w:sz w:val="24"/>
                <w:szCs w:val="24"/>
                <w:highlight w:val="none"/>
                <w:lang w:val="en-US" w:eastAsia="zh-CN"/>
              </w:rPr>
              <w:t>产污环节：此过程会产生压滤废水、噪声、废包装袋等固废。</w:t>
            </w:r>
          </w:p>
          <w:p w14:paraId="36DE4CB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（3）</w:t>
            </w:r>
            <w:r>
              <w:rPr>
                <w:rFonts w:hint="eastAsia" w:ascii="Times New Roman" w:hAnsi="Times New Roman" w:eastAsia="宋体" w:cs="Times New Roman"/>
                <w:snapToGrid w:val="0"/>
                <w:color w:val="auto"/>
                <w:kern w:val="0"/>
                <w:sz w:val="24"/>
                <w:szCs w:val="24"/>
                <w:lang w:val="en-US" w:eastAsia="zh-CN" w:bidi="ar-SA"/>
              </w:rPr>
              <w:t>三次搅拌、压滤</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三</w:t>
            </w:r>
            <w:r>
              <w:rPr>
                <w:rFonts w:hint="default" w:ascii="Times New Roman" w:hAnsi="Times New Roman" w:eastAsia="宋体" w:cs="Times New Roman"/>
                <w:snapToGrid w:val="0"/>
                <w:color w:val="auto"/>
                <w:kern w:val="0"/>
                <w:sz w:val="24"/>
                <w:szCs w:val="24"/>
                <w:lang w:val="en-US" w:eastAsia="zh-CN" w:bidi="ar-SA"/>
              </w:rPr>
              <w:t>次搅拌罐中加软化水，投入滤饼搅拌</w:t>
            </w:r>
            <w:r>
              <w:rPr>
                <w:rFonts w:hint="eastAsia" w:ascii="Times New Roman" w:hAnsi="Times New Roman" w:eastAsia="宋体" w:cs="Times New Roman"/>
                <w:snapToGrid w:val="0"/>
                <w:color w:val="auto"/>
                <w:kern w:val="0"/>
                <w:sz w:val="24"/>
                <w:szCs w:val="24"/>
                <w:lang w:val="en-US" w:eastAsia="zh-CN" w:bidi="ar-SA"/>
              </w:rPr>
              <w:t>均匀，清除滤料中含有的少量钠盐</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通过料泵将物料送至压滤机进行压滤，滤液作为废水进入污水处理设备进行处理；滤饼</w:t>
            </w:r>
            <w:r>
              <w:rPr>
                <w:rFonts w:hint="default" w:ascii="Times New Roman" w:hAnsi="Times New Roman" w:eastAsia="宋体" w:cs="Times New Roman"/>
                <w:snapToGrid w:val="0"/>
                <w:color w:val="auto"/>
                <w:kern w:val="0"/>
                <w:sz w:val="24"/>
                <w:szCs w:val="24"/>
                <w:lang w:val="en-US" w:eastAsia="zh-CN" w:bidi="ar-SA"/>
              </w:rPr>
              <w:t>进入下一工序。</w:t>
            </w:r>
          </w:p>
          <w:p w14:paraId="32A7F2E2">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snapToGrid w:val="0"/>
                <w:kern w:val="0"/>
                <w:sz w:val="24"/>
                <w:szCs w:val="24"/>
                <w:highlight w:val="none"/>
                <w:lang w:val="en-US" w:eastAsia="zh-CN" w:bidi="ar-SA"/>
              </w:rPr>
            </w:pPr>
            <w:r>
              <w:rPr>
                <w:rFonts w:hint="eastAsia" w:ascii="Times New Roman" w:hAnsi="Times New Roman" w:eastAsia="宋体" w:cs="Times New Roman"/>
                <w:snapToGrid w:val="0"/>
                <w:kern w:val="0"/>
                <w:sz w:val="24"/>
                <w:szCs w:val="24"/>
                <w:highlight w:val="none"/>
                <w:lang w:val="en-US" w:eastAsia="zh-CN"/>
              </w:rPr>
              <w:t>产污环节：此过程会产生压滤废水、噪声。</w:t>
            </w:r>
          </w:p>
          <w:p w14:paraId="0D4578E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（4）</w:t>
            </w:r>
            <w:r>
              <w:rPr>
                <w:rFonts w:hint="eastAsia" w:ascii="Times New Roman" w:hAnsi="Times New Roman" w:eastAsia="宋体" w:cs="Times New Roman"/>
                <w:snapToGrid w:val="0"/>
                <w:color w:val="auto"/>
                <w:kern w:val="0"/>
                <w:sz w:val="24"/>
                <w:szCs w:val="24"/>
                <w:lang w:val="en-US" w:eastAsia="zh-CN" w:bidi="ar-SA"/>
              </w:rPr>
              <w:t>烘干、包装：</w:t>
            </w:r>
            <w:r>
              <w:rPr>
                <w:rFonts w:hint="default" w:ascii="Times New Roman" w:hAnsi="Times New Roman" w:eastAsia="宋体" w:cs="Times New Roman"/>
                <w:snapToGrid w:val="0"/>
                <w:color w:val="auto"/>
                <w:kern w:val="0"/>
                <w:sz w:val="24"/>
                <w:szCs w:val="24"/>
                <w:lang w:val="en-US" w:eastAsia="zh-CN" w:bidi="ar-SA"/>
              </w:rPr>
              <w:t>滤饼送入天然气烘干窑</w:t>
            </w:r>
            <w:r>
              <w:rPr>
                <w:rFonts w:hint="eastAsia" w:ascii="Times New Roman" w:hAnsi="Times New Roman" w:eastAsia="宋体" w:cs="Times New Roman"/>
                <w:snapToGrid w:val="0"/>
                <w:color w:val="auto"/>
                <w:kern w:val="0"/>
                <w:sz w:val="24"/>
                <w:szCs w:val="24"/>
                <w:lang w:val="en-US" w:eastAsia="zh-CN" w:bidi="ar-SA"/>
              </w:rPr>
              <w:t>，通过天然气燃烧直接加热物料，对物料进行</w:t>
            </w:r>
            <w:r>
              <w:rPr>
                <w:rFonts w:hint="default" w:ascii="Times New Roman" w:hAnsi="Times New Roman" w:eastAsia="宋体" w:cs="Times New Roman"/>
                <w:snapToGrid w:val="0"/>
                <w:color w:val="auto"/>
                <w:kern w:val="0"/>
                <w:sz w:val="24"/>
                <w:szCs w:val="24"/>
                <w:lang w:val="en-US" w:eastAsia="zh-CN" w:bidi="ar-SA"/>
              </w:rPr>
              <w:t>烘干（约500℃），进一步去除其中水分，</w:t>
            </w:r>
            <w:r>
              <w:rPr>
                <w:rFonts w:hint="eastAsia" w:ascii="Times New Roman" w:hAnsi="Times New Roman" w:eastAsia="宋体" w:cs="Times New Roman"/>
                <w:snapToGrid w:val="0"/>
                <w:color w:val="auto"/>
                <w:kern w:val="0"/>
                <w:sz w:val="24"/>
                <w:szCs w:val="24"/>
                <w:lang w:val="en-US" w:eastAsia="zh-CN" w:bidi="ar-SA"/>
              </w:rPr>
              <w:t>烘干后产品通过真空输送装置输送至</w:t>
            </w:r>
            <w:r>
              <w:rPr>
                <w:rFonts w:hint="default" w:ascii="Times New Roman" w:hAnsi="Times New Roman" w:eastAsia="宋体" w:cs="Times New Roman"/>
                <w:snapToGrid w:val="0"/>
                <w:color w:val="auto"/>
                <w:kern w:val="0"/>
                <w:sz w:val="24"/>
                <w:szCs w:val="24"/>
                <w:lang w:val="en-US" w:eastAsia="zh-CN" w:bidi="ar-SA"/>
              </w:rPr>
              <w:t>料仓包装机</w:t>
            </w:r>
            <w:r>
              <w:rPr>
                <w:rFonts w:hint="eastAsia" w:ascii="Times New Roman" w:hAnsi="Times New Roman" w:eastAsia="宋体" w:cs="Times New Roman"/>
                <w:snapToGrid w:val="0"/>
                <w:color w:val="auto"/>
                <w:kern w:val="0"/>
                <w:sz w:val="24"/>
                <w:szCs w:val="24"/>
                <w:lang w:val="en-US" w:eastAsia="zh-CN" w:bidi="ar-SA"/>
              </w:rPr>
              <w:t>进行包装，待售。</w:t>
            </w:r>
          </w:p>
          <w:p w14:paraId="47FFC0BC">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snapToGrid w:val="0"/>
                <w:kern w:val="0"/>
                <w:sz w:val="24"/>
                <w:szCs w:val="24"/>
                <w:highlight w:val="none"/>
                <w:lang w:val="en-US" w:eastAsia="zh-CN" w:bidi="ar-SA"/>
              </w:rPr>
            </w:pPr>
            <w:r>
              <w:rPr>
                <w:rFonts w:hint="eastAsia" w:ascii="Times New Roman" w:hAnsi="Times New Roman" w:eastAsia="宋体" w:cs="Times New Roman"/>
                <w:snapToGrid w:val="0"/>
                <w:kern w:val="0"/>
                <w:sz w:val="24"/>
                <w:szCs w:val="24"/>
                <w:highlight w:val="none"/>
                <w:lang w:val="en-US" w:eastAsia="zh-CN"/>
              </w:rPr>
              <w:t>产污环节：此过程会产生</w:t>
            </w:r>
            <w:r>
              <w:rPr>
                <w:rFonts w:hint="eastAsia" w:ascii="Times New Roman" w:hAnsi="Times New Roman" w:eastAsia="宋体" w:cs="Times New Roman"/>
                <w:snapToGrid w:val="0"/>
                <w:color w:val="auto"/>
                <w:kern w:val="0"/>
                <w:sz w:val="24"/>
                <w:szCs w:val="24"/>
                <w:lang w:val="en-US" w:eastAsia="zh-CN" w:bidi="ar-SA"/>
              </w:rPr>
              <w:t>颗粒物、二氧化硫、氮氧化物、氨</w:t>
            </w:r>
            <w:r>
              <w:rPr>
                <w:rFonts w:hint="eastAsia" w:ascii="Times New Roman" w:hAnsi="Times New Roman" w:eastAsia="宋体" w:cs="Times New Roman"/>
                <w:snapToGrid w:val="0"/>
                <w:kern w:val="0"/>
                <w:sz w:val="24"/>
                <w:szCs w:val="24"/>
                <w:highlight w:val="none"/>
                <w:lang w:val="en-US" w:eastAsia="zh-CN"/>
              </w:rPr>
              <w:t>、噪声、布袋除尘器收集的粉尘等固废。</w:t>
            </w:r>
          </w:p>
          <w:p w14:paraId="4400643C">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snapToGrid w:val="0"/>
                <w:color w:val="auto"/>
                <w:kern w:val="0"/>
                <w:sz w:val="24"/>
                <w:highlight w:val="none"/>
              </w:rPr>
            </w:pPr>
            <w:r>
              <w:rPr>
                <w:rFonts w:hint="default" w:ascii="Times New Roman" w:hAnsi="Times New Roman" w:cs="Times New Roman"/>
                <w:b/>
                <w:snapToGrid w:val="0"/>
                <w:color w:val="auto"/>
                <w:kern w:val="0"/>
                <w:sz w:val="24"/>
                <w:highlight w:val="none"/>
              </w:rPr>
              <w:t>3、主要污染工序</w:t>
            </w:r>
          </w:p>
          <w:p w14:paraId="2CBD801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（1）废气：主要为</w:t>
            </w:r>
            <w:r>
              <w:rPr>
                <w:rFonts w:hint="eastAsia" w:ascii="Times New Roman" w:hAnsi="Times New Roman" w:eastAsia="宋体" w:cs="Times New Roman"/>
                <w:snapToGrid w:val="0"/>
                <w:color w:val="auto"/>
                <w:kern w:val="0"/>
                <w:sz w:val="24"/>
                <w:szCs w:val="24"/>
                <w:lang w:val="en-US" w:eastAsia="zh-CN" w:bidi="ar-SA"/>
              </w:rPr>
              <w:t>盐酸配置过程产生的氯化氢，一次搅拌投料过程产生的氯化氢、颗粒物，烘干过程产生的颗粒物、二氧化硫、氮氧化物，SNCR脱硝设备逃逸的氨</w:t>
            </w:r>
            <w:r>
              <w:rPr>
                <w:rFonts w:hint="default" w:ascii="Times New Roman" w:hAnsi="Times New Roman" w:eastAsia="宋体" w:cs="Times New Roman"/>
                <w:snapToGrid w:val="0"/>
                <w:color w:val="auto"/>
                <w:kern w:val="0"/>
                <w:sz w:val="24"/>
                <w:szCs w:val="24"/>
                <w:lang w:val="en-US" w:eastAsia="zh-CN" w:bidi="ar-SA"/>
              </w:rPr>
              <w:t>。</w:t>
            </w:r>
          </w:p>
          <w:p w14:paraId="0D1850E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snapToGrid w:val="0"/>
                <w:color w:val="auto"/>
                <w:kern w:val="0"/>
                <w:sz w:val="24"/>
                <w:szCs w:val="24"/>
                <w:lang w:val="en-US" w:eastAsia="zh-CN" w:bidi="ar-SA"/>
              </w:rPr>
              <w:t>（2）废水：主要</w:t>
            </w:r>
            <w:r>
              <w:rPr>
                <w:rFonts w:hint="default" w:ascii="Times New Roman" w:hAnsi="Times New Roman" w:cs="Times New Roman"/>
                <w:color w:val="auto"/>
                <w:sz w:val="24"/>
                <w:highlight w:val="none"/>
              </w:rPr>
              <w:t>为</w:t>
            </w:r>
            <w:r>
              <w:rPr>
                <w:rFonts w:hint="default" w:ascii="Times New Roman" w:hAnsi="Times New Roman" w:cs="Times New Roman"/>
                <w:color w:val="auto"/>
                <w:sz w:val="24"/>
                <w:szCs w:val="32"/>
                <w:highlight w:val="none"/>
              </w:rPr>
              <w:t>生活污水</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压滤废水、水喷淋废水</w:t>
            </w:r>
            <w:r>
              <w:rPr>
                <w:rFonts w:hint="default" w:ascii="Times New Roman" w:hAnsi="Times New Roman" w:eastAsia="宋体" w:cs="Times New Roman"/>
                <w:color w:val="auto"/>
                <w:sz w:val="24"/>
                <w:highlight w:val="none"/>
                <w:lang w:val="en-US" w:eastAsia="zh-CN"/>
              </w:rPr>
              <w:t>。</w:t>
            </w:r>
          </w:p>
          <w:p w14:paraId="6DDDA4C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（3）噪声：来自搅拌罐、压滤机、料仓包装机、各种风机、泵类</w:t>
            </w:r>
            <w:r>
              <w:rPr>
                <w:rFonts w:hint="eastAsia" w:ascii="Times New Roman" w:hAnsi="Times New Roman" w:eastAsia="宋体" w:cs="Times New Roman"/>
                <w:color w:val="auto"/>
                <w:sz w:val="24"/>
                <w:highlight w:val="none"/>
                <w:lang w:val="en-US" w:eastAsia="zh-CN"/>
              </w:rPr>
              <w:t>等设备</w:t>
            </w:r>
            <w:r>
              <w:rPr>
                <w:rFonts w:hint="default" w:ascii="Times New Roman" w:hAnsi="Times New Roman" w:eastAsia="宋体" w:cs="Times New Roman"/>
                <w:color w:val="auto"/>
                <w:sz w:val="24"/>
                <w:highlight w:val="none"/>
                <w:lang w:val="en-US" w:eastAsia="zh-CN"/>
              </w:rPr>
              <w:t>产生的机械噪声。</w:t>
            </w:r>
          </w:p>
          <w:p w14:paraId="44492F3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（4）固废：</w:t>
            </w:r>
            <w:r>
              <w:rPr>
                <w:rFonts w:hint="eastAsia" w:ascii="Times New Roman" w:hAnsi="Times New Roman" w:eastAsia="宋体" w:cs="Times New Roman"/>
                <w:color w:val="auto"/>
                <w:sz w:val="24"/>
                <w:highlight w:val="none"/>
                <w:lang w:val="en-US" w:eastAsia="zh-CN"/>
              </w:rPr>
              <w:t>主要</w:t>
            </w:r>
            <w:r>
              <w:rPr>
                <w:rFonts w:hint="default" w:ascii="Times New Roman" w:hAnsi="Times New Roman" w:eastAsia="宋体" w:cs="Times New Roman"/>
                <w:color w:val="auto"/>
                <w:sz w:val="24"/>
                <w:highlight w:val="none"/>
                <w:lang w:val="en-US" w:eastAsia="zh-CN"/>
              </w:rPr>
              <w:t>为废包装袋、废布袋、不合格品、布袋除尘器收集粉尘</w:t>
            </w:r>
            <w:r>
              <w:rPr>
                <w:rFonts w:hint="eastAsia" w:ascii="Times New Roman" w:hAnsi="Times New Roman" w:eastAsia="宋体" w:cs="Times New Roman"/>
                <w:color w:val="auto"/>
                <w:sz w:val="24"/>
                <w:highlight w:val="none"/>
                <w:lang w:val="en-US" w:eastAsia="zh-CN"/>
              </w:rPr>
              <w:t>、废滤料、废离子交换树脂、废酸桶、污泥</w:t>
            </w:r>
            <w:r>
              <w:rPr>
                <w:rFonts w:hint="default" w:ascii="Times New Roman" w:hAnsi="Times New Roman" w:eastAsia="宋体" w:cs="Times New Roman"/>
                <w:color w:val="auto"/>
                <w:sz w:val="24"/>
                <w:highlight w:val="none"/>
                <w:lang w:val="en-US" w:eastAsia="zh-CN"/>
              </w:rPr>
              <w:t>及职工生活垃圾。</w:t>
            </w:r>
          </w:p>
          <w:p w14:paraId="628C06E2">
            <w:pPr>
              <w:keepNext w:val="0"/>
              <w:keepLines w:val="0"/>
              <w:suppressLineNumbers w:val="0"/>
              <w:spacing w:before="0" w:beforeAutospacing="0" w:after="0" w:afterAutospacing="0"/>
              <w:ind w:left="0" w:right="0"/>
              <w:jc w:val="center"/>
              <w:rPr>
                <w:rStyle w:val="89"/>
                <w:rFonts w:hint="default" w:ascii="Times New Roman" w:hAnsi="Times New Roman" w:eastAsia="宋体" w:cs="Times New Roman"/>
                <w:b/>
                <w:bCs/>
                <w:sz w:val="21"/>
                <w:szCs w:val="21"/>
                <w:highlight w:val="none"/>
                <w:lang w:bidi="ar"/>
              </w:rPr>
            </w:pPr>
            <w:r>
              <w:rPr>
                <w:rStyle w:val="89"/>
                <w:rFonts w:hint="default" w:ascii="Times New Roman" w:hAnsi="Times New Roman" w:eastAsia="宋体" w:cs="Times New Roman"/>
                <w:b/>
                <w:bCs/>
                <w:sz w:val="21"/>
                <w:szCs w:val="21"/>
                <w:highlight w:val="none"/>
                <w:lang w:bidi="ar"/>
              </w:rPr>
              <w:t>表2-</w:t>
            </w:r>
            <w:r>
              <w:rPr>
                <w:rStyle w:val="89"/>
                <w:rFonts w:hint="default" w:ascii="Times New Roman" w:hAnsi="Times New Roman" w:cs="Times New Roman"/>
                <w:b/>
                <w:bCs/>
                <w:sz w:val="21"/>
                <w:szCs w:val="21"/>
                <w:highlight w:val="none"/>
                <w:lang w:val="en-US" w:eastAsia="zh-CN" w:bidi="ar"/>
              </w:rPr>
              <w:t xml:space="preserve">9 </w:t>
            </w:r>
            <w:r>
              <w:rPr>
                <w:rStyle w:val="89"/>
                <w:rFonts w:hint="default" w:ascii="Times New Roman" w:hAnsi="Times New Roman" w:eastAsia="宋体" w:cs="Times New Roman"/>
                <w:b/>
                <w:bCs/>
                <w:sz w:val="21"/>
                <w:szCs w:val="21"/>
                <w:highlight w:val="none"/>
                <w:lang w:val="en-US" w:eastAsia="zh-CN" w:bidi="ar"/>
              </w:rPr>
              <w:t xml:space="preserve"> </w:t>
            </w:r>
            <w:r>
              <w:rPr>
                <w:rStyle w:val="89"/>
                <w:rFonts w:hint="default" w:ascii="Times New Roman" w:hAnsi="Times New Roman" w:eastAsia="宋体" w:cs="Times New Roman"/>
                <w:b/>
                <w:bCs/>
                <w:sz w:val="21"/>
                <w:szCs w:val="21"/>
                <w:highlight w:val="none"/>
                <w:lang w:bidi="ar"/>
              </w:rPr>
              <w:t>产污环节一览表</w:t>
            </w:r>
          </w:p>
          <w:tbl>
            <w:tblPr>
              <w:tblStyle w:val="3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692"/>
              <w:gridCol w:w="1906"/>
              <w:gridCol w:w="2762"/>
              <w:gridCol w:w="1673"/>
            </w:tblGrid>
            <w:tr w14:paraId="040A9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392" w:type="pct"/>
                  <w:noWrap w:val="0"/>
                  <w:vAlign w:val="center"/>
                </w:tcPr>
                <w:p w14:paraId="7DF6A30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类别</w:t>
                  </w:r>
                </w:p>
              </w:tc>
              <w:tc>
                <w:tcPr>
                  <w:tcW w:w="970" w:type="pct"/>
                  <w:noWrap w:val="0"/>
                  <w:vAlign w:val="center"/>
                </w:tcPr>
                <w:p w14:paraId="751C0217">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产污环节</w:t>
                  </w:r>
                </w:p>
              </w:tc>
              <w:tc>
                <w:tcPr>
                  <w:tcW w:w="1093" w:type="pct"/>
                  <w:noWrap w:val="0"/>
                  <w:vAlign w:val="center"/>
                </w:tcPr>
                <w:p w14:paraId="02C0FCD9">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污染物</w:t>
                  </w:r>
                </w:p>
              </w:tc>
              <w:tc>
                <w:tcPr>
                  <w:tcW w:w="1584" w:type="pct"/>
                  <w:noWrap w:val="0"/>
                  <w:vAlign w:val="center"/>
                </w:tcPr>
                <w:p w14:paraId="3030567F">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治理措施</w:t>
                  </w:r>
                </w:p>
              </w:tc>
              <w:tc>
                <w:tcPr>
                  <w:tcW w:w="959" w:type="pct"/>
                  <w:noWrap w:val="0"/>
                  <w:vAlign w:val="center"/>
                </w:tcPr>
                <w:p w14:paraId="375BBEB0">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bCs/>
                      <w:sz w:val="21"/>
                      <w:szCs w:val="21"/>
                      <w:highlight w:val="none"/>
                      <w:lang w:eastAsia="zh-CN"/>
                    </w:rPr>
                  </w:pPr>
                  <w:r>
                    <w:rPr>
                      <w:rFonts w:hint="default" w:ascii="Times New Roman" w:hAnsi="Times New Roman" w:eastAsia="宋体" w:cs="Times New Roman"/>
                      <w:b/>
                      <w:bCs/>
                      <w:sz w:val="21"/>
                      <w:szCs w:val="21"/>
                      <w:highlight w:val="none"/>
                      <w:lang w:eastAsia="zh-CN"/>
                    </w:rPr>
                    <w:t>排放去向</w:t>
                  </w:r>
                </w:p>
              </w:tc>
            </w:tr>
            <w:tr w14:paraId="04A59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92" w:type="pct"/>
                  <w:vMerge w:val="restart"/>
                  <w:noWrap w:val="0"/>
                  <w:vAlign w:val="center"/>
                </w:tcPr>
                <w:p w14:paraId="5884C14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废气</w:t>
                  </w:r>
                </w:p>
              </w:tc>
              <w:tc>
                <w:tcPr>
                  <w:tcW w:w="970" w:type="pct"/>
                  <w:noWrap w:val="0"/>
                  <w:vAlign w:val="center"/>
                </w:tcPr>
                <w:p w14:paraId="678A05C4">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盐酸配置过程</w:t>
                  </w:r>
                </w:p>
              </w:tc>
              <w:tc>
                <w:tcPr>
                  <w:tcW w:w="1093" w:type="pct"/>
                  <w:noWrap w:val="0"/>
                  <w:vAlign w:val="center"/>
                </w:tcPr>
                <w:p w14:paraId="552DDDC7">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氯化氢</w:t>
                  </w:r>
                </w:p>
              </w:tc>
              <w:tc>
                <w:tcPr>
                  <w:tcW w:w="1584" w:type="pct"/>
                  <w:vMerge w:val="restart"/>
                  <w:noWrap w:val="0"/>
                  <w:vAlign w:val="center"/>
                </w:tcPr>
                <w:p w14:paraId="4BA19CF2">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highlight w:val="none"/>
                      <w:lang w:val="en-US" w:eastAsia="zh-CN"/>
                    </w:rPr>
                    <w:t>由密闭管道收集，经二级水喷淋+除雾器+布袋除尘器处理</w:t>
                  </w:r>
                </w:p>
              </w:tc>
              <w:tc>
                <w:tcPr>
                  <w:tcW w:w="959" w:type="pct"/>
                  <w:vMerge w:val="restart"/>
                  <w:noWrap w:val="0"/>
                  <w:vAlign w:val="center"/>
                </w:tcPr>
                <w:p w14:paraId="4F75F892">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由</w:t>
                  </w:r>
                  <w:r>
                    <w:rPr>
                      <w:rFonts w:hint="eastAsia" w:ascii="Times New Roman" w:hAnsi="Times New Roman" w:eastAsia="宋体" w:cs="Times New Roman"/>
                      <w:sz w:val="21"/>
                      <w:szCs w:val="21"/>
                      <w:highlight w:val="none"/>
                      <w:lang w:val="en-US" w:eastAsia="zh-CN"/>
                    </w:rPr>
                    <w:t>15</w:t>
                  </w:r>
                  <w:r>
                    <w:rPr>
                      <w:rFonts w:hint="default" w:ascii="Times New Roman" w:hAnsi="Times New Roman" w:eastAsia="宋体" w:cs="Times New Roman"/>
                      <w:sz w:val="21"/>
                      <w:szCs w:val="21"/>
                      <w:highlight w:val="none"/>
                      <w:lang w:val="en-US" w:eastAsia="zh-CN"/>
                    </w:rPr>
                    <w:t>m高DA001排气筒有组织排放</w:t>
                  </w:r>
                </w:p>
              </w:tc>
            </w:tr>
            <w:tr w14:paraId="28804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2" w:type="pct"/>
                  <w:vMerge w:val="continue"/>
                  <w:noWrap w:val="0"/>
                  <w:vAlign w:val="center"/>
                </w:tcPr>
                <w:p w14:paraId="1ACD99A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noWrap w:val="0"/>
                  <w:vAlign w:val="center"/>
                </w:tcPr>
                <w:p w14:paraId="2EBD526B">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一次搅拌投料过程</w:t>
                  </w:r>
                </w:p>
              </w:tc>
              <w:tc>
                <w:tcPr>
                  <w:tcW w:w="1093" w:type="pct"/>
                  <w:noWrap w:val="0"/>
                  <w:vAlign w:val="center"/>
                </w:tcPr>
                <w:p w14:paraId="3807258B">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颗粒物、氯化氢</w:t>
                  </w:r>
                </w:p>
              </w:tc>
              <w:tc>
                <w:tcPr>
                  <w:tcW w:w="1584" w:type="pct"/>
                  <w:vMerge w:val="continue"/>
                  <w:noWrap w:val="0"/>
                  <w:vAlign w:val="center"/>
                </w:tcPr>
                <w:p w14:paraId="53E01618">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val="en-US" w:eastAsia="zh-CN"/>
                    </w:rPr>
                  </w:pPr>
                </w:p>
              </w:tc>
              <w:tc>
                <w:tcPr>
                  <w:tcW w:w="959" w:type="pct"/>
                  <w:vMerge w:val="continue"/>
                  <w:noWrap w:val="0"/>
                  <w:vAlign w:val="center"/>
                </w:tcPr>
                <w:p w14:paraId="6020FA1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637F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2" w:type="pct"/>
                  <w:vMerge w:val="continue"/>
                  <w:noWrap w:val="0"/>
                  <w:vAlign w:val="center"/>
                </w:tcPr>
                <w:p w14:paraId="3C4915B6">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noWrap w:val="0"/>
                  <w:vAlign w:val="center"/>
                </w:tcPr>
                <w:p w14:paraId="1F8F04E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烘干过程</w:t>
                  </w:r>
                </w:p>
              </w:tc>
              <w:tc>
                <w:tcPr>
                  <w:tcW w:w="1093" w:type="pct"/>
                  <w:noWrap w:val="0"/>
                  <w:vAlign w:val="center"/>
                </w:tcPr>
                <w:p w14:paraId="43570C7E">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颗粒物、二氧化硫、氮氧化物</w:t>
                  </w:r>
                </w:p>
              </w:tc>
              <w:tc>
                <w:tcPr>
                  <w:tcW w:w="1584" w:type="pct"/>
                  <w:noWrap w:val="0"/>
                  <w:vAlign w:val="center"/>
                </w:tcPr>
                <w:p w14:paraId="71D5B14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highlight w:val="none"/>
                      <w:lang w:val="en-US" w:eastAsia="zh-CN"/>
                    </w:rPr>
                    <w:t>由密闭管道收集，经SNCR脱硝装置+布袋除尘器处理</w:t>
                  </w:r>
                </w:p>
              </w:tc>
              <w:tc>
                <w:tcPr>
                  <w:tcW w:w="959" w:type="pct"/>
                  <w:vMerge w:val="restart"/>
                  <w:noWrap w:val="0"/>
                  <w:vAlign w:val="center"/>
                </w:tcPr>
                <w:p w14:paraId="7E7AF299">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由</w:t>
                  </w:r>
                  <w:r>
                    <w:rPr>
                      <w:rFonts w:hint="eastAsia" w:ascii="Times New Roman" w:hAnsi="Times New Roman" w:eastAsia="宋体" w:cs="Times New Roman"/>
                      <w:sz w:val="21"/>
                      <w:szCs w:val="21"/>
                      <w:highlight w:val="none"/>
                      <w:lang w:val="en-US" w:eastAsia="zh-CN"/>
                    </w:rPr>
                    <w:t>15</w:t>
                  </w:r>
                  <w:r>
                    <w:rPr>
                      <w:rFonts w:hint="default" w:ascii="Times New Roman" w:hAnsi="Times New Roman" w:eastAsia="宋体" w:cs="Times New Roman"/>
                      <w:sz w:val="21"/>
                      <w:szCs w:val="21"/>
                      <w:highlight w:val="none"/>
                      <w:lang w:val="en-US" w:eastAsia="zh-CN"/>
                    </w:rPr>
                    <w:t>m高DA00</w:t>
                  </w:r>
                  <w:r>
                    <w:rPr>
                      <w:rFonts w:hint="eastAsia" w:ascii="Times New Roman" w:hAnsi="Times New Roman" w:eastAsia="宋体" w:cs="Times New Roman"/>
                      <w:sz w:val="21"/>
                      <w:szCs w:val="21"/>
                      <w:highlight w:val="none"/>
                      <w:lang w:val="en-US" w:eastAsia="zh-CN"/>
                    </w:rPr>
                    <w:t>2</w:t>
                  </w:r>
                  <w:r>
                    <w:rPr>
                      <w:rFonts w:hint="default" w:ascii="Times New Roman" w:hAnsi="Times New Roman" w:eastAsia="宋体" w:cs="Times New Roman"/>
                      <w:sz w:val="21"/>
                      <w:szCs w:val="21"/>
                      <w:highlight w:val="none"/>
                      <w:lang w:val="en-US" w:eastAsia="zh-CN"/>
                    </w:rPr>
                    <w:t>排气筒有组织排放</w:t>
                  </w:r>
                </w:p>
              </w:tc>
            </w:tr>
            <w:tr w14:paraId="4076B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92" w:type="pct"/>
                  <w:vMerge w:val="continue"/>
                  <w:noWrap w:val="0"/>
                  <w:vAlign w:val="center"/>
                </w:tcPr>
                <w:p w14:paraId="7D6DBABE">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noWrap w:val="0"/>
                  <w:vAlign w:val="center"/>
                </w:tcPr>
                <w:p w14:paraId="6A3FE23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SNCR脱硝</w:t>
                  </w:r>
                </w:p>
              </w:tc>
              <w:tc>
                <w:tcPr>
                  <w:tcW w:w="1093" w:type="pct"/>
                  <w:noWrap w:val="0"/>
                  <w:vAlign w:val="center"/>
                </w:tcPr>
                <w:p w14:paraId="2AC9A5D6">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逃逸的氨</w:t>
                  </w:r>
                </w:p>
              </w:tc>
              <w:tc>
                <w:tcPr>
                  <w:tcW w:w="1584" w:type="pct"/>
                  <w:noWrap w:val="0"/>
                  <w:vAlign w:val="center"/>
                </w:tcPr>
                <w:p w14:paraId="5D760D97">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由密闭管道收集</w:t>
                  </w:r>
                </w:p>
              </w:tc>
              <w:tc>
                <w:tcPr>
                  <w:tcW w:w="959" w:type="pct"/>
                  <w:vMerge w:val="continue"/>
                  <w:noWrap w:val="0"/>
                  <w:vAlign w:val="center"/>
                </w:tcPr>
                <w:p w14:paraId="0CB7260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51CC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392" w:type="pct"/>
                  <w:vMerge w:val="continue"/>
                  <w:noWrap w:val="0"/>
                  <w:vAlign w:val="center"/>
                </w:tcPr>
                <w:p w14:paraId="0AECB57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noWrap w:val="0"/>
                  <w:vAlign w:val="center"/>
                </w:tcPr>
                <w:p w14:paraId="382A5769">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未收集废气</w:t>
                  </w:r>
                </w:p>
              </w:tc>
              <w:tc>
                <w:tcPr>
                  <w:tcW w:w="1093" w:type="pct"/>
                  <w:noWrap w:val="0"/>
                  <w:vAlign w:val="center"/>
                </w:tcPr>
                <w:p w14:paraId="74CE71C5">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颗粒物、氯化氢</w:t>
                  </w:r>
                </w:p>
              </w:tc>
              <w:tc>
                <w:tcPr>
                  <w:tcW w:w="1584" w:type="pct"/>
                  <w:noWrap w:val="0"/>
                  <w:vAlign w:val="center"/>
                </w:tcPr>
                <w:p w14:paraId="0FE7B1C9">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密闭房间</w:t>
                  </w:r>
                </w:p>
              </w:tc>
              <w:tc>
                <w:tcPr>
                  <w:tcW w:w="959" w:type="pct"/>
                  <w:noWrap w:val="0"/>
                  <w:vAlign w:val="center"/>
                </w:tcPr>
                <w:p w14:paraId="1CA5559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无组织排放</w:t>
                  </w:r>
                </w:p>
              </w:tc>
            </w:tr>
            <w:tr w14:paraId="6A5E9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2" w:type="pct"/>
                  <w:vMerge w:val="restart"/>
                  <w:noWrap w:val="0"/>
                  <w:vAlign w:val="center"/>
                </w:tcPr>
                <w:p w14:paraId="0BB5C734">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废水</w:t>
                  </w:r>
                </w:p>
              </w:tc>
              <w:tc>
                <w:tcPr>
                  <w:tcW w:w="970" w:type="pct"/>
                  <w:noWrap w:val="0"/>
                  <w:vAlign w:val="center"/>
                </w:tcPr>
                <w:p w14:paraId="7190252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eastAsia="zh-CN"/>
                    </w:rPr>
                    <w:t>生活污水</w:t>
                  </w:r>
                </w:p>
              </w:tc>
              <w:tc>
                <w:tcPr>
                  <w:tcW w:w="1093" w:type="pct"/>
                  <w:noWrap w:val="0"/>
                  <w:vAlign w:val="center"/>
                </w:tcPr>
                <w:p w14:paraId="4AA8C5CA">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COD、氨氮</w:t>
                  </w:r>
                </w:p>
              </w:tc>
              <w:tc>
                <w:tcPr>
                  <w:tcW w:w="1584" w:type="pct"/>
                  <w:noWrap w:val="0"/>
                  <w:vAlign w:val="center"/>
                </w:tcPr>
                <w:p w14:paraId="59823646">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eastAsia="zh-CN"/>
                    </w:rPr>
                    <w:t>生活污水经化粪池处理后，</w:t>
                  </w:r>
                  <w:r>
                    <w:rPr>
                      <w:rFonts w:hint="default" w:ascii="Times New Roman" w:hAnsi="Times New Roman" w:eastAsia="宋体" w:cs="Times New Roman"/>
                      <w:sz w:val="21"/>
                      <w:szCs w:val="21"/>
                      <w:highlight w:val="none"/>
                    </w:rPr>
                    <w:t>排入市政污水管网</w:t>
                  </w:r>
                </w:p>
              </w:tc>
              <w:tc>
                <w:tcPr>
                  <w:tcW w:w="959" w:type="pct"/>
                  <w:vMerge w:val="restart"/>
                  <w:noWrap w:val="0"/>
                  <w:vAlign w:val="center"/>
                </w:tcPr>
                <w:p w14:paraId="4BD0B3CF">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进入葛洲坝水务淄博淄川有限公司深化处理</w:t>
                  </w:r>
                </w:p>
              </w:tc>
            </w:tr>
            <w:tr w14:paraId="3412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2" w:type="pct"/>
                  <w:vMerge w:val="continue"/>
                  <w:noWrap w:val="0"/>
                  <w:vAlign w:val="center"/>
                </w:tcPr>
                <w:p w14:paraId="5450D5B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noWrap w:val="0"/>
                  <w:vAlign w:val="center"/>
                </w:tcPr>
                <w:p w14:paraId="581933C2">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压滤废水、喷淋废水</w:t>
                  </w:r>
                </w:p>
              </w:tc>
              <w:tc>
                <w:tcPr>
                  <w:tcW w:w="1093" w:type="pct"/>
                  <w:noWrap w:val="0"/>
                  <w:vAlign w:val="center"/>
                </w:tcPr>
                <w:p w14:paraId="33BB2D54">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pH、</w:t>
                  </w:r>
                  <w:r>
                    <w:rPr>
                      <w:rFonts w:hint="default" w:ascii="Times New Roman" w:hAnsi="Times New Roman" w:eastAsia="宋体" w:cs="Times New Roman"/>
                      <w:sz w:val="21"/>
                      <w:szCs w:val="21"/>
                      <w:highlight w:val="none"/>
                      <w:lang w:val="en-US" w:eastAsia="zh-CN"/>
                    </w:rPr>
                    <w:t>SS</w:t>
                  </w:r>
                  <w:r>
                    <w:rPr>
                      <w:rFonts w:hint="eastAsia" w:ascii="Times New Roman" w:hAnsi="Times New Roman" w:eastAsia="宋体" w:cs="Times New Roman"/>
                      <w:sz w:val="21"/>
                      <w:szCs w:val="21"/>
                      <w:highlight w:val="none"/>
                      <w:lang w:val="en-US" w:eastAsia="zh-CN"/>
                    </w:rPr>
                    <w:t>、全盐量</w:t>
                  </w:r>
                </w:p>
              </w:tc>
              <w:tc>
                <w:tcPr>
                  <w:tcW w:w="1584" w:type="pct"/>
                  <w:noWrap w:val="0"/>
                  <w:vAlign w:val="center"/>
                </w:tcPr>
                <w:p w14:paraId="5397DDBB">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val="en-US" w:eastAsia="zh-CN"/>
                    </w:rPr>
                    <w:t>通过厂区污水设备处理</w:t>
                  </w:r>
                  <w:r>
                    <w:rPr>
                      <w:rFonts w:hint="eastAsia" w:ascii="Times New Roman" w:hAnsi="Times New Roman" w:eastAsia="宋体" w:cs="Times New Roman"/>
                      <w:sz w:val="21"/>
                      <w:szCs w:val="21"/>
                      <w:highlight w:val="none"/>
                      <w:lang w:eastAsia="zh-CN"/>
                    </w:rPr>
                    <w:t>后，</w:t>
                  </w:r>
                  <w:r>
                    <w:rPr>
                      <w:rFonts w:hint="default" w:ascii="Times New Roman" w:hAnsi="Times New Roman" w:eastAsia="宋体" w:cs="Times New Roman"/>
                      <w:sz w:val="21"/>
                      <w:szCs w:val="21"/>
                      <w:highlight w:val="none"/>
                    </w:rPr>
                    <w:t>排入市政污水管网</w:t>
                  </w:r>
                </w:p>
              </w:tc>
              <w:tc>
                <w:tcPr>
                  <w:tcW w:w="959" w:type="pct"/>
                  <w:vMerge w:val="continue"/>
                  <w:noWrap w:val="0"/>
                  <w:vAlign w:val="center"/>
                </w:tcPr>
                <w:p w14:paraId="4EF16B4B">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26088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392" w:type="pct"/>
                  <w:vMerge w:val="restart"/>
                  <w:noWrap w:val="0"/>
                  <w:vAlign w:val="center"/>
                </w:tcPr>
                <w:p w14:paraId="1C211AFC">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固废</w:t>
                  </w:r>
                </w:p>
              </w:tc>
              <w:tc>
                <w:tcPr>
                  <w:tcW w:w="970" w:type="pct"/>
                  <w:noWrap w:val="0"/>
                  <w:vAlign w:val="center"/>
                </w:tcPr>
                <w:p w14:paraId="534BB490">
                  <w:pPr>
                    <w:keepNext w:val="0"/>
                    <w:keepLines w:val="0"/>
                    <w:suppressLineNumbers w:val="0"/>
                    <w:tabs>
                      <w:tab w:val="center" w:pos="1196"/>
                      <w:tab w:val="right" w:pos="2272"/>
                    </w:tabs>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职工生活</w:t>
                  </w:r>
                </w:p>
              </w:tc>
              <w:tc>
                <w:tcPr>
                  <w:tcW w:w="1093" w:type="pct"/>
                  <w:noWrap w:val="0"/>
                  <w:vAlign w:val="center"/>
                </w:tcPr>
                <w:p w14:paraId="3B15933F">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生活垃圾</w:t>
                  </w:r>
                </w:p>
              </w:tc>
              <w:tc>
                <w:tcPr>
                  <w:tcW w:w="1584" w:type="pct"/>
                  <w:noWrap w:val="0"/>
                  <w:vAlign w:val="center"/>
                </w:tcPr>
                <w:p w14:paraId="3842DC60">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环卫部门定期清运</w:t>
                  </w:r>
                </w:p>
              </w:tc>
              <w:tc>
                <w:tcPr>
                  <w:tcW w:w="959" w:type="pct"/>
                  <w:vMerge w:val="restart"/>
                  <w:noWrap w:val="0"/>
                  <w:vAlign w:val="center"/>
                </w:tcPr>
                <w:p w14:paraId="6C696A30">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资源化、无害化</w:t>
                  </w:r>
                </w:p>
              </w:tc>
            </w:tr>
            <w:tr w14:paraId="5A27A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92" w:type="pct"/>
                  <w:vMerge w:val="continue"/>
                  <w:noWrap w:val="0"/>
                  <w:vAlign w:val="center"/>
                </w:tcPr>
                <w:p w14:paraId="6720E4CC">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restart"/>
                  <w:noWrap w:val="0"/>
                  <w:vAlign w:val="center"/>
                </w:tcPr>
                <w:p w14:paraId="25B71F07">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环保工程</w:t>
                  </w:r>
                </w:p>
              </w:tc>
              <w:tc>
                <w:tcPr>
                  <w:tcW w:w="1093" w:type="pct"/>
                  <w:noWrap w:val="0"/>
                  <w:vAlign w:val="center"/>
                </w:tcPr>
                <w:p w14:paraId="099BA9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废滤料</w:t>
                  </w:r>
                </w:p>
              </w:tc>
              <w:tc>
                <w:tcPr>
                  <w:tcW w:w="1584" w:type="pct"/>
                  <w:vMerge w:val="restart"/>
                  <w:noWrap w:val="0"/>
                  <w:vAlign w:val="center"/>
                </w:tcPr>
                <w:p w14:paraId="14BD93E7">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集中收入一般固废暂存处，由车间工作人员统一收集后外售给有处置能力和资质单位处置</w:t>
                  </w:r>
                </w:p>
              </w:tc>
              <w:tc>
                <w:tcPr>
                  <w:tcW w:w="959" w:type="pct"/>
                  <w:vMerge w:val="continue"/>
                  <w:noWrap w:val="0"/>
                  <w:vAlign w:val="center"/>
                </w:tcPr>
                <w:p w14:paraId="6D0803E6">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49478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92" w:type="pct"/>
                  <w:vMerge w:val="continue"/>
                  <w:noWrap w:val="0"/>
                  <w:vAlign w:val="center"/>
                </w:tcPr>
                <w:p w14:paraId="5E7A752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continue"/>
                  <w:noWrap w:val="0"/>
                  <w:vAlign w:val="center"/>
                </w:tcPr>
                <w:p w14:paraId="57B7EA29">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val="en-US" w:eastAsia="zh-CN"/>
                    </w:rPr>
                  </w:pPr>
                </w:p>
              </w:tc>
              <w:tc>
                <w:tcPr>
                  <w:tcW w:w="1093" w:type="pct"/>
                  <w:noWrap w:val="0"/>
                  <w:vAlign w:val="center"/>
                </w:tcPr>
                <w:p w14:paraId="6003C4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废离子交换树脂</w:t>
                  </w:r>
                </w:p>
              </w:tc>
              <w:tc>
                <w:tcPr>
                  <w:tcW w:w="1584" w:type="pct"/>
                  <w:vMerge w:val="continue"/>
                  <w:noWrap w:val="0"/>
                  <w:vAlign w:val="center"/>
                </w:tcPr>
                <w:p w14:paraId="110357A5">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c>
                <w:tcPr>
                  <w:tcW w:w="959" w:type="pct"/>
                  <w:vMerge w:val="continue"/>
                  <w:noWrap w:val="0"/>
                  <w:vAlign w:val="center"/>
                </w:tcPr>
                <w:p w14:paraId="1866C845">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6CA0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392" w:type="pct"/>
                  <w:vMerge w:val="continue"/>
                  <w:noWrap w:val="0"/>
                  <w:vAlign w:val="center"/>
                </w:tcPr>
                <w:p w14:paraId="06AA70F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restart"/>
                  <w:noWrap w:val="0"/>
                  <w:vAlign w:val="center"/>
                </w:tcPr>
                <w:p w14:paraId="019A622E">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生产</w:t>
                  </w:r>
                  <w:r>
                    <w:rPr>
                      <w:rFonts w:hint="default" w:ascii="Times New Roman" w:hAnsi="Times New Roman" w:eastAsia="宋体" w:cs="Times New Roman"/>
                      <w:sz w:val="21"/>
                      <w:szCs w:val="21"/>
                      <w:highlight w:val="none"/>
                      <w:lang w:val="en-US" w:eastAsia="zh-CN"/>
                    </w:rPr>
                    <w:t>过程</w:t>
                  </w:r>
                </w:p>
              </w:tc>
              <w:tc>
                <w:tcPr>
                  <w:tcW w:w="1093" w:type="pct"/>
                  <w:noWrap w:val="0"/>
                  <w:vAlign w:val="center"/>
                </w:tcPr>
                <w:p w14:paraId="582B74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废包装袋</w:t>
                  </w:r>
                </w:p>
              </w:tc>
              <w:tc>
                <w:tcPr>
                  <w:tcW w:w="1584" w:type="pct"/>
                  <w:vMerge w:val="continue"/>
                  <w:noWrap w:val="0"/>
                  <w:vAlign w:val="center"/>
                </w:tcPr>
                <w:p w14:paraId="2D30021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c>
                <w:tcPr>
                  <w:tcW w:w="959" w:type="pct"/>
                  <w:vMerge w:val="continue"/>
                  <w:noWrap w:val="0"/>
                  <w:vAlign w:val="center"/>
                </w:tcPr>
                <w:p w14:paraId="35C57C2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0F7A9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392" w:type="pct"/>
                  <w:vMerge w:val="continue"/>
                  <w:noWrap w:val="0"/>
                  <w:vAlign w:val="center"/>
                </w:tcPr>
                <w:p w14:paraId="7BACFAE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continue"/>
                  <w:noWrap w:val="0"/>
                  <w:vAlign w:val="center"/>
                </w:tcPr>
                <w:p w14:paraId="7A033C71">
                  <w:pPr>
                    <w:keepNext w:val="0"/>
                    <w:keepLines w:val="0"/>
                    <w:suppressLineNumbers w:val="0"/>
                    <w:tabs>
                      <w:tab w:val="center" w:pos="1196"/>
                      <w:tab w:val="right" w:pos="2272"/>
                    </w:tabs>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p>
              </w:tc>
              <w:tc>
                <w:tcPr>
                  <w:tcW w:w="1093" w:type="pct"/>
                  <w:noWrap w:val="0"/>
                  <w:vAlign w:val="center"/>
                </w:tcPr>
                <w:p w14:paraId="4CF251B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不合格品</w:t>
                  </w:r>
                </w:p>
              </w:tc>
              <w:tc>
                <w:tcPr>
                  <w:tcW w:w="1584" w:type="pct"/>
                  <w:vMerge w:val="restart"/>
                  <w:noWrap w:val="0"/>
                  <w:vAlign w:val="center"/>
                </w:tcPr>
                <w:p w14:paraId="37434D76">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全部回用生产</w:t>
                  </w:r>
                </w:p>
              </w:tc>
              <w:tc>
                <w:tcPr>
                  <w:tcW w:w="959" w:type="pct"/>
                  <w:vMerge w:val="continue"/>
                  <w:noWrap w:val="0"/>
                  <w:vAlign w:val="center"/>
                </w:tcPr>
                <w:p w14:paraId="3E5EFB9E">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17E6F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2" w:type="pct"/>
                  <w:vMerge w:val="continue"/>
                  <w:noWrap w:val="0"/>
                  <w:vAlign w:val="center"/>
                </w:tcPr>
                <w:p w14:paraId="02A00788">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noWrap w:val="0"/>
                  <w:vAlign w:val="center"/>
                </w:tcPr>
                <w:p w14:paraId="3CD9CDB3">
                  <w:pPr>
                    <w:keepNext w:val="0"/>
                    <w:keepLines w:val="0"/>
                    <w:suppressLineNumbers w:val="0"/>
                    <w:tabs>
                      <w:tab w:val="center" w:pos="1196"/>
                      <w:tab w:val="right" w:pos="2272"/>
                    </w:tabs>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环保工程</w:t>
                  </w:r>
                </w:p>
              </w:tc>
              <w:tc>
                <w:tcPr>
                  <w:tcW w:w="1093" w:type="pct"/>
                  <w:noWrap w:val="0"/>
                  <w:vAlign w:val="center"/>
                </w:tcPr>
                <w:p w14:paraId="675D09C5">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布袋除尘器收集粉尘</w:t>
                  </w:r>
                </w:p>
              </w:tc>
              <w:tc>
                <w:tcPr>
                  <w:tcW w:w="1584" w:type="pct"/>
                  <w:vMerge w:val="continue"/>
                  <w:noWrap w:val="0"/>
                  <w:vAlign w:val="center"/>
                </w:tcPr>
                <w:p w14:paraId="0A63677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eastAsia="zh-CN"/>
                    </w:rPr>
                  </w:pPr>
                </w:p>
              </w:tc>
              <w:tc>
                <w:tcPr>
                  <w:tcW w:w="959" w:type="pct"/>
                  <w:vMerge w:val="continue"/>
                  <w:noWrap w:val="0"/>
                  <w:vAlign w:val="center"/>
                </w:tcPr>
                <w:p w14:paraId="3FB4B42B">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r>
            <w:tr w14:paraId="2B1D3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392" w:type="pct"/>
                  <w:vMerge w:val="continue"/>
                  <w:noWrap w:val="0"/>
                  <w:vAlign w:val="center"/>
                </w:tcPr>
                <w:p w14:paraId="23055FE8">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restart"/>
                  <w:noWrap w:val="0"/>
                  <w:vAlign w:val="center"/>
                </w:tcPr>
                <w:p w14:paraId="1EBEE76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生产过程</w:t>
                  </w:r>
                </w:p>
              </w:tc>
              <w:tc>
                <w:tcPr>
                  <w:tcW w:w="1093" w:type="pct"/>
                  <w:noWrap w:val="0"/>
                  <w:vAlign w:val="center"/>
                </w:tcPr>
                <w:p w14:paraId="6CCF6A12">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废酸桶</w:t>
                  </w:r>
                </w:p>
              </w:tc>
              <w:tc>
                <w:tcPr>
                  <w:tcW w:w="1584" w:type="pct"/>
                  <w:vMerge w:val="restart"/>
                  <w:noWrap w:val="0"/>
                  <w:vAlign w:val="center"/>
                </w:tcPr>
                <w:p w14:paraId="6D2AA13B">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集中收入</w:t>
                  </w:r>
                  <w:r>
                    <w:rPr>
                      <w:rFonts w:hint="default" w:ascii="Times New Roman" w:hAnsi="Times New Roman" w:eastAsia="宋体" w:cs="Times New Roman"/>
                      <w:sz w:val="21"/>
                      <w:szCs w:val="21"/>
                      <w:highlight w:val="none"/>
                    </w:rPr>
                    <w:t>危废间暂存后委托资质单位安全处置</w:t>
                  </w:r>
                </w:p>
              </w:tc>
              <w:tc>
                <w:tcPr>
                  <w:tcW w:w="959" w:type="pct"/>
                  <w:vMerge w:val="continue"/>
                  <w:noWrap w:val="0"/>
                  <w:vAlign w:val="center"/>
                </w:tcPr>
                <w:p w14:paraId="13EC14A5">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r>
            <w:tr w14:paraId="10DBC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392" w:type="pct"/>
                  <w:vMerge w:val="continue"/>
                  <w:noWrap w:val="0"/>
                  <w:vAlign w:val="center"/>
                </w:tcPr>
                <w:p w14:paraId="3AAF9853">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restart"/>
                  <w:noWrap w:val="0"/>
                  <w:vAlign w:val="center"/>
                </w:tcPr>
                <w:p w14:paraId="466658D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环保工程</w:t>
                  </w:r>
                </w:p>
              </w:tc>
              <w:tc>
                <w:tcPr>
                  <w:tcW w:w="1093" w:type="pct"/>
                  <w:noWrap w:val="0"/>
                  <w:vAlign w:val="center"/>
                </w:tcPr>
                <w:p w14:paraId="33E843D1">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污泥</w:t>
                  </w:r>
                </w:p>
              </w:tc>
              <w:tc>
                <w:tcPr>
                  <w:tcW w:w="1584" w:type="pct"/>
                  <w:vMerge w:val="continue"/>
                  <w:noWrap w:val="0"/>
                  <w:vAlign w:val="center"/>
                </w:tcPr>
                <w:p w14:paraId="6AA7CA77">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c>
                <w:tcPr>
                  <w:tcW w:w="959" w:type="pct"/>
                  <w:vMerge w:val="continue"/>
                  <w:noWrap w:val="0"/>
                  <w:vAlign w:val="center"/>
                </w:tcPr>
                <w:p w14:paraId="2BACC4AB">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r>
            <w:tr w14:paraId="036B1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92" w:type="pct"/>
                  <w:vMerge w:val="continue"/>
                  <w:noWrap w:val="0"/>
                  <w:vAlign w:val="center"/>
                </w:tcPr>
                <w:p w14:paraId="5E5B1FDD">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970" w:type="pct"/>
                  <w:vMerge w:val="continue"/>
                  <w:noWrap w:val="0"/>
                  <w:vAlign w:val="center"/>
                </w:tcPr>
                <w:p w14:paraId="752A6A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kern w:val="2"/>
                      <w:sz w:val="21"/>
                      <w:szCs w:val="21"/>
                      <w:highlight w:val="none"/>
                      <w:lang w:val="en-US" w:eastAsia="zh-CN" w:bidi="ar-SA"/>
                    </w:rPr>
                  </w:pPr>
                </w:p>
              </w:tc>
              <w:tc>
                <w:tcPr>
                  <w:tcW w:w="1093" w:type="pct"/>
                  <w:noWrap w:val="0"/>
                  <w:vAlign w:val="center"/>
                </w:tcPr>
                <w:p w14:paraId="722144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废布袋</w:t>
                  </w:r>
                </w:p>
              </w:tc>
              <w:tc>
                <w:tcPr>
                  <w:tcW w:w="1584" w:type="pct"/>
                  <w:vMerge w:val="continue"/>
                  <w:noWrap w:val="0"/>
                  <w:vAlign w:val="center"/>
                </w:tcPr>
                <w:p w14:paraId="73D8033A">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p>
              </w:tc>
              <w:tc>
                <w:tcPr>
                  <w:tcW w:w="959" w:type="pct"/>
                  <w:vMerge w:val="continue"/>
                  <w:noWrap w:val="0"/>
                  <w:vAlign w:val="center"/>
                </w:tcPr>
                <w:p w14:paraId="48A5F90C">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sz w:val="21"/>
                      <w:szCs w:val="21"/>
                      <w:highlight w:val="none"/>
                    </w:rPr>
                  </w:pPr>
                </w:p>
              </w:tc>
            </w:tr>
          </w:tbl>
          <w:p w14:paraId="5CB46571">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highlight w:val="none"/>
                <w:lang w:val="en-US" w:eastAsia="zh-CN"/>
              </w:rPr>
            </w:pPr>
          </w:p>
        </w:tc>
      </w:tr>
      <w:tr w14:paraId="0C7640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7314B6D6">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4"/>
                <w:highlight w:val="none"/>
              </w:rPr>
            </w:pPr>
            <w:r>
              <w:rPr>
                <w:rFonts w:hint="default" w:ascii="Times New Roman" w:hAnsi="Times New Roman" w:cs="Times New Roman"/>
                <w:bCs/>
                <w:color w:val="auto"/>
                <w:kern w:val="2"/>
                <w:szCs w:val="24"/>
                <w:highlight w:val="none"/>
              </w:rPr>
              <w:t>与项目有关的原有环境污染问题</w:t>
            </w:r>
          </w:p>
        </w:tc>
        <w:tc>
          <w:tcPr>
            <w:tcW w:w="8161" w:type="dxa"/>
            <w:noWrap w:val="0"/>
            <w:vAlign w:val="center"/>
          </w:tcPr>
          <w:p w14:paraId="42B7BD9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629FE0C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66608B5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6554C91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1EE64A9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5F58651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38F5ADD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747FCB2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29C06AF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435C9B5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69B8C88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7D98C51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p>
          <w:p w14:paraId="01AF1ED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32"/>
                <w:highlight w:val="none"/>
                <w:lang w:eastAsia="zh-CN"/>
              </w:rPr>
              <w:t>本项目</w:t>
            </w:r>
            <w:r>
              <w:rPr>
                <w:rFonts w:hint="default" w:ascii="Times New Roman" w:hAnsi="Times New Roman" w:eastAsia="宋体" w:cs="Times New Roman"/>
                <w:color w:val="auto"/>
                <w:sz w:val="24"/>
                <w:szCs w:val="32"/>
                <w:highlight w:val="none"/>
                <w:lang w:val="en-US" w:eastAsia="zh-CN"/>
              </w:rPr>
              <w:t>租赁</w:t>
            </w:r>
            <w:r>
              <w:rPr>
                <w:rFonts w:hint="eastAsia" w:ascii="Times New Roman" w:hAnsi="Times New Roman" w:eastAsia="宋体" w:cs="Times New Roman"/>
                <w:color w:val="auto"/>
                <w:sz w:val="24"/>
                <w:highlight w:val="none"/>
                <w:lang w:val="en-US" w:eastAsia="zh-CN"/>
              </w:rPr>
              <w:t>山东省淄博市淄川区双杨镇小庄村沿河路东部现有厂房</w:t>
            </w:r>
            <w:r>
              <w:rPr>
                <w:rFonts w:hint="default" w:ascii="Times New Roman" w:hAnsi="Times New Roman" w:eastAsia="宋体" w:cs="Times New Roman"/>
                <w:color w:val="auto"/>
                <w:sz w:val="24"/>
                <w:szCs w:val="32"/>
                <w:highlight w:val="none"/>
                <w:lang w:eastAsia="zh-CN"/>
              </w:rPr>
              <w:t>，</w:t>
            </w:r>
            <w:r>
              <w:rPr>
                <w:rFonts w:hint="eastAsia" w:cs="Times New Roman"/>
                <w:color w:val="auto"/>
                <w:sz w:val="24"/>
                <w:szCs w:val="32"/>
                <w:highlight w:val="none"/>
                <w:lang w:val="en-US" w:eastAsia="zh-CN"/>
              </w:rPr>
              <w:t>现有厂房为闲置空厂房，</w:t>
            </w:r>
            <w:r>
              <w:rPr>
                <w:rFonts w:hint="default" w:ascii="Times New Roman" w:hAnsi="Times New Roman" w:cs="Times New Roman"/>
                <w:color w:val="auto"/>
                <w:sz w:val="24"/>
                <w:szCs w:val="32"/>
                <w:highlight w:val="none"/>
                <w:lang w:val="en-US" w:eastAsia="zh-CN"/>
              </w:rPr>
              <w:t>不涉及现有厂房设备拆除工作，本项目建设性质为新建，</w:t>
            </w:r>
            <w:r>
              <w:rPr>
                <w:rFonts w:hint="default" w:ascii="Times New Roman" w:hAnsi="Times New Roman" w:eastAsia="宋体" w:cs="Times New Roman"/>
                <w:color w:val="auto"/>
                <w:sz w:val="24"/>
                <w:szCs w:val="32"/>
                <w:highlight w:val="none"/>
                <w:lang w:val="en-US" w:eastAsia="zh-CN"/>
              </w:rPr>
              <w:t>故不存在与项目有关的原有环境污染问题。</w:t>
            </w:r>
          </w:p>
          <w:p w14:paraId="095F87A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cs="Times New Roman"/>
                <w:bCs/>
                <w:color w:val="auto"/>
                <w:sz w:val="24"/>
                <w:highlight w:val="none"/>
                <w:lang w:val="en-US" w:eastAsia="zh-CN"/>
              </w:rPr>
            </w:pPr>
          </w:p>
          <w:p w14:paraId="5A7B78B6">
            <w:pPr>
              <w:pStyle w:val="2"/>
              <w:keepNext w:val="0"/>
              <w:keepLines w:val="0"/>
              <w:suppressLineNumbers w:val="0"/>
              <w:spacing w:before="0" w:beforeAutospacing="0" w:afterAutospacing="0"/>
              <w:ind w:right="0"/>
              <w:rPr>
                <w:rFonts w:hint="eastAsia" w:cs="Times New Roman"/>
                <w:lang w:val="en-US" w:eastAsia="zh-CN"/>
              </w:rPr>
            </w:pPr>
          </w:p>
          <w:p w14:paraId="7253E619">
            <w:pPr>
              <w:pStyle w:val="2"/>
              <w:keepNext w:val="0"/>
              <w:keepLines w:val="0"/>
              <w:suppressLineNumbers w:val="0"/>
              <w:spacing w:before="0" w:beforeAutospacing="0" w:afterAutospacing="0"/>
              <w:ind w:right="0"/>
              <w:rPr>
                <w:rFonts w:hint="eastAsia" w:cs="Times New Roman"/>
                <w:lang w:val="en-US" w:eastAsia="zh-CN"/>
              </w:rPr>
            </w:pPr>
          </w:p>
          <w:p w14:paraId="519D2DBC">
            <w:pPr>
              <w:pStyle w:val="2"/>
              <w:keepNext w:val="0"/>
              <w:keepLines w:val="0"/>
              <w:suppressLineNumbers w:val="0"/>
              <w:spacing w:before="0" w:beforeAutospacing="0" w:afterAutospacing="0"/>
              <w:ind w:right="0"/>
              <w:rPr>
                <w:rFonts w:hint="eastAsia" w:cs="Times New Roman"/>
                <w:lang w:val="en-US" w:eastAsia="zh-CN"/>
              </w:rPr>
            </w:pPr>
          </w:p>
          <w:p w14:paraId="2FF7E0A1">
            <w:pPr>
              <w:pStyle w:val="2"/>
              <w:keepNext w:val="0"/>
              <w:keepLines w:val="0"/>
              <w:suppressLineNumbers w:val="0"/>
              <w:spacing w:before="0" w:beforeAutospacing="0" w:afterAutospacing="0"/>
              <w:ind w:right="0"/>
              <w:rPr>
                <w:rFonts w:hint="eastAsia" w:cs="Times New Roman"/>
                <w:lang w:val="en-US" w:eastAsia="zh-CN"/>
              </w:rPr>
            </w:pPr>
          </w:p>
          <w:p w14:paraId="7A73550B">
            <w:pPr>
              <w:pStyle w:val="2"/>
              <w:keepNext w:val="0"/>
              <w:keepLines w:val="0"/>
              <w:suppressLineNumbers w:val="0"/>
              <w:spacing w:before="0" w:beforeAutospacing="0" w:afterAutospacing="0"/>
              <w:ind w:right="0"/>
              <w:rPr>
                <w:rFonts w:hint="eastAsia" w:cs="Times New Roman"/>
                <w:lang w:val="en-US" w:eastAsia="zh-CN"/>
              </w:rPr>
            </w:pPr>
          </w:p>
          <w:p w14:paraId="2D84ED46">
            <w:pPr>
              <w:pStyle w:val="2"/>
              <w:keepNext w:val="0"/>
              <w:keepLines w:val="0"/>
              <w:suppressLineNumbers w:val="0"/>
              <w:spacing w:before="0" w:beforeAutospacing="0" w:afterAutospacing="0"/>
              <w:ind w:right="0"/>
              <w:rPr>
                <w:rFonts w:hint="eastAsia" w:cs="Times New Roman"/>
                <w:lang w:val="en-US" w:eastAsia="zh-CN"/>
              </w:rPr>
            </w:pPr>
          </w:p>
          <w:p w14:paraId="08C4CA67">
            <w:pPr>
              <w:pStyle w:val="2"/>
              <w:keepNext w:val="0"/>
              <w:keepLines w:val="0"/>
              <w:suppressLineNumbers w:val="0"/>
              <w:spacing w:before="0" w:beforeAutospacing="0" w:afterAutospacing="0"/>
              <w:ind w:right="0"/>
              <w:rPr>
                <w:rFonts w:hint="eastAsia" w:cs="Times New Roman"/>
                <w:lang w:val="en-US" w:eastAsia="zh-CN"/>
              </w:rPr>
            </w:pPr>
          </w:p>
          <w:p w14:paraId="3F920389">
            <w:pPr>
              <w:pStyle w:val="2"/>
              <w:keepNext w:val="0"/>
              <w:keepLines w:val="0"/>
              <w:suppressLineNumbers w:val="0"/>
              <w:spacing w:before="0" w:beforeAutospacing="0" w:afterAutospacing="0"/>
              <w:ind w:right="0"/>
              <w:rPr>
                <w:rFonts w:hint="eastAsia" w:cs="Times New Roman"/>
                <w:lang w:val="en-US" w:eastAsia="zh-CN"/>
              </w:rPr>
            </w:pPr>
          </w:p>
          <w:p w14:paraId="3ED2E656">
            <w:pPr>
              <w:pStyle w:val="2"/>
              <w:keepNext w:val="0"/>
              <w:keepLines w:val="0"/>
              <w:suppressLineNumbers w:val="0"/>
              <w:spacing w:before="0" w:beforeAutospacing="0" w:afterAutospacing="0"/>
              <w:ind w:right="0"/>
              <w:rPr>
                <w:rFonts w:hint="default" w:cs="Times New Roman"/>
                <w:lang w:val="en-US" w:eastAsia="zh-CN"/>
              </w:rPr>
            </w:pPr>
            <w:r>
              <w:rPr>
                <w:rFonts w:hint="eastAsia" w:cs="Times New Roman"/>
                <w:lang w:val="en-US" w:eastAsia="zh-CN"/>
              </w:rPr>
              <w:t xml:space="preserve"> </w:t>
            </w:r>
          </w:p>
          <w:p w14:paraId="0D6BAFCD">
            <w:pPr>
              <w:pStyle w:val="2"/>
              <w:keepNext w:val="0"/>
              <w:keepLines w:val="0"/>
              <w:suppressLineNumbers w:val="0"/>
              <w:spacing w:before="0" w:beforeAutospacing="0" w:afterAutospacing="0"/>
              <w:ind w:right="0"/>
              <w:rPr>
                <w:rFonts w:hint="eastAsia" w:cs="Times New Roman"/>
                <w:lang w:val="en-US" w:eastAsia="zh-CN"/>
              </w:rPr>
            </w:pPr>
          </w:p>
          <w:p w14:paraId="1D0BAB2D">
            <w:pPr>
              <w:pStyle w:val="2"/>
              <w:keepNext w:val="0"/>
              <w:keepLines w:val="0"/>
              <w:suppressLineNumbers w:val="0"/>
              <w:spacing w:before="0" w:beforeAutospacing="0" w:afterAutospacing="0"/>
              <w:ind w:right="0"/>
              <w:rPr>
                <w:rFonts w:hint="eastAsia" w:cs="Times New Roman"/>
                <w:lang w:val="en-US" w:eastAsia="zh-CN"/>
              </w:rPr>
            </w:pPr>
          </w:p>
          <w:p w14:paraId="5E270BC7">
            <w:pPr>
              <w:pStyle w:val="2"/>
              <w:keepNext w:val="0"/>
              <w:keepLines w:val="0"/>
              <w:suppressLineNumbers w:val="0"/>
              <w:spacing w:before="0" w:beforeAutospacing="0" w:afterAutospacing="0"/>
              <w:ind w:right="0"/>
              <w:rPr>
                <w:rFonts w:hint="eastAsia" w:cs="Times New Roman"/>
                <w:lang w:val="en-US" w:eastAsia="zh-CN"/>
              </w:rPr>
            </w:pPr>
          </w:p>
          <w:p w14:paraId="06D50D5C">
            <w:pPr>
              <w:pStyle w:val="2"/>
              <w:keepNext w:val="0"/>
              <w:keepLines w:val="0"/>
              <w:suppressLineNumbers w:val="0"/>
              <w:spacing w:before="0" w:beforeAutospacing="0" w:afterAutospacing="0"/>
              <w:ind w:right="0"/>
              <w:rPr>
                <w:rFonts w:hint="eastAsia" w:cs="Times New Roman"/>
                <w:lang w:val="en-US" w:eastAsia="zh-CN"/>
              </w:rPr>
            </w:pPr>
          </w:p>
          <w:p w14:paraId="02CCE6F7">
            <w:pPr>
              <w:pStyle w:val="2"/>
              <w:keepNext w:val="0"/>
              <w:keepLines w:val="0"/>
              <w:suppressLineNumbers w:val="0"/>
              <w:spacing w:before="0" w:beforeAutospacing="0" w:afterAutospacing="0"/>
              <w:ind w:right="0"/>
              <w:rPr>
                <w:rFonts w:hint="eastAsia" w:eastAsia="宋体" w:cs="Times New Roman"/>
                <w:lang w:val="en-US" w:eastAsia="zh-CN"/>
              </w:rPr>
            </w:pPr>
          </w:p>
        </w:tc>
      </w:tr>
    </w:tbl>
    <w:p w14:paraId="52E63D62">
      <w:pPr>
        <w:pStyle w:val="28"/>
        <w:jc w:val="center"/>
        <w:rPr>
          <w:rFonts w:hint="default" w:ascii="Times New Roman" w:hAnsi="Times New Roman" w:eastAsia="黑体" w:cs="Times New Roman"/>
          <w:snapToGrid w:val="0"/>
          <w:color w:val="auto"/>
          <w:sz w:val="36"/>
          <w:szCs w:val="36"/>
          <w:highlight w:val="none"/>
        </w:rPr>
        <w:sectPr>
          <w:pgSz w:w="11906" w:h="16838"/>
          <w:pgMar w:top="1417" w:right="1134" w:bottom="1417" w:left="1134"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08D77948">
      <w:pPr>
        <w:pStyle w:val="28"/>
        <w:adjustRightInd w:val="0"/>
        <w:snapToGrid w:val="0"/>
        <w:spacing w:before="0" w:beforeAutospacing="0" w:after="0" w:afterAutospacing="0" w:line="14" w:lineRule="auto"/>
        <w:jc w:val="both"/>
        <w:rPr>
          <w:rFonts w:hint="default" w:ascii="Times New Roman" w:hAnsi="Times New Roman" w:eastAsia="黑体" w:cs="Times New Roman"/>
          <w:snapToGrid w:val="0"/>
          <w:color w:val="auto"/>
          <w:sz w:val="30"/>
          <w:szCs w:val="30"/>
          <w:highlight w:val="none"/>
        </w:rPr>
      </w:pPr>
    </w:p>
    <w:p w14:paraId="61F79B5B">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bookmarkStart w:id="11" w:name="_Toc23207"/>
      <w:bookmarkStart w:id="12" w:name="_Toc25963"/>
      <w:bookmarkStart w:id="13" w:name="_Toc26072"/>
      <w:r>
        <w:rPr>
          <w:rFonts w:hint="default" w:ascii="Times New Roman" w:hAnsi="Times New Roman" w:eastAsia="黑体" w:cs="Times New Roman"/>
          <w:snapToGrid w:val="0"/>
          <w:color w:val="auto"/>
          <w:sz w:val="30"/>
          <w:szCs w:val="30"/>
          <w:highlight w:val="none"/>
        </w:rPr>
        <w:t>三、区域环境质量现状、环境保护目标及评价标准</w:t>
      </w:r>
      <w:bookmarkEnd w:id="11"/>
      <w:bookmarkEnd w:id="12"/>
      <w:bookmarkEnd w:id="13"/>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7"/>
        <w:gridCol w:w="8978"/>
      </w:tblGrid>
      <w:tr w14:paraId="13CF2C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800" w:type="dxa"/>
            <w:noWrap w:val="0"/>
            <w:vAlign w:val="center"/>
          </w:tcPr>
          <w:p w14:paraId="7C6A23A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0204CCB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6FE6F64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5AEC904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现状</w:t>
            </w:r>
          </w:p>
        </w:tc>
        <w:tc>
          <w:tcPr>
            <w:tcW w:w="8190" w:type="dxa"/>
            <w:noWrap w:val="0"/>
            <w:vAlign w:val="center"/>
          </w:tcPr>
          <w:p w14:paraId="3C1B9CBF">
            <w:pPr>
              <w:keepNext w:val="0"/>
              <w:keepLines w:val="0"/>
              <w:suppressLineNumbers w:val="0"/>
              <w:adjustRightInd w:val="0"/>
              <w:snapToGrid w:val="0"/>
              <w:spacing w:before="0" w:beforeAutospacing="0" w:after="0" w:afterAutospacing="0" w:line="440" w:lineRule="exact"/>
              <w:ind w:left="0" w:right="0"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1、环境功能区划</w:t>
            </w:r>
          </w:p>
          <w:p w14:paraId="00161441">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根据《淄博市城区环境空气质量功能区管理规定的通知》（淄政发[1999]113 号），及淄博市水资源管理办公室、淄博市水文局发布的《淄博市水功能区划》（2012.2）、《淄博市地下水功能区划分及保护现状评价》</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淄博市人民政府办公室《关于印发淄博市声环境功能区划方案的通知》（淄政办发[2025]5号）</w:t>
            </w:r>
            <w:r>
              <w:rPr>
                <w:rFonts w:hint="default" w:ascii="Times New Roman" w:hAnsi="Times New Roman" w:cs="Times New Roman"/>
                <w:color w:val="auto"/>
                <w:kern w:val="0"/>
                <w:sz w:val="24"/>
                <w:highlight w:val="none"/>
              </w:rPr>
              <w:t>等文件，项目所在区域属于《环境空气质量标准》（GB3095-2012）及其修改单的</w:t>
            </w:r>
            <w:r>
              <w:rPr>
                <w:rFonts w:hint="default" w:ascii="Times New Roman" w:hAnsi="Times New Roman" w:eastAsia="宋体" w:cs="Times New Roman"/>
                <w:color w:val="auto"/>
                <w:kern w:val="0"/>
                <w:sz w:val="24"/>
                <w:highlight w:val="none"/>
              </w:rPr>
              <w:t>二级</w:t>
            </w:r>
            <w:r>
              <w:rPr>
                <w:rFonts w:hint="default" w:ascii="Times New Roman" w:hAnsi="Times New Roman" w:cs="Times New Roman"/>
                <w:color w:val="auto"/>
                <w:kern w:val="0"/>
                <w:sz w:val="24"/>
                <w:highlight w:val="none"/>
              </w:rPr>
              <w:t>标准，地下水环境执行《地下水质量标准》（GB/T14848-2017）Ⅲ类标准，区域地表水为孝妇河，执行《地表水环境质量标准》（GB3838-2002）V类标准，声环境执行《声环境质量标准》（GB3096-2008）</w:t>
            </w:r>
            <w:r>
              <w:rPr>
                <w:rFonts w:hint="eastAsia"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类区标准。</w:t>
            </w:r>
          </w:p>
          <w:p w14:paraId="6377EFED">
            <w:pPr>
              <w:keepNext w:val="0"/>
              <w:keepLines w:val="0"/>
              <w:suppressLineNumbers w:val="0"/>
              <w:adjustRightInd w:val="0"/>
              <w:snapToGrid w:val="0"/>
              <w:spacing w:before="0" w:beforeAutospacing="0" w:after="0" w:afterAutospacing="0" w:line="440" w:lineRule="exact"/>
              <w:ind w:left="0" w:right="0"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2、环境质量现状</w:t>
            </w:r>
          </w:p>
          <w:p w14:paraId="29405466">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kern w:val="0"/>
                <w:sz w:val="24"/>
                <w:highlight w:val="none"/>
              </w:rPr>
              <w:t>（1）大气环境：</w:t>
            </w:r>
            <w:r>
              <w:rPr>
                <w:rFonts w:hint="default" w:ascii="Times New Roman" w:hAnsi="Times New Roman" w:eastAsia="宋体" w:cs="Times New Roman"/>
                <w:color w:val="auto"/>
                <w:kern w:val="0"/>
                <w:sz w:val="24"/>
                <w:highlight w:val="none"/>
              </w:rPr>
              <w:t>项目所在区域环境质量达标情况根据淄博市生态环境局20</w:t>
            </w:r>
            <w:r>
              <w:rPr>
                <w:rFonts w:hint="eastAsia" w:ascii="Times New Roman" w:hAnsi="Times New Roman" w:eastAsia="宋体" w:cs="Times New Roman"/>
                <w:color w:val="auto"/>
                <w:kern w:val="0"/>
                <w:sz w:val="24"/>
                <w:highlight w:val="none"/>
                <w:lang w:val="en-US" w:eastAsia="zh-CN"/>
              </w:rPr>
              <w:t>25</w:t>
            </w:r>
            <w:r>
              <w:rPr>
                <w:rFonts w:hint="default" w:ascii="Times New Roman" w:hAnsi="Times New Roman" w:eastAsia="宋体" w:cs="Times New Roman"/>
                <w:color w:val="auto"/>
                <w:kern w:val="0"/>
                <w:sz w:val="24"/>
                <w:highlight w:val="none"/>
              </w:rPr>
              <w:t>年</w:t>
            </w:r>
            <w:r>
              <w:rPr>
                <w:rFonts w:hint="eastAsia" w:ascii="Times New Roman" w:hAnsi="Times New Roman" w:eastAsia="宋体" w:cs="Times New Roman"/>
                <w:color w:val="auto"/>
                <w:kern w:val="0"/>
                <w:sz w:val="24"/>
                <w:highlight w:val="none"/>
                <w:lang w:val="en-US" w:eastAsia="zh-CN"/>
              </w:rPr>
              <w:t>1</w:t>
            </w:r>
            <w:r>
              <w:rPr>
                <w:rFonts w:hint="default" w:ascii="Times New Roman" w:hAnsi="Times New Roman" w:eastAsia="宋体" w:cs="Times New Roman"/>
                <w:color w:val="auto"/>
                <w:kern w:val="0"/>
                <w:sz w:val="24"/>
                <w:highlight w:val="none"/>
              </w:rPr>
              <w:t>月</w:t>
            </w:r>
            <w:r>
              <w:rPr>
                <w:rFonts w:hint="eastAsia" w:ascii="Times New Roman" w:hAnsi="Times New Roman" w:eastAsia="宋体" w:cs="Times New Roman"/>
                <w:color w:val="auto"/>
                <w:kern w:val="0"/>
                <w:sz w:val="24"/>
                <w:highlight w:val="none"/>
                <w:lang w:val="en-US" w:eastAsia="zh-CN"/>
              </w:rPr>
              <w:t>27</w:t>
            </w:r>
            <w:r>
              <w:rPr>
                <w:rFonts w:hint="default" w:ascii="Times New Roman" w:hAnsi="Times New Roman" w:eastAsia="宋体" w:cs="Times New Roman"/>
                <w:color w:val="auto"/>
                <w:kern w:val="0"/>
                <w:sz w:val="24"/>
                <w:highlight w:val="none"/>
              </w:rPr>
              <w:t>日公布的《2024年</w:t>
            </w:r>
            <w:r>
              <w:rPr>
                <w:rFonts w:hint="eastAsia" w:ascii="Times New Roman" w:hAnsi="Times New Roman" w:eastAsia="宋体" w:cs="Times New Roman"/>
                <w:color w:val="auto"/>
                <w:kern w:val="0"/>
                <w:sz w:val="24"/>
                <w:highlight w:val="none"/>
                <w:lang w:val="en-US" w:eastAsia="zh-CN"/>
              </w:rPr>
              <w:t>12</w:t>
            </w:r>
            <w:r>
              <w:rPr>
                <w:rFonts w:hint="default" w:ascii="Times New Roman" w:hAnsi="Times New Roman" w:eastAsia="宋体" w:cs="Times New Roman"/>
                <w:color w:val="auto"/>
                <w:kern w:val="0"/>
                <w:sz w:val="24"/>
                <w:highlight w:val="none"/>
              </w:rPr>
              <w:t>月份</w:t>
            </w:r>
            <w:r>
              <w:rPr>
                <w:rFonts w:hint="eastAsia" w:ascii="Times New Roman" w:hAnsi="Times New Roman" w:eastAsia="宋体" w:cs="Times New Roman"/>
                <w:color w:val="auto"/>
                <w:kern w:val="0"/>
                <w:sz w:val="24"/>
                <w:highlight w:val="none"/>
                <w:lang w:val="en-US" w:eastAsia="zh-CN"/>
              </w:rPr>
              <w:t>全</w:t>
            </w:r>
            <w:r>
              <w:rPr>
                <w:rFonts w:hint="default" w:ascii="Times New Roman" w:hAnsi="Times New Roman" w:eastAsia="宋体" w:cs="Times New Roman"/>
                <w:color w:val="auto"/>
                <w:kern w:val="0"/>
                <w:sz w:val="24"/>
                <w:highlight w:val="none"/>
              </w:rPr>
              <w:t>年环境空气质量情况通报》，2024年，全市良好天数238天（国控），同比增加19天。重污染天数4天，同比减少4天。其中，二氧化硫13微克/立方米，同比恶化8.3%；二氧化氮33微克/立方米，同比改善2.9%；可吸入颗粒物69微克/立方米，同比改善8.0%；细颗粒物40微克/立方米，同比改善2.4%；一氧化碳1.2毫克/立方米，同比恶化9.1%；臭氧194克/立方米，同比改善2.0%。</w:t>
            </w:r>
          </w:p>
          <w:p w14:paraId="0B41DE90">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项目所在区域环境空气质量进行达标判断，数据统计及评价情况见下表。</w:t>
            </w:r>
          </w:p>
          <w:p w14:paraId="2F0D69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表3-1 淄川区空气质量现状评价结果一览表</w:t>
            </w:r>
          </w:p>
          <w:tbl>
            <w:tblPr>
              <w:tblStyle w:val="33"/>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09"/>
              <w:gridCol w:w="3815"/>
              <w:gridCol w:w="1177"/>
              <w:gridCol w:w="1177"/>
              <w:gridCol w:w="1177"/>
            </w:tblGrid>
            <w:tr w14:paraId="0D100F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1E28CD7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污染物名称</w:t>
                  </w:r>
                </w:p>
              </w:tc>
              <w:tc>
                <w:tcPr>
                  <w:tcW w:w="2178" w:type="pct"/>
                  <w:tcBorders>
                    <w:tl2br w:val="nil"/>
                    <w:tr2bl w:val="nil"/>
                  </w:tcBorders>
                  <w:noWrap w:val="0"/>
                  <w:vAlign w:val="center"/>
                </w:tcPr>
                <w:p w14:paraId="476A39C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年度评价指标</w:t>
                  </w:r>
                </w:p>
              </w:tc>
              <w:tc>
                <w:tcPr>
                  <w:tcW w:w="672" w:type="pct"/>
                  <w:tcBorders>
                    <w:tl2br w:val="nil"/>
                    <w:tr2bl w:val="nil"/>
                  </w:tcBorders>
                  <w:noWrap w:val="0"/>
                  <w:vAlign w:val="center"/>
                </w:tcPr>
                <w:p w14:paraId="210ECAC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现状浓度</w:t>
                  </w:r>
                </w:p>
              </w:tc>
              <w:tc>
                <w:tcPr>
                  <w:tcW w:w="672" w:type="pct"/>
                  <w:tcBorders>
                    <w:tl2br w:val="nil"/>
                    <w:tr2bl w:val="nil"/>
                  </w:tcBorders>
                  <w:noWrap w:val="0"/>
                  <w:vAlign w:val="center"/>
                </w:tcPr>
                <w:p w14:paraId="6768354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评价标准</w:t>
                  </w:r>
                </w:p>
              </w:tc>
              <w:tc>
                <w:tcPr>
                  <w:tcW w:w="672" w:type="pct"/>
                  <w:tcBorders>
                    <w:tl2br w:val="nil"/>
                    <w:tr2bl w:val="nil"/>
                  </w:tcBorders>
                  <w:noWrap w:val="0"/>
                  <w:vAlign w:val="center"/>
                </w:tcPr>
                <w:p w14:paraId="5A23F33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达标情况</w:t>
                  </w:r>
                </w:p>
              </w:tc>
            </w:tr>
            <w:tr w14:paraId="2DE5A6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7532581A">
                  <w:pPr>
                    <w:pStyle w:val="72"/>
                    <w:keepNext w:val="0"/>
                    <w:keepLines w:val="0"/>
                    <w:suppressLineNumbers w:val="0"/>
                    <w:spacing w:before="0" w:beforeAutospacing="0" w:after="0" w:afterAutospacing="0" w:line="240" w:lineRule="auto"/>
                    <w:ind w:left="0" w:right="0"/>
                    <w:rPr>
                      <w:rFonts w:hint="default" w:ascii="Times New Roman" w:hAnsi="Times New Roman" w:cs="Times New Roman"/>
                      <w:color w:val="auto"/>
                      <w:kern w:val="0"/>
                      <w:highlight w:val="none"/>
                      <w:vertAlign w:val="subscript"/>
                    </w:rPr>
                  </w:pPr>
                  <w:r>
                    <w:rPr>
                      <w:rFonts w:hint="default" w:ascii="Times New Roman" w:hAnsi="Times New Roman" w:cs="Times New Roman"/>
                      <w:color w:val="auto"/>
                      <w:kern w:val="0"/>
                      <w:highlight w:val="none"/>
                    </w:rPr>
                    <w:t>SO</w:t>
                  </w:r>
                  <w:r>
                    <w:rPr>
                      <w:rFonts w:hint="default" w:ascii="Times New Roman" w:hAnsi="Times New Roman" w:cs="Times New Roman"/>
                      <w:color w:val="auto"/>
                      <w:kern w:val="0"/>
                      <w:highlight w:val="none"/>
                      <w:vertAlign w:val="subscript"/>
                    </w:rPr>
                    <w:t>2</w:t>
                  </w:r>
                </w:p>
              </w:tc>
              <w:tc>
                <w:tcPr>
                  <w:tcW w:w="2178" w:type="pct"/>
                  <w:vMerge w:val="restart"/>
                  <w:tcBorders>
                    <w:tl2br w:val="nil"/>
                    <w:tr2bl w:val="nil"/>
                  </w:tcBorders>
                  <w:noWrap w:val="0"/>
                  <w:vAlign w:val="center"/>
                </w:tcPr>
                <w:p w14:paraId="17CD47C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年平均质量浓度</w:t>
                  </w:r>
                </w:p>
              </w:tc>
              <w:tc>
                <w:tcPr>
                  <w:tcW w:w="672" w:type="pct"/>
                  <w:tcBorders>
                    <w:tl2br w:val="nil"/>
                    <w:tr2bl w:val="nil"/>
                  </w:tcBorders>
                  <w:noWrap w:val="0"/>
                  <w:vAlign w:val="center"/>
                </w:tcPr>
                <w:p w14:paraId="2ABC59D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aps w:val="0"/>
                      <w:color w:val="auto"/>
                      <w:spacing w:val="0"/>
                      <w:sz w:val="19"/>
                      <w:szCs w:val="19"/>
                      <w:shd w:val="clear" w:color="auto" w:fill="FFFFFF"/>
                    </w:rPr>
                    <w:t>1</w:t>
                  </w:r>
                  <w:r>
                    <w:rPr>
                      <w:rFonts w:hint="eastAsia" w:ascii="Times New Roman" w:hAnsi="Times New Roman" w:eastAsia="宋体" w:cs="Times New Roman"/>
                      <w:i w:val="0"/>
                      <w:iCs w:val="0"/>
                      <w:caps w:val="0"/>
                      <w:color w:val="auto"/>
                      <w:spacing w:val="0"/>
                      <w:sz w:val="19"/>
                      <w:szCs w:val="19"/>
                      <w:shd w:val="clear" w:color="auto" w:fill="FFFFFF"/>
                      <w:lang w:val="en-US" w:eastAsia="zh-CN"/>
                    </w:rPr>
                    <w:t>2</w:t>
                  </w:r>
                  <w:r>
                    <w:rPr>
                      <w:rFonts w:hint="default" w:ascii="Times New Roman" w:hAnsi="Times New Roman" w:cs="Times New Roman"/>
                      <w:color w:val="auto"/>
                      <w:kern w:val="0"/>
                      <w:szCs w:val="21"/>
                      <w:highlight w:val="none"/>
                    </w:rPr>
                    <w:t>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26D9DA4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372B8D2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达标</w:t>
                  </w:r>
                </w:p>
              </w:tc>
            </w:tr>
            <w:tr w14:paraId="2D227B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266C397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NO</w:t>
                  </w:r>
                  <w:r>
                    <w:rPr>
                      <w:rFonts w:hint="default" w:ascii="Times New Roman" w:hAnsi="Times New Roman" w:cs="Times New Roman"/>
                      <w:color w:val="auto"/>
                      <w:kern w:val="0"/>
                      <w:szCs w:val="21"/>
                      <w:highlight w:val="none"/>
                      <w:vertAlign w:val="subscript"/>
                    </w:rPr>
                    <w:t>2</w:t>
                  </w:r>
                </w:p>
              </w:tc>
              <w:tc>
                <w:tcPr>
                  <w:tcW w:w="2178" w:type="pct"/>
                  <w:vMerge w:val="continue"/>
                  <w:tcBorders>
                    <w:tl2br w:val="nil"/>
                    <w:tr2bl w:val="nil"/>
                  </w:tcBorders>
                  <w:noWrap w:val="0"/>
                  <w:vAlign w:val="center"/>
                </w:tcPr>
                <w:p w14:paraId="4FB12830">
                  <w:pPr>
                    <w:keepNext w:val="0"/>
                    <w:keepLines w:val="0"/>
                    <w:suppressLineNumbers w:val="0"/>
                    <w:adjustRightInd w:val="0"/>
                    <w:snapToGrid w:val="0"/>
                    <w:spacing w:before="0" w:beforeAutospacing="0" w:after="0" w:afterAutospacing="0"/>
                    <w:ind w:left="0" w:right="0" w:firstLine="422"/>
                    <w:jc w:val="center"/>
                    <w:rPr>
                      <w:rFonts w:hint="default" w:ascii="Times New Roman" w:hAnsi="Times New Roman" w:cs="Times New Roman"/>
                      <w:color w:val="auto"/>
                      <w:kern w:val="0"/>
                      <w:szCs w:val="21"/>
                      <w:highlight w:val="none"/>
                    </w:rPr>
                  </w:pPr>
                </w:p>
              </w:tc>
              <w:tc>
                <w:tcPr>
                  <w:tcW w:w="672" w:type="pct"/>
                  <w:tcBorders>
                    <w:tl2br w:val="nil"/>
                    <w:tr2bl w:val="nil"/>
                  </w:tcBorders>
                  <w:noWrap w:val="0"/>
                  <w:vAlign w:val="center"/>
                </w:tcPr>
                <w:p w14:paraId="3F419E3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eastAsia" w:ascii="Times New Roman" w:hAnsi="Times New Roman" w:cs="Times New Roman"/>
                      <w:color w:val="auto"/>
                      <w:kern w:val="0"/>
                      <w:szCs w:val="21"/>
                      <w:highlight w:val="none"/>
                      <w:lang w:val="en-US" w:eastAsia="zh-CN"/>
                    </w:rPr>
                    <w:t>30</w:t>
                  </w:r>
                  <w:r>
                    <w:rPr>
                      <w:rFonts w:hint="default" w:ascii="Times New Roman" w:hAnsi="Times New Roman" w:cs="Times New Roman"/>
                      <w:color w:val="auto"/>
                      <w:kern w:val="0"/>
                      <w:szCs w:val="21"/>
                      <w:highlight w:val="none"/>
                    </w:rPr>
                    <w:t>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02F159C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40μg/m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198090E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达标</w:t>
                  </w:r>
                </w:p>
              </w:tc>
            </w:tr>
            <w:tr w14:paraId="26A27F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01A71E9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vertAlign w:val="subscript"/>
                    </w:rPr>
                  </w:pPr>
                  <w:r>
                    <w:rPr>
                      <w:rFonts w:hint="default" w:ascii="Times New Roman" w:hAnsi="Times New Roman" w:cs="Times New Roman"/>
                      <w:color w:val="auto"/>
                      <w:kern w:val="0"/>
                      <w:szCs w:val="21"/>
                      <w:highlight w:val="none"/>
                    </w:rPr>
                    <w:t>PM</w:t>
                  </w:r>
                  <w:r>
                    <w:rPr>
                      <w:rFonts w:hint="default" w:ascii="Times New Roman" w:hAnsi="Times New Roman" w:cs="Times New Roman"/>
                      <w:color w:val="auto"/>
                      <w:kern w:val="0"/>
                      <w:szCs w:val="21"/>
                      <w:highlight w:val="none"/>
                      <w:vertAlign w:val="subscript"/>
                    </w:rPr>
                    <w:t>10</w:t>
                  </w:r>
                </w:p>
              </w:tc>
              <w:tc>
                <w:tcPr>
                  <w:tcW w:w="2178" w:type="pct"/>
                  <w:vMerge w:val="continue"/>
                  <w:tcBorders>
                    <w:tl2br w:val="nil"/>
                    <w:tr2bl w:val="nil"/>
                  </w:tcBorders>
                  <w:noWrap w:val="0"/>
                  <w:vAlign w:val="center"/>
                </w:tcPr>
                <w:p w14:paraId="1E69A85B">
                  <w:pPr>
                    <w:keepNext w:val="0"/>
                    <w:keepLines w:val="0"/>
                    <w:suppressLineNumbers w:val="0"/>
                    <w:adjustRightInd w:val="0"/>
                    <w:snapToGrid w:val="0"/>
                    <w:spacing w:before="0" w:beforeAutospacing="0" w:after="0" w:afterAutospacing="0"/>
                    <w:ind w:left="0" w:right="0" w:firstLine="422"/>
                    <w:jc w:val="center"/>
                    <w:rPr>
                      <w:rFonts w:hint="default" w:ascii="Times New Roman" w:hAnsi="Times New Roman" w:cs="Times New Roman"/>
                      <w:color w:val="auto"/>
                      <w:kern w:val="0"/>
                      <w:szCs w:val="21"/>
                      <w:highlight w:val="none"/>
                    </w:rPr>
                  </w:pPr>
                </w:p>
              </w:tc>
              <w:tc>
                <w:tcPr>
                  <w:tcW w:w="672" w:type="pct"/>
                  <w:tcBorders>
                    <w:tl2br w:val="nil"/>
                    <w:tr2bl w:val="nil"/>
                  </w:tcBorders>
                  <w:noWrap w:val="0"/>
                  <w:vAlign w:val="center"/>
                </w:tcPr>
                <w:p w14:paraId="2417FF4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eastAsia" w:ascii="Times New Roman" w:hAnsi="Times New Roman" w:eastAsia="宋体" w:cs="Times New Roman"/>
                      <w:i w:val="0"/>
                      <w:iCs w:val="0"/>
                      <w:caps w:val="0"/>
                      <w:color w:val="auto"/>
                      <w:spacing w:val="0"/>
                      <w:sz w:val="19"/>
                      <w:szCs w:val="19"/>
                      <w:shd w:val="clear" w:color="auto" w:fill="FFFFFF"/>
                      <w:lang w:val="en-US" w:eastAsia="zh-CN"/>
                    </w:rPr>
                    <w:t>69</w:t>
                  </w:r>
                  <w:r>
                    <w:rPr>
                      <w:rFonts w:hint="default" w:ascii="Times New Roman" w:hAnsi="Times New Roman" w:cs="Times New Roman"/>
                      <w:color w:val="auto"/>
                      <w:kern w:val="0"/>
                      <w:szCs w:val="21"/>
                      <w:highlight w:val="none"/>
                    </w:rPr>
                    <w:t>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55235F1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7405FAA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达标</w:t>
                  </w:r>
                </w:p>
              </w:tc>
            </w:tr>
            <w:tr w14:paraId="388C84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3A2B2C7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vertAlign w:val="subscript"/>
                    </w:rPr>
                  </w:pPr>
                  <w:r>
                    <w:rPr>
                      <w:rFonts w:hint="default" w:ascii="Times New Roman" w:hAnsi="Times New Roman" w:cs="Times New Roman"/>
                      <w:color w:val="auto"/>
                      <w:kern w:val="0"/>
                      <w:szCs w:val="21"/>
                      <w:highlight w:val="none"/>
                    </w:rPr>
                    <w:t>PM</w:t>
                  </w:r>
                  <w:r>
                    <w:rPr>
                      <w:rFonts w:hint="default" w:ascii="Times New Roman" w:hAnsi="Times New Roman" w:cs="Times New Roman"/>
                      <w:color w:val="auto"/>
                      <w:kern w:val="0"/>
                      <w:szCs w:val="21"/>
                      <w:highlight w:val="none"/>
                      <w:vertAlign w:val="subscript"/>
                    </w:rPr>
                    <w:t>2.5</w:t>
                  </w:r>
                </w:p>
              </w:tc>
              <w:tc>
                <w:tcPr>
                  <w:tcW w:w="2178" w:type="pct"/>
                  <w:vMerge w:val="continue"/>
                  <w:tcBorders>
                    <w:tl2br w:val="nil"/>
                    <w:tr2bl w:val="nil"/>
                  </w:tcBorders>
                  <w:noWrap w:val="0"/>
                  <w:vAlign w:val="center"/>
                </w:tcPr>
                <w:p w14:paraId="79451505">
                  <w:pPr>
                    <w:keepNext w:val="0"/>
                    <w:keepLines w:val="0"/>
                    <w:suppressLineNumbers w:val="0"/>
                    <w:adjustRightInd w:val="0"/>
                    <w:snapToGrid w:val="0"/>
                    <w:spacing w:before="0" w:beforeAutospacing="0" w:after="0" w:afterAutospacing="0"/>
                    <w:ind w:left="0" w:right="0" w:firstLine="422"/>
                    <w:jc w:val="center"/>
                    <w:rPr>
                      <w:rFonts w:hint="default" w:ascii="Times New Roman" w:hAnsi="Times New Roman" w:cs="Times New Roman"/>
                      <w:color w:val="auto"/>
                      <w:kern w:val="0"/>
                      <w:szCs w:val="21"/>
                      <w:highlight w:val="none"/>
                    </w:rPr>
                  </w:pPr>
                </w:p>
              </w:tc>
              <w:tc>
                <w:tcPr>
                  <w:tcW w:w="672" w:type="pct"/>
                  <w:tcBorders>
                    <w:tl2br w:val="nil"/>
                    <w:tr2bl w:val="nil"/>
                  </w:tcBorders>
                  <w:noWrap w:val="0"/>
                  <w:vAlign w:val="center"/>
                </w:tcPr>
                <w:p w14:paraId="3239C77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aps w:val="0"/>
                      <w:color w:val="auto"/>
                      <w:spacing w:val="-9"/>
                      <w:sz w:val="19"/>
                      <w:szCs w:val="19"/>
                      <w:shd w:val="clear" w:color="auto" w:fill="FFFFFF"/>
                    </w:rPr>
                    <w:t>4</w:t>
                  </w:r>
                  <w:r>
                    <w:rPr>
                      <w:rFonts w:hint="eastAsia" w:ascii="Times New Roman" w:hAnsi="Times New Roman" w:eastAsia="宋体" w:cs="Times New Roman"/>
                      <w:i w:val="0"/>
                      <w:iCs w:val="0"/>
                      <w:caps w:val="0"/>
                      <w:color w:val="auto"/>
                      <w:spacing w:val="-9"/>
                      <w:sz w:val="19"/>
                      <w:szCs w:val="19"/>
                      <w:shd w:val="clear" w:color="auto" w:fill="FFFFFF"/>
                      <w:lang w:val="en-US" w:eastAsia="zh-CN"/>
                    </w:rPr>
                    <w:t>2</w:t>
                  </w:r>
                  <w:r>
                    <w:rPr>
                      <w:rFonts w:hint="default" w:ascii="Times New Roman" w:hAnsi="Times New Roman" w:cs="Times New Roman"/>
                      <w:color w:val="auto"/>
                      <w:kern w:val="0"/>
                      <w:szCs w:val="21"/>
                      <w:highlight w:val="none"/>
                    </w:rPr>
                    <w:t>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0C663BC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35μg/m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03CDA7A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超标</w:t>
                  </w:r>
                </w:p>
              </w:tc>
            </w:tr>
            <w:tr w14:paraId="777EB6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370F2EC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CO</w:t>
                  </w:r>
                </w:p>
              </w:tc>
              <w:tc>
                <w:tcPr>
                  <w:tcW w:w="2178" w:type="pct"/>
                  <w:tcBorders>
                    <w:tl2br w:val="nil"/>
                    <w:tr2bl w:val="nil"/>
                  </w:tcBorders>
                  <w:noWrap w:val="0"/>
                  <w:vAlign w:val="center"/>
                </w:tcPr>
                <w:p w14:paraId="534AE1A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95%保证率日平均浓度</w:t>
                  </w:r>
                </w:p>
              </w:tc>
              <w:tc>
                <w:tcPr>
                  <w:tcW w:w="672" w:type="pct"/>
                  <w:tcBorders>
                    <w:tl2br w:val="nil"/>
                    <w:tr2bl w:val="nil"/>
                  </w:tcBorders>
                  <w:noWrap w:val="0"/>
                  <w:vAlign w:val="center"/>
                </w:tcPr>
                <w:p w14:paraId="1F7C760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aps w:val="0"/>
                      <w:color w:val="auto"/>
                      <w:spacing w:val="0"/>
                      <w:sz w:val="19"/>
                      <w:szCs w:val="19"/>
                      <w:shd w:val="clear" w:color="auto" w:fill="FFFFFF"/>
                    </w:rPr>
                    <w:t>1.2</w:t>
                  </w: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4CE966A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4mg/m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2B33811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达标</w:t>
                  </w:r>
                </w:p>
              </w:tc>
            </w:tr>
            <w:tr w14:paraId="67326E8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05" w:type="pct"/>
                  <w:tcBorders>
                    <w:tl2br w:val="nil"/>
                    <w:tr2bl w:val="nil"/>
                  </w:tcBorders>
                  <w:noWrap w:val="0"/>
                  <w:vAlign w:val="center"/>
                </w:tcPr>
                <w:p w14:paraId="15F175C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vertAlign w:val="subscript"/>
                    </w:rPr>
                  </w:pPr>
                  <w:r>
                    <w:rPr>
                      <w:rFonts w:hint="default" w:ascii="Times New Roman" w:hAnsi="Times New Roman" w:cs="Times New Roman"/>
                      <w:color w:val="auto"/>
                      <w:kern w:val="0"/>
                      <w:szCs w:val="21"/>
                      <w:highlight w:val="none"/>
                    </w:rPr>
                    <w:t>O</w:t>
                  </w:r>
                  <w:r>
                    <w:rPr>
                      <w:rFonts w:hint="default" w:ascii="Times New Roman" w:hAnsi="Times New Roman" w:cs="Times New Roman"/>
                      <w:color w:val="auto"/>
                      <w:kern w:val="0"/>
                      <w:szCs w:val="21"/>
                      <w:highlight w:val="none"/>
                      <w:vertAlign w:val="subscript"/>
                    </w:rPr>
                    <w:t>3</w:t>
                  </w:r>
                </w:p>
              </w:tc>
              <w:tc>
                <w:tcPr>
                  <w:tcW w:w="2178" w:type="pct"/>
                  <w:tcBorders>
                    <w:tl2br w:val="nil"/>
                    <w:tr2bl w:val="nil"/>
                  </w:tcBorders>
                  <w:noWrap w:val="0"/>
                  <w:vAlign w:val="center"/>
                </w:tcPr>
                <w:p w14:paraId="157ABEE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90%保证率日最大8h</w:t>
                  </w:r>
                  <w:r>
                    <w:rPr>
                      <w:rFonts w:hint="default" w:ascii="Times New Roman" w:hAnsi="Times New Roman" w:cs="Times New Roman"/>
                      <w:color w:val="auto"/>
                      <w:kern w:val="0"/>
                      <w:szCs w:val="21"/>
                      <w:highlight w:val="none"/>
                      <w:lang w:val="en-US" w:eastAsia="zh-CN"/>
                    </w:rPr>
                    <w:t>滑动</w:t>
                  </w:r>
                  <w:r>
                    <w:rPr>
                      <w:rFonts w:hint="default" w:ascii="Times New Roman" w:hAnsi="Times New Roman" w:cs="Times New Roman"/>
                      <w:color w:val="auto"/>
                      <w:kern w:val="0"/>
                      <w:szCs w:val="21"/>
                      <w:highlight w:val="none"/>
                    </w:rPr>
                    <w:t>平均浓度</w:t>
                  </w:r>
                </w:p>
              </w:tc>
              <w:tc>
                <w:tcPr>
                  <w:tcW w:w="672" w:type="pct"/>
                  <w:tcBorders>
                    <w:tl2br w:val="nil"/>
                    <w:tr2bl w:val="nil"/>
                  </w:tcBorders>
                  <w:noWrap w:val="0"/>
                  <w:vAlign w:val="center"/>
                </w:tcPr>
                <w:p w14:paraId="5B9A6AA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eastAsia" w:ascii="Times New Roman" w:hAnsi="Times New Roman" w:eastAsia="宋体" w:cs="Times New Roman"/>
                      <w:i w:val="0"/>
                      <w:iCs w:val="0"/>
                      <w:caps w:val="0"/>
                      <w:color w:val="auto"/>
                      <w:spacing w:val="0"/>
                      <w:sz w:val="19"/>
                      <w:szCs w:val="19"/>
                      <w:shd w:val="clear" w:color="auto" w:fill="FFFFFF"/>
                      <w:lang w:val="en-US" w:eastAsia="zh-CN"/>
                    </w:rPr>
                    <w:t>190</w:t>
                  </w:r>
                  <w:r>
                    <w:rPr>
                      <w:rFonts w:hint="default" w:ascii="Times New Roman" w:hAnsi="Times New Roman" w:cs="Times New Roman"/>
                      <w:color w:val="auto"/>
                      <w:kern w:val="0"/>
                      <w:szCs w:val="21"/>
                      <w:highlight w:val="none"/>
                    </w:rPr>
                    <w:t>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1604B0D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160μg/m</w:t>
                  </w:r>
                  <w:r>
                    <w:rPr>
                      <w:rFonts w:hint="default" w:ascii="Times New Roman" w:hAnsi="Times New Roman" w:cs="Times New Roman"/>
                      <w:color w:val="auto"/>
                      <w:kern w:val="0"/>
                      <w:szCs w:val="21"/>
                      <w:highlight w:val="none"/>
                      <w:vertAlign w:val="superscript"/>
                    </w:rPr>
                    <w:t>3</w:t>
                  </w:r>
                </w:p>
              </w:tc>
              <w:tc>
                <w:tcPr>
                  <w:tcW w:w="672" w:type="pct"/>
                  <w:tcBorders>
                    <w:tl2br w:val="nil"/>
                    <w:tr2bl w:val="nil"/>
                  </w:tcBorders>
                  <w:noWrap w:val="0"/>
                  <w:vAlign w:val="center"/>
                </w:tcPr>
                <w:p w14:paraId="26D4EC7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超标</w:t>
                  </w:r>
                </w:p>
              </w:tc>
            </w:tr>
          </w:tbl>
          <w:p w14:paraId="66D9BF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根据上述内容，SO</w:t>
            </w:r>
            <w:r>
              <w:rPr>
                <w:rFonts w:hint="default" w:ascii="Times New Roman" w:hAnsi="Times New Roman" w:eastAsia="宋体" w:cs="Times New Roman"/>
                <w:color w:val="000000"/>
                <w:kern w:val="0"/>
                <w:sz w:val="24"/>
                <w:szCs w:val="24"/>
                <w:highlight w:val="none"/>
                <w:vertAlign w:val="sub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、NO</w:t>
            </w:r>
            <w:r>
              <w:rPr>
                <w:rFonts w:hint="default" w:ascii="Times New Roman" w:hAnsi="Times New Roman" w:eastAsia="宋体" w:cs="Times New Roman"/>
                <w:color w:val="000000"/>
                <w:kern w:val="0"/>
                <w:sz w:val="24"/>
                <w:szCs w:val="24"/>
                <w:highlight w:val="none"/>
                <w:vertAlign w:val="sub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、PM</w:t>
            </w:r>
            <w:r>
              <w:rPr>
                <w:rFonts w:hint="default" w:ascii="Times New Roman" w:hAnsi="Times New Roman" w:eastAsia="宋体" w:cs="Times New Roman"/>
                <w:color w:val="000000"/>
                <w:kern w:val="0"/>
                <w:sz w:val="24"/>
                <w:szCs w:val="24"/>
                <w:highlight w:val="none"/>
                <w:vertAlign w:val="subscript"/>
                <w:lang w:val="en-US" w:eastAsia="zh-CN" w:bidi="ar"/>
              </w:rPr>
              <w:t>10</w:t>
            </w:r>
            <w:r>
              <w:rPr>
                <w:rFonts w:hint="default" w:ascii="Times New Roman" w:hAnsi="Times New Roman" w:eastAsia="宋体"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CO</w:t>
            </w:r>
            <w:r>
              <w:rPr>
                <w:rFonts w:hint="default" w:ascii="Times New Roman" w:hAnsi="Times New Roman" w:eastAsia="宋体" w:cs="Times New Roman"/>
                <w:color w:val="000000"/>
                <w:kern w:val="0"/>
                <w:sz w:val="24"/>
                <w:szCs w:val="24"/>
                <w:highlight w:val="none"/>
                <w:lang w:val="en-US" w:eastAsia="zh-CN" w:bidi="ar"/>
              </w:rPr>
              <w:t>年均浓度能够满足《环境空气质量标准》（GB3095-2012）及其修改单中二级标准要求；PM</w:t>
            </w:r>
            <w:r>
              <w:rPr>
                <w:rFonts w:hint="eastAsia" w:ascii="Times New Roman" w:hAnsi="Times New Roman" w:eastAsia="宋体" w:cs="Times New Roman"/>
                <w:color w:val="000000"/>
                <w:kern w:val="0"/>
                <w:sz w:val="24"/>
                <w:szCs w:val="24"/>
                <w:highlight w:val="none"/>
                <w:vertAlign w:val="subscript"/>
                <w:lang w:val="en-US" w:eastAsia="zh-CN" w:bidi="ar"/>
              </w:rPr>
              <w:t>2.5</w:t>
            </w:r>
            <w:r>
              <w:rPr>
                <w:rFonts w:hint="eastAsia" w:ascii="Times New Roman" w:hAnsi="Times New Roman" w:eastAsia="宋体"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O</w:t>
            </w:r>
            <w:r>
              <w:rPr>
                <w:rFonts w:hint="default" w:ascii="Times New Roman" w:hAnsi="Times New Roman" w:eastAsia="宋体" w:cs="Times New Roman"/>
                <w:color w:val="000000"/>
                <w:kern w:val="0"/>
                <w:sz w:val="24"/>
                <w:szCs w:val="24"/>
                <w:highlight w:val="none"/>
                <w:vertAlign w:val="sub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年均浓度不能满足《环境空气质量标准》（GB3095-2012）及其修改单中二级标准要求，超标主要与工业源、交通源、生活源污染有关。根据《环境影响评价技术导则大气环境》（HJ2.2-2018）：“城市环境空气质量达标情况评价指标为SO</w:t>
            </w:r>
            <w:r>
              <w:rPr>
                <w:rFonts w:hint="default" w:ascii="Times New Roman" w:hAnsi="Times New Roman" w:eastAsia="宋体" w:cs="Times New Roman"/>
                <w:color w:val="000000"/>
                <w:kern w:val="0"/>
                <w:sz w:val="24"/>
                <w:szCs w:val="24"/>
                <w:highlight w:val="none"/>
                <w:vertAlign w:val="sub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、NO</w:t>
            </w:r>
            <w:r>
              <w:rPr>
                <w:rFonts w:hint="default" w:ascii="Times New Roman" w:hAnsi="Times New Roman" w:eastAsia="宋体" w:cs="Times New Roman"/>
                <w:color w:val="000000"/>
                <w:kern w:val="0"/>
                <w:sz w:val="24"/>
                <w:szCs w:val="24"/>
                <w:highlight w:val="none"/>
                <w:vertAlign w:val="sub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、PM</w:t>
            </w:r>
            <w:r>
              <w:rPr>
                <w:rFonts w:hint="default" w:ascii="Times New Roman" w:hAnsi="Times New Roman" w:eastAsia="宋体" w:cs="Times New Roman"/>
                <w:color w:val="000000"/>
                <w:kern w:val="0"/>
                <w:sz w:val="24"/>
                <w:szCs w:val="24"/>
                <w:highlight w:val="none"/>
                <w:vertAlign w:val="subscript"/>
                <w:lang w:val="en-US" w:eastAsia="zh-CN" w:bidi="ar"/>
              </w:rPr>
              <w:t>10</w:t>
            </w:r>
            <w:r>
              <w:rPr>
                <w:rFonts w:hint="default" w:ascii="Times New Roman" w:hAnsi="Times New Roman" w:eastAsia="宋体" w:cs="Times New Roman"/>
                <w:color w:val="000000"/>
                <w:kern w:val="0"/>
                <w:sz w:val="24"/>
                <w:szCs w:val="24"/>
                <w:highlight w:val="none"/>
                <w:lang w:val="en-US" w:eastAsia="zh-CN" w:bidi="ar"/>
              </w:rPr>
              <w:t>、PM</w:t>
            </w:r>
            <w:r>
              <w:rPr>
                <w:rFonts w:hint="default" w:ascii="Times New Roman" w:hAnsi="Times New Roman" w:eastAsia="宋体" w:cs="Times New Roman"/>
                <w:color w:val="000000"/>
                <w:kern w:val="0"/>
                <w:sz w:val="24"/>
                <w:szCs w:val="24"/>
                <w:highlight w:val="none"/>
                <w:vertAlign w:val="subscript"/>
                <w:lang w:val="en-US" w:eastAsia="zh-CN" w:bidi="ar"/>
              </w:rPr>
              <w:t>2.5</w:t>
            </w:r>
            <w:r>
              <w:rPr>
                <w:rFonts w:hint="default" w:ascii="Times New Roman" w:hAnsi="Times New Roman" w:eastAsia="宋体" w:cs="Times New Roman"/>
                <w:color w:val="000000"/>
                <w:kern w:val="0"/>
                <w:sz w:val="24"/>
                <w:szCs w:val="24"/>
                <w:highlight w:val="none"/>
                <w:lang w:val="en-US" w:eastAsia="zh-CN" w:bidi="ar"/>
              </w:rPr>
              <w:t>、CO和O</w:t>
            </w:r>
            <w:r>
              <w:rPr>
                <w:rFonts w:hint="default" w:ascii="Times New Roman" w:hAnsi="Times New Roman" w:eastAsia="宋体" w:cs="Times New Roman"/>
                <w:color w:val="000000"/>
                <w:kern w:val="0"/>
                <w:sz w:val="24"/>
                <w:szCs w:val="24"/>
                <w:highlight w:val="none"/>
                <w:vertAlign w:val="sub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，六项污染物全部达标即为城市环境空气质量达标”。</w:t>
            </w:r>
          </w:p>
          <w:p w14:paraId="6C393C82">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综上分析，</w:t>
            </w:r>
            <w:r>
              <w:rPr>
                <w:rFonts w:hint="default" w:ascii="Times New Roman" w:hAnsi="Times New Roman" w:eastAsia="宋体" w:cs="Times New Roman"/>
                <w:color w:val="000000"/>
                <w:sz w:val="24"/>
                <w:szCs w:val="24"/>
                <w:highlight w:val="none"/>
              </w:rPr>
              <w:t>污染物没有全部达标，因此本项目所在区域的环境空气质量属于不达标区。</w:t>
            </w:r>
          </w:p>
          <w:p w14:paraId="7571DD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根据《淄博市“十四五”生态环境保护规划》要求，以持续降低PM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浓度，不断提高空气质量优良天数比例，逐步消除重污染天气为目标任务，实施产业结构升级、清洁能源替代、运输结构优化、扬尘精细管控、VOCs深度治理、氮氧化物深度治理“六大减排工程”，全面推进重点行业、重点领域的全流程污染治理，治理后环境空气质量将得到改善。</w:t>
            </w:r>
          </w:p>
          <w:p w14:paraId="3BCD55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highlight w:val="none"/>
              </w:rPr>
              <w:t>（2）地表水：</w:t>
            </w:r>
            <w:r>
              <w:rPr>
                <w:rFonts w:hint="default" w:ascii="Times New Roman" w:hAnsi="Times New Roman" w:cs="Times New Roman"/>
                <w:color w:val="auto"/>
                <w:sz w:val="24"/>
                <w:szCs w:val="24"/>
                <w:highlight w:val="none"/>
              </w:rPr>
              <w:t>该区域主要地表河流为孝妇河</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本项目生产车间西</w:t>
            </w:r>
            <w:r>
              <w:rPr>
                <w:rFonts w:hint="eastAsia" w:ascii="Times New Roman" w:hAnsi="Times New Roman" w:cs="Times New Roman"/>
                <w:color w:val="auto"/>
                <w:sz w:val="24"/>
                <w:szCs w:val="24"/>
                <w:highlight w:val="none"/>
                <w:lang w:val="en-US" w:eastAsia="zh-CN"/>
              </w:rPr>
              <w:t>北</w:t>
            </w:r>
            <w:r>
              <w:rPr>
                <w:rFonts w:hint="default" w:ascii="Times New Roman" w:hAnsi="Times New Roman" w:cs="Times New Roman"/>
                <w:color w:val="auto"/>
                <w:sz w:val="24"/>
                <w:szCs w:val="24"/>
                <w:highlight w:val="none"/>
                <w:lang w:val="en-US" w:eastAsia="zh-CN"/>
              </w:rPr>
              <w:t>侧距离孝妇河约</w:t>
            </w:r>
            <w:r>
              <w:rPr>
                <w:rFonts w:hint="eastAsia" w:ascii="Times New Roman" w:hAnsi="Times New Roman" w:cs="Times New Roman"/>
                <w:color w:val="auto"/>
                <w:sz w:val="24"/>
                <w:szCs w:val="24"/>
                <w:highlight w:val="none"/>
                <w:lang w:val="en-US" w:eastAsia="zh-CN"/>
              </w:rPr>
              <w:t>86</w:t>
            </w:r>
            <w:r>
              <w:rPr>
                <w:rFonts w:hint="default" w:ascii="Times New Roman" w:hAnsi="Times New Roman" w:cs="Times New Roman"/>
                <w:color w:val="auto"/>
                <w:sz w:val="24"/>
                <w:szCs w:val="24"/>
                <w:highlight w:val="none"/>
                <w:lang w:val="en-US" w:eastAsia="zh-CN"/>
              </w:rPr>
              <w:t>米。</w:t>
            </w:r>
            <w:r>
              <w:rPr>
                <w:rFonts w:hint="default" w:ascii="Times New Roman" w:hAnsi="Times New Roman" w:cs="Times New Roman"/>
                <w:color w:val="auto"/>
                <w:sz w:val="24"/>
                <w:szCs w:val="24"/>
                <w:highlight w:val="none"/>
              </w:rPr>
              <w:t>根据淄博市生态环境局202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日发布的《2024年1</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月全市地表水环境质量状况》，</w:t>
            </w:r>
            <w:r>
              <w:rPr>
                <w:rFonts w:hint="default" w:ascii="Times New Roman" w:hAnsi="Times New Roman" w:eastAsia="宋体" w:cs="Times New Roman"/>
                <w:bCs/>
                <w:color w:val="auto"/>
                <w:sz w:val="24"/>
                <w:highlight w:val="none"/>
                <w:lang w:val="en-US" w:eastAsia="zh-CN"/>
              </w:rPr>
              <w:t>孝妇</w:t>
            </w:r>
            <w:r>
              <w:rPr>
                <w:rFonts w:hint="default" w:ascii="Times New Roman" w:hAnsi="Times New Roman" w:eastAsia="宋体" w:cs="Times New Roman"/>
                <w:bCs/>
                <w:color w:val="auto"/>
                <w:sz w:val="24"/>
                <w:highlight w:val="none"/>
                <w:lang w:val="zh-CN"/>
              </w:rPr>
              <w:t>河</w:t>
            </w:r>
            <w:r>
              <w:rPr>
                <w:rFonts w:hint="default" w:ascii="Times New Roman" w:hAnsi="Times New Roman" w:eastAsia="宋体" w:cs="Times New Roman"/>
                <w:color w:val="auto"/>
                <w:sz w:val="24"/>
                <w:szCs w:val="24"/>
                <w:highlight w:val="none"/>
              </w:rPr>
              <w:t>南外环断面</w:t>
            </w:r>
            <w:r>
              <w:rPr>
                <w:rFonts w:hint="default" w:ascii="Times New Roman" w:hAnsi="Times New Roman" w:eastAsia="宋体" w:cs="Times New Roman"/>
                <w:bCs/>
                <w:color w:val="auto"/>
                <w:sz w:val="24"/>
                <w:highlight w:val="none"/>
                <w:lang w:val="zh-CN"/>
              </w:rPr>
              <w:t>水质</w:t>
            </w:r>
            <w:r>
              <w:rPr>
                <w:rFonts w:hint="default" w:ascii="Times New Roman" w:hAnsi="Times New Roman" w:eastAsia="宋体" w:cs="Times New Roman"/>
                <w:bCs/>
                <w:color w:val="auto"/>
                <w:sz w:val="24"/>
                <w:highlight w:val="none"/>
                <w:lang w:val="en-US" w:eastAsia="zh-CN"/>
              </w:rPr>
              <w:t>不能</w:t>
            </w:r>
            <w:r>
              <w:rPr>
                <w:rFonts w:hint="default" w:ascii="Times New Roman" w:hAnsi="Times New Roman" w:eastAsia="宋体" w:cs="Times New Roman"/>
                <w:bCs/>
                <w:color w:val="auto"/>
                <w:sz w:val="24"/>
                <w:highlight w:val="none"/>
                <w:lang w:val="zh-CN"/>
              </w:rPr>
              <w:t>满足《地表水环境质量标准》（GB3838-2002）</w:t>
            </w:r>
            <w:r>
              <w:rPr>
                <w:rFonts w:hint="default" w:ascii="Times New Roman" w:hAnsi="Times New Roman" w:eastAsia="宋体" w:cs="Times New Roman"/>
                <w:bCs/>
                <w:color w:val="auto"/>
                <w:sz w:val="24"/>
                <w:highlight w:val="none"/>
                <w:lang w:val="en-US" w:eastAsia="zh-CN"/>
              </w:rPr>
              <w:t>V</w:t>
            </w:r>
            <w:r>
              <w:rPr>
                <w:rFonts w:hint="default" w:ascii="Times New Roman" w:hAnsi="Times New Roman" w:eastAsia="宋体" w:cs="Times New Roman"/>
                <w:bCs/>
                <w:color w:val="auto"/>
                <w:sz w:val="24"/>
                <w:highlight w:val="none"/>
                <w:lang w:val="zh-CN"/>
              </w:rPr>
              <w:t>类标准。</w:t>
            </w:r>
          </w:p>
          <w:p w14:paraId="3317DC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（3）声环境：项目厂界外周边50米范围内不存在声环境保护目标。根据区域例行监测资料，项目区域噪声符合《声环境质量标准》（GB3096-2008）</w:t>
            </w:r>
            <w:r>
              <w:rPr>
                <w:rFonts w:hint="eastAsia"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类区标准的要求，声环境质量良好。</w:t>
            </w:r>
          </w:p>
          <w:p w14:paraId="1E0040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（4）生态环境：</w:t>
            </w:r>
          </w:p>
          <w:p w14:paraId="6F9FDE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项目用地范围内无珍稀动植物物种，生态环境质量一般。</w:t>
            </w:r>
          </w:p>
          <w:p w14:paraId="6F9372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（5）电磁辐射：</w:t>
            </w:r>
          </w:p>
          <w:p w14:paraId="246D87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本项目不涉及电磁辐射，不需对项目电磁辐射现状开展监测与评价。</w:t>
            </w:r>
          </w:p>
          <w:p w14:paraId="54B82F4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szCs w:val="24"/>
                <w:lang w:val="en-US" w:eastAsia="zh-CN" w:bidi="ar-SA"/>
              </w:rPr>
              <w:t>（6）</w:t>
            </w:r>
            <w:r>
              <w:rPr>
                <w:rFonts w:hint="default" w:ascii="Times New Roman" w:hAnsi="Times New Roman" w:cs="Times New Roman"/>
                <w:color w:val="auto"/>
                <w:kern w:val="0"/>
                <w:sz w:val="24"/>
                <w:highlight w:val="none"/>
              </w:rPr>
              <w:t xml:space="preserve">地下水、土壤环境： </w:t>
            </w:r>
          </w:p>
          <w:p w14:paraId="0E3C7E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项目厂房地面采取硬化</w:t>
            </w:r>
            <w:r>
              <w:rPr>
                <w:rFonts w:hint="default" w:ascii="Times New Roman" w:hAnsi="Times New Roman" w:cs="Times New Roman"/>
                <w:color w:val="auto"/>
                <w:sz w:val="24"/>
                <w:highlight w:val="none"/>
                <w:lang w:eastAsia="zh-CN"/>
              </w:rPr>
              <w:t>防渗</w:t>
            </w:r>
            <w:r>
              <w:rPr>
                <w:rFonts w:hint="default" w:ascii="Times New Roman" w:hAnsi="Times New Roman" w:cs="Times New Roman"/>
                <w:color w:val="auto"/>
                <w:sz w:val="24"/>
                <w:highlight w:val="none"/>
              </w:rPr>
              <w:t>措施。项目正常运营情况下，不存在污染土壤及地下水环境的途径，</w:t>
            </w:r>
            <w:r>
              <w:rPr>
                <w:rFonts w:hint="default" w:ascii="Times New Roman" w:hAnsi="Times New Roman" w:cs="Times New Roman"/>
                <w:color w:val="auto"/>
                <w:sz w:val="24"/>
                <w:szCs w:val="24"/>
                <w:highlight w:val="none"/>
                <w:lang w:eastAsia="zh-CN"/>
              </w:rPr>
              <w:t>根据《建设项目环境影响报告表编制技术指南（污染影响类）（试行）》（环办环评〔2020〕33号），原则上可</w:t>
            </w:r>
            <w:r>
              <w:rPr>
                <w:rFonts w:hint="default" w:ascii="Times New Roman" w:hAnsi="Times New Roman" w:cs="Times New Roman"/>
                <w:color w:val="auto"/>
                <w:sz w:val="24"/>
                <w:highlight w:val="none"/>
              </w:rPr>
              <w:t>不开展地下水、土壤环境质量现状调查</w:t>
            </w:r>
            <w:r>
              <w:rPr>
                <w:rFonts w:hint="default" w:ascii="Times New Roman" w:hAnsi="Times New Roman" w:cs="Times New Roman"/>
                <w:color w:val="auto"/>
                <w:sz w:val="24"/>
                <w:highlight w:val="none"/>
                <w:lang w:eastAsia="zh-CN"/>
              </w:rPr>
              <w:t>。</w:t>
            </w:r>
          </w:p>
        </w:tc>
      </w:tr>
      <w:tr w14:paraId="3C06A5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045AE22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6680686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07DCDA4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目标</w:t>
            </w:r>
          </w:p>
        </w:tc>
        <w:tc>
          <w:tcPr>
            <w:tcW w:w="8190" w:type="dxa"/>
            <w:noWrap w:val="0"/>
            <w:vAlign w:val="center"/>
          </w:tcPr>
          <w:p w14:paraId="1A975D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表3-2 主要环境保护目标</w:t>
            </w:r>
          </w:p>
          <w:tbl>
            <w:tblPr>
              <w:tblStyle w:val="32"/>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88"/>
              <w:gridCol w:w="1009"/>
              <w:gridCol w:w="1377"/>
              <w:gridCol w:w="659"/>
              <w:gridCol w:w="1048"/>
              <w:gridCol w:w="1282"/>
              <w:gridCol w:w="2975"/>
            </w:tblGrid>
            <w:tr w14:paraId="6F6622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88" w:type="dxa"/>
                  <w:tcBorders>
                    <w:right w:val="single" w:color="auto" w:sz="4" w:space="0"/>
                  </w:tcBorders>
                  <w:noWrap w:val="0"/>
                  <w:vAlign w:val="center"/>
                </w:tcPr>
                <w:p w14:paraId="3E8E1CA7">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highlight w:val="none"/>
                    </w:rPr>
                    <w:t>序号</w:t>
                  </w:r>
                </w:p>
              </w:tc>
              <w:tc>
                <w:tcPr>
                  <w:tcW w:w="1009" w:type="dxa"/>
                  <w:tcBorders>
                    <w:left w:val="single" w:color="auto" w:sz="4" w:space="0"/>
                  </w:tcBorders>
                  <w:noWrap w:val="0"/>
                  <w:vAlign w:val="center"/>
                </w:tcPr>
                <w:p w14:paraId="5BF360A7">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类别</w:t>
                  </w:r>
                </w:p>
              </w:tc>
              <w:tc>
                <w:tcPr>
                  <w:tcW w:w="1377" w:type="dxa"/>
                  <w:noWrap w:val="0"/>
                  <w:vAlign w:val="center"/>
                </w:tcPr>
                <w:p w14:paraId="4E6BCB1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环境保护</w:t>
                  </w:r>
                </w:p>
                <w:p w14:paraId="7E8CE89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highlight w:val="none"/>
                    </w:rPr>
                    <w:t>目标</w:t>
                  </w:r>
                </w:p>
              </w:tc>
              <w:tc>
                <w:tcPr>
                  <w:tcW w:w="659" w:type="dxa"/>
                  <w:noWrap w:val="0"/>
                  <w:vAlign w:val="center"/>
                </w:tcPr>
                <w:p w14:paraId="16A3E0EF">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highlight w:val="none"/>
                    </w:rPr>
                    <w:t>方位</w:t>
                  </w:r>
                </w:p>
              </w:tc>
              <w:tc>
                <w:tcPr>
                  <w:tcW w:w="1048" w:type="dxa"/>
                  <w:noWrap w:val="0"/>
                  <w:vAlign w:val="center"/>
                </w:tcPr>
                <w:p w14:paraId="10668E64">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保护对象</w:t>
                  </w:r>
                </w:p>
              </w:tc>
              <w:tc>
                <w:tcPr>
                  <w:tcW w:w="1282" w:type="dxa"/>
                  <w:noWrap w:val="0"/>
                  <w:vAlign w:val="center"/>
                </w:tcPr>
                <w:p w14:paraId="06698457">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highlight w:val="none"/>
                    </w:rPr>
                    <w:t>距厂界距离（m）</w:t>
                  </w:r>
                </w:p>
              </w:tc>
              <w:tc>
                <w:tcPr>
                  <w:tcW w:w="2976" w:type="dxa"/>
                  <w:noWrap w:val="0"/>
                  <w:vAlign w:val="center"/>
                </w:tcPr>
                <w:p w14:paraId="4172B2A5">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highlight w:val="none"/>
                    </w:rPr>
                    <w:t>环境保护级别</w:t>
                  </w:r>
                </w:p>
              </w:tc>
            </w:tr>
            <w:tr w14:paraId="434D63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88" w:type="dxa"/>
                  <w:tcBorders>
                    <w:right w:val="single" w:color="auto" w:sz="4" w:space="0"/>
                  </w:tcBorders>
                  <w:noWrap w:val="0"/>
                  <w:vAlign w:val="center"/>
                </w:tcPr>
                <w:p w14:paraId="5729DB68">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1</w:t>
                  </w:r>
                </w:p>
              </w:tc>
              <w:tc>
                <w:tcPr>
                  <w:tcW w:w="1009" w:type="dxa"/>
                  <w:vMerge w:val="restart"/>
                  <w:tcBorders>
                    <w:left w:val="single" w:color="auto" w:sz="4" w:space="0"/>
                  </w:tcBorders>
                  <w:noWrap w:val="0"/>
                  <w:vAlign w:val="center"/>
                </w:tcPr>
                <w:p w14:paraId="3EA5B78F">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w:t>
                  </w:r>
                </w:p>
              </w:tc>
              <w:tc>
                <w:tcPr>
                  <w:tcW w:w="1377" w:type="dxa"/>
                  <w:tcBorders>
                    <w:bottom w:val="single" w:color="auto" w:sz="4" w:space="0"/>
                  </w:tcBorders>
                  <w:noWrap w:val="0"/>
                  <w:vAlign w:val="center"/>
                </w:tcPr>
                <w:p w14:paraId="17E34C07">
                  <w:pPr>
                    <w:pStyle w:val="77"/>
                    <w:keepNext w:val="0"/>
                    <w:keepLines w:val="0"/>
                    <w:pageBreakBefore w:val="0"/>
                    <w:suppressLineNumbers w:val="0"/>
                    <w:kinsoku/>
                    <w:wordWrap/>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小庄村</w:t>
                  </w:r>
                </w:p>
              </w:tc>
              <w:tc>
                <w:tcPr>
                  <w:tcW w:w="659" w:type="dxa"/>
                  <w:tcBorders>
                    <w:bottom w:val="single" w:color="auto" w:sz="4" w:space="0"/>
                  </w:tcBorders>
                  <w:noWrap w:val="0"/>
                  <w:vAlign w:val="center"/>
                </w:tcPr>
                <w:p w14:paraId="05DB5F1F">
                  <w:pPr>
                    <w:keepNext w:val="0"/>
                    <w:keepLines w:val="0"/>
                    <w:suppressLineNumbers w:val="0"/>
                    <w:tabs>
                      <w:tab w:val="left" w:pos="1680"/>
                    </w:tabs>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S</w:t>
                  </w:r>
                </w:p>
              </w:tc>
              <w:tc>
                <w:tcPr>
                  <w:tcW w:w="1048" w:type="dxa"/>
                  <w:tcBorders>
                    <w:bottom w:val="single" w:color="auto" w:sz="4" w:space="0"/>
                  </w:tcBorders>
                  <w:noWrap w:val="0"/>
                  <w:vAlign w:val="center"/>
                </w:tcPr>
                <w:p w14:paraId="2394B2A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居民区</w:t>
                  </w:r>
                </w:p>
              </w:tc>
              <w:tc>
                <w:tcPr>
                  <w:tcW w:w="1282" w:type="dxa"/>
                  <w:tcBorders>
                    <w:bottom w:val="single" w:color="auto" w:sz="4" w:space="0"/>
                  </w:tcBorders>
                  <w:noWrap w:val="0"/>
                  <w:vAlign w:val="center"/>
                </w:tcPr>
                <w:p w14:paraId="4EB99D63">
                  <w:pPr>
                    <w:keepNext w:val="0"/>
                    <w:keepLines w:val="0"/>
                    <w:suppressLineNumbers w:val="0"/>
                    <w:tabs>
                      <w:tab w:val="left" w:pos="1680"/>
                    </w:tabs>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36</w:t>
                  </w:r>
                  <w:r>
                    <w:rPr>
                      <w:rFonts w:hint="eastAsia" w:ascii="Times New Roman" w:hAnsi="Times New Roman" w:cs="Times New Roman"/>
                      <w:color w:val="auto"/>
                      <w:szCs w:val="21"/>
                      <w:highlight w:val="none"/>
                      <w:lang w:val="en-US" w:eastAsia="zh-CN"/>
                    </w:rPr>
                    <w:t>6</w:t>
                  </w:r>
                </w:p>
              </w:tc>
              <w:tc>
                <w:tcPr>
                  <w:tcW w:w="2976" w:type="dxa"/>
                  <w:vMerge w:val="restart"/>
                  <w:noWrap w:val="0"/>
                  <w:vAlign w:val="center"/>
                </w:tcPr>
                <w:p w14:paraId="5604E42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《环境空气质量标准》（GB3095-2012）及其修改单二级标准</w:t>
                  </w:r>
                </w:p>
              </w:tc>
            </w:tr>
            <w:tr w14:paraId="07234D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88" w:type="dxa"/>
                  <w:tcBorders>
                    <w:right w:val="single" w:color="auto" w:sz="4" w:space="0"/>
                  </w:tcBorders>
                  <w:noWrap w:val="0"/>
                  <w:vAlign w:val="center"/>
                </w:tcPr>
                <w:p w14:paraId="49260D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009" w:type="dxa"/>
                  <w:vMerge w:val="continue"/>
                  <w:tcBorders>
                    <w:left w:val="single" w:color="auto" w:sz="4" w:space="0"/>
                  </w:tcBorders>
                  <w:noWrap w:val="0"/>
                  <w:vAlign w:val="center"/>
                </w:tcPr>
                <w:p w14:paraId="2D4A8825">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c>
                <w:tcPr>
                  <w:tcW w:w="1377" w:type="dxa"/>
                  <w:tcBorders>
                    <w:bottom w:val="single" w:color="auto" w:sz="4" w:space="0"/>
                  </w:tcBorders>
                  <w:noWrap w:val="0"/>
                  <w:vAlign w:val="center"/>
                </w:tcPr>
                <w:p w14:paraId="4C671E22">
                  <w:pPr>
                    <w:pStyle w:val="77"/>
                    <w:keepNext w:val="0"/>
                    <w:keepLines w:val="0"/>
                    <w:pageBreakBefore w:val="0"/>
                    <w:suppressLineNumbers w:val="0"/>
                    <w:kinsoku/>
                    <w:wordWrap/>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赵瓦村</w:t>
                  </w:r>
                </w:p>
              </w:tc>
              <w:tc>
                <w:tcPr>
                  <w:tcW w:w="659" w:type="dxa"/>
                  <w:tcBorders>
                    <w:bottom w:val="single" w:color="auto" w:sz="4" w:space="0"/>
                  </w:tcBorders>
                  <w:noWrap w:val="0"/>
                  <w:vAlign w:val="center"/>
                </w:tcPr>
                <w:p w14:paraId="33829D31">
                  <w:pPr>
                    <w:keepNext w:val="0"/>
                    <w:keepLines w:val="0"/>
                    <w:suppressLineNumbers w:val="0"/>
                    <w:tabs>
                      <w:tab w:val="left" w:pos="1680"/>
                    </w:tabs>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NW</w:t>
                  </w:r>
                </w:p>
              </w:tc>
              <w:tc>
                <w:tcPr>
                  <w:tcW w:w="1048" w:type="dxa"/>
                  <w:tcBorders>
                    <w:bottom w:val="single" w:color="auto" w:sz="4" w:space="0"/>
                  </w:tcBorders>
                  <w:noWrap w:val="0"/>
                  <w:vAlign w:val="center"/>
                </w:tcPr>
                <w:p w14:paraId="6E7045E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居民区</w:t>
                  </w:r>
                </w:p>
              </w:tc>
              <w:tc>
                <w:tcPr>
                  <w:tcW w:w="1282" w:type="dxa"/>
                  <w:tcBorders>
                    <w:bottom w:val="single" w:color="auto" w:sz="4" w:space="0"/>
                  </w:tcBorders>
                  <w:noWrap w:val="0"/>
                  <w:vAlign w:val="center"/>
                </w:tcPr>
                <w:p w14:paraId="73D7DD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460</w:t>
                  </w:r>
                </w:p>
              </w:tc>
              <w:tc>
                <w:tcPr>
                  <w:tcW w:w="2976" w:type="dxa"/>
                  <w:vMerge w:val="continue"/>
                  <w:noWrap w:val="0"/>
                  <w:vAlign w:val="center"/>
                </w:tcPr>
                <w:p w14:paraId="1C1AD0F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p>
              </w:tc>
            </w:tr>
            <w:tr w14:paraId="75F087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88" w:type="dxa"/>
                  <w:tcBorders>
                    <w:right w:val="single" w:color="auto" w:sz="4" w:space="0"/>
                  </w:tcBorders>
                  <w:noWrap w:val="0"/>
                  <w:vAlign w:val="center"/>
                </w:tcPr>
                <w:p w14:paraId="31CF1B9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w:t>
                  </w:r>
                </w:p>
              </w:tc>
              <w:tc>
                <w:tcPr>
                  <w:tcW w:w="1009" w:type="dxa"/>
                  <w:tcBorders>
                    <w:left w:val="single" w:color="auto" w:sz="4" w:space="0"/>
                  </w:tcBorders>
                  <w:noWrap w:val="0"/>
                  <w:vAlign w:val="center"/>
                </w:tcPr>
                <w:p w14:paraId="1F7FC4F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4366" w:type="dxa"/>
                  <w:gridSpan w:val="4"/>
                  <w:noWrap w:val="0"/>
                  <w:vAlign w:val="center"/>
                </w:tcPr>
                <w:p w14:paraId="67997EB1">
                  <w:pPr>
                    <w:keepNext w:val="0"/>
                    <w:keepLines w:val="0"/>
                    <w:suppressLineNumbers w:val="0"/>
                    <w:tabs>
                      <w:tab w:val="left" w:pos="1680"/>
                    </w:tabs>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项目厂界50米不存在声环境保护目标</w:t>
                  </w:r>
                </w:p>
              </w:tc>
              <w:tc>
                <w:tcPr>
                  <w:tcW w:w="2976" w:type="dxa"/>
                  <w:noWrap w:val="0"/>
                  <w:vAlign w:val="center"/>
                </w:tcPr>
                <w:p w14:paraId="4DC30C5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《声环境质量标准》（GB3096-2008）</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类标准</w:t>
                  </w:r>
                </w:p>
              </w:tc>
            </w:tr>
            <w:tr w14:paraId="21F4E3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88" w:type="dxa"/>
                  <w:tcBorders>
                    <w:right w:val="single" w:color="auto" w:sz="4" w:space="0"/>
                  </w:tcBorders>
                  <w:noWrap w:val="0"/>
                  <w:vAlign w:val="center"/>
                </w:tcPr>
                <w:p w14:paraId="2ACD2004">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009" w:type="dxa"/>
                  <w:tcBorders>
                    <w:left w:val="single" w:color="auto" w:sz="4" w:space="0"/>
                  </w:tcBorders>
                  <w:noWrap w:val="0"/>
                  <w:vAlign w:val="center"/>
                </w:tcPr>
                <w:p w14:paraId="2C20E87A">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地表水</w:t>
                  </w:r>
                </w:p>
              </w:tc>
              <w:tc>
                <w:tcPr>
                  <w:tcW w:w="1377" w:type="dxa"/>
                  <w:noWrap w:val="0"/>
                  <w:vAlign w:val="center"/>
                </w:tcPr>
                <w:p w14:paraId="6083D752">
                  <w:pPr>
                    <w:keepNext w:val="0"/>
                    <w:keepLines w:val="0"/>
                    <w:suppressLineNumbers w:val="0"/>
                    <w:tabs>
                      <w:tab w:val="left" w:pos="1680"/>
                    </w:tabs>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孝妇河</w:t>
                  </w:r>
                </w:p>
              </w:tc>
              <w:tc>
                <w:tcPr>
                  <w:tcW w:w="659" w:type="dxa"/>
                  <w:noWrap w:val="0"/>
                  <w:vAlign w:val="center"/>
                </w:tcPr>
                <w:p w14:paraId="242A1B51">
                  <w:pPr>
                    <w:keepNext w:val="0"/>
                    <w:keepLines w:val="0"/>
                    <w:suppressLineNumbers w:val="0"/>
                    <w:tabs>
                      <w:tab w:val="left" w:pos="1680"/>
                    </w:tabs>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N</w:t>
                  </w:r>
                  <w:r>
                    <w:rPr>
                      <w:rFonts w:hint="default" w:ascii="Times New Roman" w:hAnsi="Times New Roman" w:cs="Times New Roman"/>
                      <w:color w:val="auto"/>
                      <w:szCs w:val="21"/>
                      <w:highlight w:val="none"/>
                      <w:lang w:val="en-US" w:eastAsia="zh-CN"/>
                    </w:rPr>
                    <w:t>W</w:t>
                  </w:r>
                </w:p>
              </w:tc>
              <w:tc>
                <w:tcPr>
                  <w:tcW w:w="1048" w:type="dxa"/>
                  <w:noWrap w:val="0"/>
                  <w:vAlign w:val="center"/>
                </w:tcPr>
                <w:p w14:paraId="36B696A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282" w:type="dxa"/>
                  <w:noWrap w:val="0"/>
                  <w:vAlign w:val="center"/>
                </w:tcPr>
                <w:p w14:paraId="5F988E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86</w:t>
                  </w:r>
                </w:p>
              </w:tc>
              <w:tc>
                <w:tcPr>
                  <w:tcW w:w="2976" w:type="dxa"/>
                  <w:noWrap w:val="0"/>
                  <w:vAlign w:val="center"/>
                </w:tcPr>
                <w:p w14:paraId="6D981E2E">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w:t>《地表水环境质量标准》V类</w:t>
                  </w:r>
                </w:p>
              </w:tc>
            </w:tr>
            <w:tr w14:paraId="3498EE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88" w:type="dxa"/>
                  <w:tcBorders>
                    <w:right w:val="single" w:color="auto" w:sz="4" w:space="0"/>
                  </w:tcBorders>
                  <w:noWrap w:val="0"/>
                  <w:vAlign w:val="center"/>
                </w:tcPr>
                <w:p w14:paraId="1964828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009" w:type="dxa"/>
                  <w:tcBorders>
                    <w:left w:val="single" w:color="auto" w:sz="4" w:space="0"/>
                  </w:tcBorders>
                  <w:noWrap w:val="0"/>
                  <w:vAlign w:val="center"/>
                </w:tcPr>
                <w:p w14:paraId="679C9FCC">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地下水</w:t>
                  </w:r>
                </w:p>
              </w:tc>
              <w:tc>
                <w:tcPr>
                  <w:tcW w:w="4366" w:type="dxa"/>
                  <w:gridSpan w:val="4"/>
                  <w:noWrap w:val="0"/>
                  <w:vAlign w:val="center"/>
                </w:tcPr>
                <w:p w14:paraId="252DC2E9">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厂界周边500m范围内无地下水集中式饮用水水源和热水、矿泉水、温泉等特殊地下水资源。</w:t>
                  </w:r>
                </w:p>
              </w:tc>
              <w:tc>
                <w:tcPr>
                  <w:tcW w:w="2976" w:type="dxa"/>
                  <w:noWrap w:val="0"/>
                  <w:vAlign w:val="center"/>
                </w:tcPr>
                <w:p w14:paraId="6ED668C4">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《地下水质量标准》</w:t>
                  </w:r>
                </w:p>
                <w:p w14:paraId="1A04DEC8">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（GB/T 14848-2017）Ⅲ类</w:t>
                  </w:r>
                </w:p>
              </w:tc>
            </w:tr>
          </w:tbl>
          <w:p w14:paraId="41F476F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right="0" w:firstLine="0" w:firstLineChars="0"/>
              <w:textAlignment w:val="auto"/>
              <w:rPr>
                <w:rFonts w:hint="default" w:ascii="Times New Roman" w:hAnsi="Times New Roman" w:eastAsia="宋体" w:cs="Times New Roman"/>
                <w:color w:val="auto"/>
                <w:kern w:val="0"/>
                <w:sz w:val="10"/>
                <w:szCs w:val="10"/>
                <w:highlight w:val="none"/>
                <w:lang w:val="en-US" w:eastAsia="zh-CN"/>
              </w:rPr>
            </w:pPr>
            <w:r>
              <w:rPr>
                <w:rFonts w:hint="default" w:ascii="Times New Roman" w:hAnsi="Times New Roman" w:eastAsia="宋体" w:cs="Times New Roman"/>
                <w:color w:val="auto"/>
                <w:kern w:val="0"/>
                <w:sz w:val="10"/>
                <w:szCs w:val="10"/>
                <w:highlight w:val="none"/>
                <w:lang w:val="en-US" w:eastAsia="zh-CN"/>
              </w:rPr>
              <w:t xml:space="preserve">  </w:t>
            </w:r>
            <w:r>
              <w:rPr>
                <w:rFonts w:hint="default" w:ascii="Times New Roman" w:hAnsi="Times New Roman" w:eastAsia="宋体" w:cs="Times New Roman"/>
                <w:color w:val="auto"/>
                <w:kern w:val="0"/>
                <w:sz w:val="24"/>
                <w:highlight w:val="none"/>
                <w:lang w:val="en-US" w:eastAsia="zh-CN" w:bidi="ar"/>
              </w:rPr>
              <w:t xml:space="preserve"> </w:t>
            </w:r>
          </w:p>
        </w:tc>
      </w:tr>
      <w:tr w14:paraId="3EBBEC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14:paraId="4854CAB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1CB7879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7ECACBF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414D958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3A57F8A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190" w:type="dxa"/>
            <w:noWrap w:val="0"/>
            <w:vAlign w:val="center"/>
          </w:tcPr>
          <w:p w14:paraId="0396248C">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一、废气</w:t>
            </w:r>
          </w:p>
          <w:p w14:paraId="0CCCC000">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有组织颗粒物、二氧化硫、氮氧化物排放执行山东省地方标准《区域性大气污染物综合排放标准》（DB37/2376-2019）表1重点控制区标准限值（颗粒物：10mg/m</w:t>
            </w:r>
            <w:r>
              <w:rPr>
                <w:rFonts w:hint="default" w:ascii="Times New Roman" w:hAnsi="Times New Roman" w:eastAsia="宋体" w:cs="Times New Roman"/>
                <w:color w:val="auto"/>
                <w:kern w:val="0"/>
                <w:sz w:val="24"/>
                <w:highlight w:val="none"/>
                <w:vertAlign w:val="superscript"/>
                <w:lang w:val="en-US" w:eastAsia="zh-CN" w:bidi="ar"/>
              </w:rPr>
              <w:t>3</w:t>
            </w:r>
            <w:r>
              <w:rPr>
                <w:rFonts w:hint="eastAsia" w:ascii="Times New Roman" w:hAnsi="Times New Roman" w:eastAsia="宋体" w:cs="Times New Roman"/>
                <w:color w:val="auto"/>
                <w:kern w:val="0"/>
                <w:sz w:val="24"/>
                <w:highlight w:val="none"/>
                <w:vertAlign w:val="baseline"/>
                <w:lang w:val="en-US" w:eastAsia="zh-CN" w:bidi="ar"/>
              </w:rPr>
              <w:t>、</w:t>
            </w:r>
            <w:r>
              <w:rPr>
                <w:rFonts w:hint="default" w:ascii="Times New Roman" w:hAnsi="Times New Roman" w:eastAsia="宋体" w:cs="Times New Roman"/>
                <w:color w:val="auto"/>
                <w:kern w:val="0"/>
                <w:sz w:val="24"/>
                <w:highlight w:val="none"/>
                <w:lang w:val="en-US" w:eastAsia="zh-CN" w:bidi="ar"/>
              </w:rPr>
              <w:t>二氧化硫：</w:t>
            </w:r>
            <w:r>
              <w:rPr>
                <w:rFonts w:hint="eastAsia" w:ascii="Times New Roman" w:hAnsi="Times New Roman" w:eastAsia="宋体" w:cs="Times New Roman"/>
                <w:color w:val="auto"/>
                <w:kern w:val="0"/>
                <w:sz w:val="24"/>
                <w:highlight w:val="none"/>
                <w:lang w:val="en-US" w:eastAsia="zh-CN" w:bidi="ar"/>
              </w:rPr>
              <w:t>50</w:t>
            </w:r>
            <w:r>
              <w:rPr>
                <w:rFonts w:hint="default" w:ascii="Times New Roman" w:hAnsi="Times New Roman" w:eastAsia="宋体" w:cs="Times New Roman"/>
                <w:color w:val="auto"/>
                <w:kern w:val="0"/>
                <w:sz w:val="24"/>
                <w:highlight w:val="none"/>
                <w:lang w:val="en-US" w:eastAsia="zh-CN" w:bidi="ar"/>
              </w:rPr>
              <w:t>mg/m</w:t>
            </w:r>
            <w:r>
              <w:rPr>
                <w:rFonts w:hint="default" w:ascii="Times New Roman" w:hAnsi="Times New Roman" w:eastAsia="宋体" w:cs="Times New Roman"/>
                <w:color w:val="auto"/>
                <w:kern w:val="0"/>
                <w:sz w:val="24"/>
                <w:highlight w:val="none"/>
                <w:vertAlign w:val="superscript"/>
                <w:lang w:val="en-US" w:eastAsia="zh-CN" w:bidi="ar"/>
              </w:rPr>
              <w:t>3</w:t>
            </w:r>
            <w:r>
              <w:rPr>
                <w:rFonts w:hint="default" w:ascii="Times New Roman" w:hAnsi="Times New Roman" w:eastAsia="宋体" w:cs="Times New Roman"/>
                <w:color w:val="auto"/>
                <w:kern w:val="0"/>
                <w:sz w:val="24"/>
                <w:highlight w:val="none"/>
                <w:lang w:val="en-US" w:eastAsia="zh-CN" w:bidi="ar"/>
              </w:rPr>
              <w:t>、氮氧化物：</w:t>
            </w:r>
            <w:r>
              <w:rPr>
                <w:rFonts w:hint="eastAsia" w:ascii="Times New Roman" w:hAnsi="Times New Roman" w:eastAsia="宋体" w:cs="Times New Roman"/>
                <w:color w:val="auto"/>
                <w:kern w:val="0"/>
                <w:sz w:val="24"/>
                <w:highlight w:val="none"/>
                <w:lang w:val="en-US" w:eastAsia="zh-CN" w:bidi="ar"/>
              </w:rPr>
              <w:t>10</w:t>
            </w:r>
            <w:r>
              <w:rPr>
                <w:rFonts w:hint="default" w:ascii="Times New Roman" w:hAnsi="Times New Roman" w:eastAsia="宋体" w:cs="Times New Roman"/>
                <w:color w:val="auto"/>
                <w:kern w:val="0"/>
                <w:sz w:val="24"/>
                <w:highlight w:val="none"/>
                <w:lang w:val="en-US" w:eastAsia="zh-CN" w:bidi="ar"/>
              </w:rPr>
              <w:t>0mg/m</w:t>
            </w:r>
            <w:r>
              <w:rPr>
                <w:rFonts w:hint="default" w:ascii="Times New Roman" w:hAnsi="Times New Roman" w:eastAsia="宋体" w:cs="Times New Roman"/>
                <w:color w:val="auto"/>
                <w:kern w:val="0"/>
                <w:sz w:val="24"/>
                <w:highlight w:val="none"/>
                <w:vertAlign w:val="superscript"/>
                <w:lang w:val="en-US" w:eastAsia="zh-CN" w:bidi="ar"/>
              </w:rPr>
              <w:t>3</w:t>
            </w:r>
            <w:r>
              <w:rPr>
                <w:rFonts w:hint="default" w:ascii="Times New Roman" w:hAnsi="Times New Roman" w:eastAsia="宋体" w:cs="Times New Roman"/>
                <w:color w:val="auto"/>
                <w:kern w:val="0"/>
                <w:sz w:val="24"/>
                <w:highlight w:val="none"/>
                <w:lang w:val="en-US" w:eastAsia="zh-CN" w:bidi="ar"/>
              </w:rPr>
              <w:t>）；</w:t>
            </w:r>
            <w:r>
              <w:rPr>
                <w:rFonts w:hint="eastAsia" w:ascii="Times New Roman" w:hAnsi="Times New Roman" w:cs="Times New Roman"/>
                <w:bCs/>
                <w:sz w:val="24"/>
                <w:lang w:val="en-US" w:eastAsia="zh-CN"/>
              </w:rPr>
              <w:t>逃逸氨浓度执行</w:t>
            </w:r>
            <w:r>
              <w:rPr>
                <w:rFonts w:hint="default" w:ascii="Times New Roman" w:hAnsi="Times New Roman" w:cs="Times New Roman"/>
                <w:bCs/>
                <w:sz w:val="24"/>
                <w:lang w:val="en-US" w:eastAsia="zh-CN"/>
              </w:rPr>
              <w:t>《工业锅炉污染防治可行技术指南》（HJ 1178-2021）</w:t>
            </w:r>
            <w:r>
              <w:rPr>
                <w:rFonts w:hint="eastAsia" w:ascii="Times New Roman" w:hAnsi="Times New Roman" w:cs="Times New Roman"/>
                <w:bCs/>
                <w:sz w:val="24"/>
                <w:lang w:val="en-US" w:eastAsia="zh-CN"/>
              </w:rPr>
              <w:t>中SNCR脱硝技术控制要求（氨逃逸质量浓度低于8mg/m</w:t>
            </w:r>
            <w:r>
              <w:rPr>
                <w:rFonts w:hint="eastAsia" w:ascii="Times New Roman" w:hAnsi="Times New Roman" w:cs="Times New Roman"/>
                <w:bCs/>
                <w:sz w:val="24"/>
                <w:vertAlign w:val="superscript"/>
                <w:lang w:val="en-US" w:eastAsia="zh-CN"/>
              </w:rPr>
              <w:t>3</w:t>
            </w:r>
            <w:r>
              <w:rPr>
                <w:rFonts w:hint="eastAsia" w:ascii="Times New Roman" w:hAnsi="Times New Roman" w:cs="Times New Roman"/>
                <w:bCs/>
                <w:sz w:val="24"/>
                <w:lang w:val="en-US" w:eastAsia="zh-CN"/>
              </w:rPr>
              <w:t>）；</w:t>
            </w:r>
          </w:p>
          <w:p w14:paraId="73247FB4">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有</w:t>
            </w:r>
            <w:r>
              <w:rPr>
                <w:rFonts w:hint="default" w:ascii="Times New Roman" w:hAnsi="Times New Roman" w:eastAsia="宋体" w:cs="Times New Roman"/>
                <w:color w:val="auto"/>
                <w:kern w:val="0"/>
                <w:sz w:val="24"/>
                <w:szCs w:val="24"/>
                <w:highlight w:val="none"/>
                <w:lang w:val="en-US" w:eastAsia="zh-CN" w:bidi="ar"/>
              </w:rPr>
              <w:t>组织</w:t>
            </w:r>
            <w:r>
              <w:rPr>
                <w:rFonts w:hint="eastAsia" w:ascii="Times New Roman" w:hAnsi="Times New Roman" w:eastAsia="宋体" w:cs="Times New Roman"/>
                <w:sz w:val="24"/>
                <w:szCs w:val="24"/>
                <w:highlight w:val="none"/>
                <w:lang w:val="en-US" w:eastAsia="zh-CN"/>
              </w:rPr>
              <w:t>氯化氢执行《大气污染物综合排放标准》（GB16297-1996）表2中污染物排放限值（氯化氢100</w:t>
            </w:r>
            <w:r>
              <w:rPr>
                <w:rFonts w:hint="default" w:ascii="Times New Roman" w:hAnsi="Times New Roman" w:eastAsia="宋体" w:cs="Times New Roman"/>
                <w:sz w:val="24"/>
                <w:szCs w:val="24"/>
                <w:highlight w:val="none"/>
              </w:rPr>
              <w:t>mg/m</w:t>
            </w:r>
            <w:r>
              <w:rPr>
                <w:rFonts w:hint="default" w:ascii="Times New Roman" w:hAnsi="Times New Roman" w:eastAsia="宋体" w:cs="Times New Roman"/>
                <w:sz w:val="24"/>
                <w:szCs w:val="24"/>
                <w:highlight w:val="none"/>
                <w:vertAlign w:val="superscript"/>
              </w:rPr>
              <w:t>3</w:t>
            </w:r>
            <w:r>
              <w:rPr>
                <w:rFonts w:hint="eastAsia" w:ascii="Times New Roman" w:hAnsi="Times New Roman" w:eastAsia="宋体" w:cs="Times New Roman"/>
                <w:sz w:val="24"/>
                <w:szCs w:val="24"/>
                <w:highlight w:val="none"/>
                <w:vertAlign w:val="baseline"/>
                <w:lang w:val="en-US" w:eastAsia="zh-CN"/>
              </w:rPr>
              <w:t>、0.26kg/h、15m排气筒</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color w:val="auto"/>
                <w:kern w:val="0"/>
                <w:sz w:val="24"/>
                <w:highlight w:val="none"/>
                <w:lang w:val="en-US" w:eastAsia="zh-CN" w:bidi="ar"/>
              </w:rPr>
              <w:t>；</w:t>
            </w:r>
          </w:p>
          <w:p w14:paraId="55F3010D">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无组</w:t>
            </w:r>
            <w:r>
              <w:rPr>
                <w:rFonts w:hint="default" w:ascii="Times New Roman" w:hAnsi="Times New Roman" w:eastAsia="宋体" w:cs="Times New Roman"/>
                <w:color w:val="auto"/>
                <w:kern w:val="0"/>
                <w:sz w:val="24"/>
                <w:szCs w:val="24"/>
                <w:highlight w:val="none"/>
                <w:lang w:val="en-US" w:eastAsia="zh-CN" w:bidi="ar"/>
              </w:rPr>
              <w:t>织颗粒物执行</w:t>
            </w:r>
            <w:r>
              <w:rPr>
                <w:rFonts w:hint="eastAsia" w:ascii="Times New Roman" w:hAnsi="Times New Roman" w:eastAsia="宋体" w:cs="Times New Roman"/>
                <w:color w:val="auto"/>
                <w:kern w:val="0"/>
                <w:sz w:val="24"/>
                <w:szCs w:val="24"/>
                <w:highlight w:val="none"/>
                <w:lang w:val="en-US" w:eastAsia="zh-CN" w:bidi="ar"/>
              </w:rPr>
              <w:t>《大气污染物综合排放标准》 (GB16297-1996)表2中的无组织排放监控浓度限值（颗粒物：1.0mg/m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eastAsia"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w:t>
            </w:r>
          </w:p>
          <w:p w14:paraId="4270F6AD">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sz w:val="24"/>
                <w:szCs w:val="24"/>
                <w:highlight w:val="none"/>
                <w:lang w:val="en-US" w:eastAsia="zh-CN"/>
              </w:rPr>
              <w:t>氯化氢无组织排放浓度执行《大气污染物综合排放标准》（GB16297-1996）表2中无组织排放监控浓度限值要求（氯化氢0.2</w:t>
            </w:r>
            <w:r>
              <w:rPr>
                <w:rFonts w:hint="default" w:ascii="Times New Roman" w:hAnsi="Times New Roman" w:eastAsia="宋体" w:cs="Times New Roman"/>
                <w:sz w:val="24"/>
                <w:szCs w:val="24"/>
                <w:highlight w:val="none"/>
              </w:rPr>
              <w:t>mg/m</w:t>
            </w:r>
            <w:r>
              <w:rPr>
                <w:rFonts w:hint="default" w:ascii="Times New Roman" w:hAnsi="Times New Roman" w:eastAsia="宋体" w:cs="Times New Roman"/>
                <w:sz w:val="24"/>
                <w:szCs w:val="24"/>
                <w:highlight w:val="none"/>
                <w:vertAlign w:val="superscript"/>
              </w:rPr>
              <w:t>3</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w:t>
            </w:r>
          </w:p>
          <w:p w14:paraId="61DBB3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表3-3废气排放执行标准一览表</w:t>
            </w:r>
          </w:p>
          <w:tbl>
            <w:tblPr>
              <w:tblStyle w:val="32"/>
              <w:tblW w:w="498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72"/>
              <w:gridCol w:w="1393"/>
              <w:gridCol w:w="3279"/>
              <w:gridCol w:w="2780"/>
            </w:tblGrid>
            <w:tr w14:paraId="44E478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72" w:type="dxa"/>
                  <w:noWrap w:val="0"/>
                  <w:vAlign w:val="center"/>
                </w:tcPr>
                <w:p w14:paraId="1410D2BE">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污染因子</w:t>
                  </w:r>
                </w:p>
              </w:tc>
              <w:tc>
                <w:tcPr>
                  <w:tcW w:w="1393" w:type="dxa"/>
                  <w:noWrap w:val="0"/>
                  <w:vAlign w:val="center"/>
                </w:tcPr>
                <w:p w14:paraId="73AE751A">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排放形式</w:t>
                  </w:r>
                </w:p>
              </w:tc>
              <w:tc>
                <w:tcPr>
                  <w:tcW w:w="3280" w:type="dxa"/>
                  <w:noWrap w:val="0"/>
                  <w:vAlign w:val="center"/>
                </w:tcPr>
                <w:p w14:paraId="7888FAF3">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最高允许排放浓度（mg/m³）</w:t>
                  </w:r>
                </w:p>
              </w:tc>
              <w:tc>
                <w:tcPr>
                  <w:tcW w:w="2781" w:type="dxa"/>
                  <w:noWrap w:val="0"/>
                  <w:vAlign w:val="center"/>
                </w:tcPr>
                <w:p w14:paraId="2D8B7F7C">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标准来源</w:t>
                  </w:r>
                </w:p>
              </w:tc>
            </w:tr>
            <w:tr w14:paraId="26FFF4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1272" w:type="dxa"/>
                  <w:noWrap w:val="0"/>
                  <w:vAlign w:val="center"/>
                </w:tcPr>
                <w:p w14:paraId="60EED2CC">
                  <w:pPr>
                    <w:keepNext w:val="0"/>
                    <w:keepLines w:val="0"/>
                    <w:suppressLineNumbers w:val="0"/>
                    <w:spacing w:before="0" w:beforeAutospacing="0" w:after="0" w:afterAutospacing="0"/>
                    <w:ind w:left="0" w:right="0"/>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 w:val="21"/>
                      <w:szCs w:val="21"/>
                    </w:rPr>
                    <w:t>颗粒物</w:t>
                  </w:r>
                </w:p>
              </w:tc>
              <w:tc>
                <w:tcPr>
                  <w:tcW w:w="1393" w:type="dxa"/>
                  <w:vMerge w:val="restart"/>
                  <w:noWrap w:val="0"/>
                  <w:vAlign w:val="center"/>
                </w:tcPr>
                <w:p w14:paraId="3A3BDBC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有组织</w:t>
                  </w:r>
                </w:p>
              </w:tc>
              <w:tc>
                <w:tcPr>
                  <w:tcW w:w="3280" w:type="dxa"/>
                  <w:noWrap w:val="0"/>
                  <w:vAlign w:val="center"/>
                </w:tcPr>
                <w:p w14:paraId="005AFA9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2781" w:type="dxa"/>
                  <w:vMerge w:val="restart"/>
                  <w:noWrap w:val="0"/>
                  <w:vAlign w:val="center"/>
                </w:tcPr>
                <w:p w14:paraId="33069A7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DB37/2376-2019</w:t>
                  </w:r>
                </w:p>
              </w:tc>
            </w:tr>
            <w:tr w14:paraId="62C612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1272" w:type="dxa"/>
                  <w:noWrap w:val="0"/>
                  <w:vAlign w:val="center"/>
                </w:tcPr>
                <w:p w14:paraId="58CE83CF">
                  <w:pPr>
                    <w:keepNext w:val="0"/>
                    <w:keepLines w:val="0"/>
                    <w:suppressLineNumbers w:val="0"/>
                    <w:spacing w:before="0" w:beforeAutospacing="0" w:after="0" w:afterAutospacing="0"/>
                    <w:ind w:left="0" w:right="0"/>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 w:val="21"/>
                      <w:szCs w:val="21"/>
                    </w:rPr>
                    <w:t>二氧化硫</w:t>
                  </w:r>
                </w:p>
              </w:tc>
              <w:tc>
                <w:tcPr>
                  <w:tcW w:w="1393" w:type="dxa"/>
                  <w:vMerge w:val="continue"/>
                  <w:noWrap w:val="0"/>
                  <w:vAlign w:val="center"/>
                </w:tcPr>
                <w:p w14:paraId="32890BE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p>
              </w:tc>
              <w:tc>
                <w:tcPr>
                  <w:tcW w:w="3280" w:type="dxa"/>
                  <w:noWrap w:val="0"/>
                  <w:vAlign w:val="center"/>
                </w:tcPr>
                <w:p w14:paraId="2799FF7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val="en-US" w:eastAsia="zh-CN"/>
                    </w:rPr>
                    <w:t>5</w:t>
                  </w:r>
                  <w:r>
                    <w:rPr>
                      <w:rFonts w:hint="eastAsia" w:ascii="Times New Roman" w:hAnsi="Times New Roman" w:cs="Times New Roman"/>
                      <w:color w:val="auto"/>
                      <w:szCs w:val="21"/>
                      <w:lang w:val="en-US" w:eastAsia="zh-CN"/>
                    </w:rPr>
                    <w:t>0</w:t>
                  </w:r>
                </w:p>
              </w:tc>
              <w:tc>
                <w:tcPr>
                  <w:tcW w:w="2781" w:type="dxa"/>
                  <w:vMerge w:val="continue"/>
                  <w:noWrap w:val="0"/>
                  <w:vAlign w:val="center"/>
                </w:tcPr>
                <w:p w14:paraId="06917D0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p>
              </w:tc>
            </w:tr>
            <w:tr w14:paraId="551610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1272" w:type="dxa"/>
                  <w:noWrap w:val="0"/>
                  <w:vAlign w:val="center"/>
                </w:tcPr>
                <w:p w14:paraId="568BC9FE">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氮氧化物</w:t>
                  </w:r>
                </w:p>
              </w:tc>
              <w:tc>
                <w:tcPr>
                  <w:tcW w:w="1393" w:type="dxa"/>
                  <w:vMerge w:val="continue"/>
                  <w:noWrap w:val="0"/>
                  <w:vAlign w:val="center"/>
                </w:tcPr>
                <w:p w14:paraId="310E91B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p>
              </w:tc>
              <w:tc>
                <w:tcPr>
                  <w:tcW w:w="3280" w:type="dxa"/>
                  <w:noWrap w:val="0"/>
                  <w:vAlign w:val="center"/>
                </w:tcPr>
                <w:p w14:paraId="28736E7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100</w:t>
                  </w:r>
                </w:p>
              </w:tc>
              <w:tc>
                <w:tcPr>
                  <w:tcW w:w="2781" w:type="dxa"/>
                  <w:vMerge w:val="continue"/>
                  <w:noWrap w:val="0"/>
                  <w:vAlign w:val="center"/>
                </w:tcPr>
                <w:p w14:paraId="122BB1D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p>
              </w:tc>
            </w:tr>
            <w:tr w14:paraId="687364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1272" w:type="dxa"/>
                  <w:noWrap w:val="0"/>
                  <w:vAlign w:val="center"/>
                </w:tcPr>
                <w:p w14:paraId="7810792A">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氯化氢</w:t>
                  </w:r>
                </w:p>
              </w:tc>
              <w:tc>
                <w:tcPr>
                  <w:tcW w:w="1393" w:type="dxa"/>
                  <w:vMerge w:val="continue"/>
                  <w:noWrap w:val="0"/>
                  <w:vAlign w:val="center"/>
                </w:tcPr>
                <w:p w14:paraId="1299FE0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p>
              </w:tc>
              <w:tc>
                <w:tcPr>
                  <w:tcW w:w="3280" w:type="dxa"/>
                  <w:noWrap w:val="0"/>
                  <w:vAlign w:val="center"/>
                </w:tcPr>
                <w:p w14:paraId="15AFDE0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100（0.26kg/h）</w:t>
                  </w:r>
                </w:p>
              </w:tc>
              <w:tc>
                <w:tcPr>
                  <w:tcW w:w="2781" w:type="dxa"/>
                  <w:noWrap w:val="0"/>
                  <w:vAlign w:val="center"/>
                </w:tcPr>
                <w:p w14:paraId="19EB388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kern w:val="2"/>
                      <w:sz w:val="21"/>
                      <w:szCs w:val="24"/>
                      <w:lang w:val="en-US" w:eastAsia="zh-CN" w:bidi="ar-SA"/>
                    </w:rPr>
                    <w:t>GB16297-1996</w:t>
                  </w:r>
                </w:p>
              </w:tc>
            </w:tr>
            <w:tr w14:paraId="555F81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1272" w:type="dxa"/>
                  <w:noWrap w:val="0"/>
                  <w:vAlign w:val="center"/>
                </w:tcPr>
                <w:p w14:paraId="4423E862">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氨</w:t>
                  </w:r>
                </w:p>
              </w:tc>
              <w:tc>
                <w:tcPr>
                  <w:tcW w:w="1393" w:type="dxa"/>
                  <w:vMerge w:val="continue"/>
                  <w:noWrap w:val="0"/>
                  <w:vAlign w:val="center"/>
                </w:tcPr>
                <w:p w14:paraId="6898A5D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p>
              </w:tc>
              <w:tc>
                <w:tcPr>
                  <w:tcW w:w="3280" w:type="dxa"/>
                  <w:noWrap w:val="0"/>
                  <w:vAlign w:val="center"/>
                </w:tcPr>
                <w:p w14:paraId="715928F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8</w:t>
                  </w:r>
                </w:p>
              </w:tc>
              <w:tc>
                <w:tcPr>
                  <w:tcW w:w="2781" w:type="dxa"/>
                  <w:noWrap w:val="0"/>
                  <w:vAlign w:val="center"/>
                </w:tcPr>
                <w:p w14:paraId="175F05C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lang w:val="en-US" w:eastAsia="zh-CN" w:bidi="ar-SA"/>
                    </w:rPr>
                  </w:pPr>
                  <w:r>
                    <w:rPr>
                      <w:rFonts w:hint="default" w:ascii="Times New Roman" w:hAnsi="Times New Roman" w:cs="Times New Roman"/>
                      <w:color w:val="auto"/>
                      <w:kern w:val="2"/>
                      <w:sz w:val="21"/>
                      <w:szCs w:val="24"/>
                      <w:lang w:val="en-US" w:eastAsia="zh-CN" w:bidi="ar-SA"/>
                    </w:rPr>
                    <w:t>HJ 1178-2021</w:t>
                  </w:r>
                </w:p>
              </w:tc>
            </w:tr>
            <w:tr w14:paraId="22A558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1272" w:type="dxa"/>
                  <w:noWrap w:val="0"/>
                  <w:vAlign w:val="center"/>
                </w:tcPr>
                <w:p w14:paraId="38DBEB1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rPr>
                    <w:t>颗粒物</w:t>
                  </w:r>
                </w:p>
              </w:tc>
              <w:tc>
                <w:tcPr>
                  <w:tcW w:w="1393" w:type="dxa"/>
                  <w:vMerge w:val="restart"/>
                  <w:noWrap w:val="0"/>
                  <w:vAlign w:val="center"/>
                </w:tcPr>
                <w:p w14:paraId="112900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无组织</w:t>
                  </w:r>
                </w:p>
              </w:tc>
              <w:tc>
                <w:tcPr>
                  <w:tcW w:w="3280" w:type="dxa"/>
                  <w:noWrap w:val="0"/>
                  <w:vAlign w:val="center"/>
                </w:tcPr>
                <w:p w14:paraId="46AF041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1</w:t>
                  </w:r>
                </w:p>
              </w:tc>
              <w:tc>
                <w:tcPr>
                  <w:tcW w:w="2781" w:type="dxa"/>
                  <w:vMerge w:val="restart"/>
                  <w:noWrap w:val="0"/>
                  <w:vAlign w:val="center"/>
                </w:tcPr>
                <w:p w14:paraId="50650AC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GB16297-1996</w:t>
                  </w:r>
                </w:p>
              </w:tc>
            </w:tr>
            <w:tr w14:paraId="4DFB73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1272" w:type="dxa"/>
                  <w:noWrap w:val="0"/>
                  <w:vAlign w:val="center"/>
                </w:tcPr>
                <w:p w14:paraId="03070BF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lang w:val="en-US" w:eastAsia="zh-CN"/>
                    </w:rPr>
                    <w:t>氯化氢</w:t>
                  </w:r>
                </w:p>
              </w:tc>
              <w:tc>
                <w:tcPr>
                  <w:tcW w:w="1393" w:type="dxa"/>
                  <w:vMerge w:val="continue"/>
                  <w:noWrap w:val="0"/>
                  <w:vAlign w:val="center"/>
                </w:tcPr>
                <w:p w14:paraId="6A5E3EE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p>
              </w:tc>
              <w:tc>
                <w:tcPr>
                  <w:tcW w:w="3280" w:type="dxa"/>
                  <w:noWrap w:val="0"/>
                  <w:vAlign w:val="center"/>
                </w:tcPr>
                <w:p w14:paraId="52B0ED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0.2</w:t>
                  </w:r>
                </w:p>
              </w:tc>
              <w:tc>
                <w:tcPr>
                  <w:tcW w:w="2781" w:type="dxa"/>
                  <w:vMerge w:val="continue"/>
                  <w:noWrap w:val="0"/>
                  <w:vAlign w:val="center"/>
                </w:tcPr>
                <w:p w14:paraId="4283069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lang w:val="en-US" w:eastAsia="zh-CN" w:bidi="ar-SA"/>
                    </w:rPr>
                  </w:pPr>
                </w:p>
              </w:tc>
            </w:tr>
          </w:tbl>
          <w:p w14:paraId="7EBD474E">
            <w:pPr>
              <w:keepNext w:val="0"/>
              <w:keepLines w:val="0"/>
              <w:suppressLineNumbers w:val="0"/>
              <w:snapToGrid w:val="0"/>
              <w:spacing w:before="0" w:beforeAutospacing="0" w:after="0" w:afterAutospacing="0" w:line="360" w:lineRule="auto"/>
              <w:ind w:left="0" w:right="0" w:firstLine="470" w:firstLineChars="196"/>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二、噪声</w:t>
            </w:r>
          </w:p>
          <w:p w14:paraId="051B7FCF">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营运期厂界噪声排放执行《工业企业厂界环境噪声排放标准》（GB12348-2008）</w:t>
            </w:r>
            <w:r>
              <w:rPr>
                <w:rFonts w:hint="eastAsia" w:ascii="Times New Roman" w:hAnsi="Times New Roman" w:cs="Times New Roman"/>
                <w:color w:val="auto"/>
                <w:sz w:val="24"/>
                <w:szCs w:val="32"/>
                <w:highlight w:val="none"/>
                <w:lang w:val="en-US" w:eastAsia="zh-CN"/>
              </w:rPr>
              <w:t>2</w:t>
            </w:r>
            <w:r>
              <w:rPr>
                <w:rFonts w:hint="default" w:ascii="Times New Roman" w:hAnsi="Times New Roman" w:cs="Times New Roman"/>
                <w:color w:val="auto"/>
                <w:sz w:val="24"/>
                <w:szCs w:val="32"/>
                <w:highlight w:val="none"/>
              </w:rPr>
              <w:t>类标准，具体标准见</w:t>
            </w:r>
            <w:r>
              <w:rPr>
                <w:rFonts w:hint="eastAsia" w:ascii="Times New Roman" w:hAnsi="Times New Roman" w:cs="Times New Roman"/>
                <w:color w:val="auto"/>
                <w:sz w:val="24"/>
                <w:szCs w:val="32"/>
                <w:highlight w:val="none"/>
                <w:lang w:val="en-US" w:eastAsia="zh-CN"/>
              </w:rPr>
              <w:t>下</w:t>
            </w:r>
            <w:r>
              <w:rPr>
                <w:rFonts w:hint="default" w:ascii="Times New Roman" w:hAnsi="Times New Roman" w:cs="Times New Roman"/>
                <w:color w:val="auto"/>
                <w:sz w:val="24"/>
                <w:szCs w:val="32"/>
                <w:highlight w:val="none"/>
              </w:rPr>
              <w:t>表。</w:t>
            </w:r>
          </w:p>
          <w:p w14:paraId="7136CC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表3-4《工业企业厂界环境噪声排放标准》</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682"/>
              <w:gridCol w:w="5074"/>
            </w:tblGrid>
            <w:tr w14:paraId="2C5EE2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45" w:hRule="atLeast"/>
                <w:jc w:val="center"/>
              </w:trPr>
              <w:tc>
                <w:tcPr>
                  <w:tcW w:w="3683" w:type="dxa"/>
                  <w:noWrap w:val="0"/>
                  <w:vAlign w:val="center"/>
                </w:tcPr>
                <w:p w14:paraId="7B9C8494">
                  <w:pPr>
                    <w:keepNext w:val="0"/>
                    <w:keepLines w:val="0"/>
                    <w:suppressLineNumbers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  别</w:t>
                  </w:r>
                </w:p>
              </w:tc>
              <w:tc>
                <w:tcPr>
                  <w:tcW w:w="5076" w:type="dxa"/>
                  <w:noWrap w:val="0"/>
                  <w:vAlign w:val="center"/>
                </w:tcPr>
                <w:p w14:paraId="3E6CB6B8">
                  <w:pPr>
                    <w:keepNext w:val="0"/>
                    <w:keepLines w:val="0"/>
                    <w:suppressLineNumbers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昼间Leq[dB（A）]</w:t>
                  </w:r>
                </w:p>
              </w:tc>
            </w:tr>
            <w:tr w14:paraId="4E1D13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49" w:hRule="atLeast"/>
                <w:jc w:val="center"/>
              </w:trPr>
              <w:tc>
                <w:tcPr>
                  <w:tcW w:w="3683" w:type="dxa"/>
                  <w:noWrap w:val="0"/>
                  <w:vAlign w:val="center"/>
                </w:tcPr>
                <w:p w14:paraId="46A27F1A">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w:t>
                  </w:r>
                </w:p>
              </w:tc>
              <w:tc>
                <w:tcPr>
                  <w:tcW w:w="5076" w:type="dxa"/>
                  <w:noWrap w:val="0"/>
                  <w:vAlign w:val="center"/>
                </w:tcPr>
                <w:p w14:paraId="5790EC61">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w:t>
                  </w:r>
                </w:p>
              </w:tc>
            </w:tr>
          </w:tbl>
          <w:p w14:paraId="3BF67030">
            <w:pPr>
              <w:pStyle w:val="78"/>
              <w:keepNext w:val="0"/>
              <w:keepLines w:val="0"/>
              <w:numPr>
                <w:ilvl w:val="0"/>
                <w:numId w:val="6"/>
              </w:numPr>
              <w:suppressLineNumbers w:val="0"/>
              <w:spacing w:before="0" w:beforeAutospacing="0" w:after="0" w:afterAutospacing="0" w:line="360" w:lineRule="auto"/>
              <w:ind w:left="0" w:right="0" w:firstLine="480"/>
              <w:jc w:val="both"/>
              <w:rPr>
                <w:rFonts w:hint="default" w:ascii="Times New Roman" w:hAnsi="Times New Roman" w:cs="Times New Roman"/>
                <w:color w:val="auto"/>
                <w:szCs w:val="32"/>
                <w:highlight w:val="none"/>
              </w:rPr>
            </w:pPr>
            <w:r>
              <w:rPr>
                <w:rFonts w:hint="eastAsia" w:ascii="Times New Roman" w:hAnsi="Times New Roman" w:cs="Times New Roman"/>
                <w:color w:val="auto"/>
                <w:szCs w:val="32"/>
                <w:highlight w:val="none"/>
                <w:lang w:val="en-US" w:eastAsia="zh-CN"/>
              </w:rPr>
              <w:t>废水</w:t>
            </w:r>
          </w:p>
          <w:p w14:paraId="7F2F5B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sz w:val="24"/>
                <w:szCs w:val="24"/>
                <w:highlight w:val="none"/>
                <w:lang w:val="en-US" w:eastAsia="zh-CN"/>
              </w:rPr>
            </w:pPr>
            <w:r>
              <w:rPr>
                <w:rFonts w:hint="default" w:ascii="Times New Roman" w:hAnsi="Times New Roman" w:cs="Times New Roman"/>
                <w:color w:val="auto"/>
                <w:sz w:val="24"/>
                <w:szCs w:val="24"/>
                <w:highlight w:val="none"/>
              </w:rPr>
              <w:t>营运期</w:t>
            </w:r>
            <w:r>
              <w:rPr>
                <w:rFonts w:hint="default" w:ascii="Times New Roman" w:hAnsi="Times New Roman" w:eastAsia="宋体" w:cs="Times New Roman"/>
                <w:bCs/>
                <w:sz w:val="24"/>
                <w:szCs w:val="24"/>
                <w:highlight w:val="none"/>
                <w:lang w:val="en-US" w:eastAsia="zh-CN"/>
              </w:rPr>
              <w:t>项目废水通过市政管网排入</w:t>
            </w:r>
            <w:r>
              <w:rPr>
                <w:rFonts w:hint="eastAsia" w:ascii="Times New Roman" w:hAnsi="Times New Roman" w:eastAsia="宋体" w:cs="Times New Roman"/>
                <w:bCs/>
                <w:sz w:val="24"/>
                <w:szCs w:val="24"/>
                <w:highlight w:val="none"/>
                <w:lang w:val="en-US" w:eastAsia="zh-CN"/>
              </w:rPr>
              <w:t>葛洲坝水务淄博淄川有限公司</w:t>
            </w:r>
            <w:r>
              <w:rPr>
                <w:rFonts w:hint="default" w:ascii="Times New Roman" w:hAnsi="Times New Roman" w:eastAsia="宋体" w:cs="Times New Roman"/>
                <w:bCs/>
                <w:sz w:val="24"/>
                <w:szCs w:val="24"/>
                <w:highlight w:val="none"/>
                <w:lang w:val="en-US" w:eastAsia="zh-CN"/>
              </w:rPr>
              <w:t>，污水排放执行《污水综合排放标准》（GB 8978-1996）表4中三级标准及</w:t>
            </w:r>
            <w:r>
              <w:rPr>
                <w:rFonts w:hint="default" w:ascii="Times New Roman" w:hAnsi="Times New Roman" w:eastAsia="宋体" w:cs="Times New Roman"/>
                <w:color w:val="auto"/>
                <w:sz w:val="24"/>
                <w:szCs w:val="24"/>
              </w:rPr>
              <w:t>光大水务（淄博）有限公司水质净化三分厂进水水质要求</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全盐量参照《流域水污染物综合排放标准 第3部分：小清河流域》表2中全盐量限值要求</w:t>
            </w:r>
            <w:r>
              <w:rPr>
                <w:rFonts w:hint="default" w:ascii="Times New Roman" w:hAnsi="Times New Roman" w:eastAsia="宋体" w:cs="Times New Roman"/>
                <w:bCs/>
                <w:sz w:val="24"/>
                <w:szCs w:val="24"/>
                <w:highlight w:val="none"/>
                <w:lang w:val="en-US" w:eastAsia="zh-CN"/>
              </w:rPr>
              <w:t>。</w:t>
            </w:r>
          </w:p>
          <w:p w14:paraId="298804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
                <w:sz w:val="21"/>
                <w:szCs w:val="21"/>
                <w:highlight w:val="none"/>
              </w:rPr>
              <w:t>表</w:t>
            </w:r>
            <w:r>
              <w:rPr>
                <w:rFonts w:hint="default" w:ascii="Times New Roman" w:hAnsi="Times New Roman" w:eastAsia="宋体" w:cs="Times New Roman"/>
                <w:b/>
                <w:sz w:val="21"/>
                <w:szCs w:val="21"/>
                <w:highlight w:val="none"/>
                <w:lang w:val="en-US" w:eastAsia="zh-CN"/>
              </w:rPr>
              <w:t>3-</w:t>
            </w:r>
            <w:r>
              <w:rPr>
                <w:rFonts w:hint="eastAsia" w:ascii="Times New Roman" w:hAnsi="Times New Roman" w:eastAsia="宋体" w:cs="Times New Roman"/>
                <w:b/>
                <w:sz w:val="21"/>
                <w:szCs w:val="21"/>
                <w:highlight w:val="none"/>
                <w:lang w:val="en-US" w:eastAsia="zh-CN"/>
              </w:rPr>
              <w:t>5</w:t>
            </w:r>
            <w:r>
              <w:rPr>
                <w:rFonts w:hint="default" w:ascii="Times New Roman" w:hAnsi="Times New Roman" w:eastAsia="宋体" w:cs="Times New Roman"/>
                <w:b/>
                <w:sz w:val="21"/>
                <w:szCs w:val="21"/>
                <w:highlight w:val="none"/>
              </w:rPr>
              <w:t>废</w:t>
            </w:r>
            <w:r>
              <w:rPr>
                <w:rFonts w:hint="default" w:ascii="Times New Roman" w:hAnsi="Times New Roman" w:eastAsia="宋体" w:cs="Times New Roman"/>
                <w:b/>
                <w:sz w:val="21"/>
                <w:szCs w:val="21"/>
                <w:highlight w:val="none"/>
                <w:lang w:eastAsia="zh-CN"/>
              </w:rPr>
              <w:t>水</w:t>
            </w:r>
            <w:r>
              <w:rPr>
                <w:rFonts w:hint="default" w:ascii="Times New Roman" w:hAnsi="Times New Roman" w:eastAsia="宋体" w:cs="Times New Roman"/>
                <w:b/>
                <w:sz w:val="21"/>
                <w:szCs w:val="21"/>
                <w:highlight w:val="none"/>
              </w:rPr>
              <w:t>污染物排放标准</w:t>
            </w:r>
          </w:p>
          <w:tbl>
            <w:tblPr>
              <w:tblStyle w:val="32"/>
              <w:tblW w:w="4871"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0" w:type="dxa"/>
                <w:bottom w:w="0" w:type="dxa"/>
                <w:right w:w="0" w:type="dxa"/>
              </w:tblCellMar>
            </w:tblPr>
            <w:tblGrid>
              <w:gridCol w:w="1401"/>
              <w:gridCol w:w="1429"/>
              <w:gridCol w:w="1994"/>
              <w:gridCol w:w="1995"/>
              <w:gridCol w:w="1700"/>
            </w:tblGrid>
            <w:tr w14:paraId="7E5244D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89" w:hRule="atLeast"/>
                <w:jc w:val="center"/>
              </w:trPr>
              <w:tc>
                <w:tcPr>
                  <w:tcW w:w="822" w:type="pct"/>
                  <w:noWrap w:val="0"/>
                  <w:vAlign w:val="center"/>
                </w:tcPr>
                <w:p w14:paraId="719F851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项目</w:t>
                  </w:r>
                </w:p>
              </w:tc>
              <w:tc>
                <w:tcPr>
                  <w:tcW w:w="838" w:type="pct"/>
                  <w:noWrap w:val="0"/>
                  <w:vAlign w:val="center"/>
                </w:tcPr>
                <w:p w14:paraId="5541BCA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污水厂进水水质标准限值（</w:t>
                  </w:r>
                  <w:r>
                    <w:rPr>
                      <w:rFonts w:hint="default" w:ascii="Times New Roman" w:hAnsi="Times New Roman" w:eastAsia="宋体" w:cs="Times New Roman"/>
                      <w:sz w:val="21"/>
                      <w:szCs w:val="21"/>
                      <w:highlight w:val="none"/>
                      <w:lang w:val="en-US" w:eastAsia="zh-CN"/>
                    </w:rPr>
                    <w:t>mg/L</w:t>
                  </w:r>
                  <w:r>
                    <w:rPr>
                      <w:rFonts w:hint="eastAsia" w:ascii="Times New Roman" w:hAnsi="Times New Roman" w:eastAsia="宋体" w:cs="Times New Roman"/>
                      <w:sz w:val="21"/>
                      <w:szCs w:val="21"/>
                      <w:highlight w:val="none"/>
                      <w:lang w:val="en-US" w:eastAsia="zh-CN"/>
                    </w:rPr>
                    <w:t>）</w:t>
                  </w:r>
                </w:p>
              </w:tc>
              <w:tc>
                <w:tcPr>
                  <w:tcW w:w="1170" w:type="pct"/>
                  <w:noWrap w:val="0"/>
                  <w:vAlign w:val="center"/>
                </w:tcPr>
                <w:p w14:paraId="184CCFC6">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流域水污染物综合排放标准 第3部分：小清河流域（mg/L）</w:t>
                  </w:r>
                </w:p>
              </w:tc>
              <w:tc>
                <w:tcPr>
                  <w:tcW w:w="1170" w:type="pct"/>
                  <w:noWrap w:val="0"/>
                  <w:vAlign w:val="center"/>
                </w:tcPr>
                <w:p w14:paraId="6AF9B83E">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污水综合排放标准（mg/L）</w:t>
                  </w:r>
                </w:p>
              </w:tc>
              <w:tc>
                <w:tcPr>
                  <w:tcW w:w="997" w:type="pct"/>
                  <w:noWrap w:val="0"/>
                  <w:vAlign w:val="center"/>
                </w:tcPr>
                <w:p w14:paraId="6D03F46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本项目执行执行标准（mg/L）</w:t>
                  </w:r>
                </w:p>
              </w:tc>
            </w:tr>
            <w:tr w14:paraId="3617460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202" w:hRule="atLeast"/>
                <w:jc w:val="center"/>
              </w:trPr>
              <w:tc>
                <w:tcPr>
                  <w:tcW w:w="822" w:type="pct"/>
                  <w:noWrap w:val="0"/>
                  <w:vAlign w:val="center"/>
                </w:tcPr>
                <w:p w14:paraId="5629B03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pH</w:t>
                  </w:r>
                </w:p>
              </w:tc>
              <w:tc>
                <w:tcPr>
                  <w:tcW w:w="838" w:type="pct"/>
                  <w:noWrap w:val="0"/>
                  <w:vAlign w:val="center"/>
                </w:tcPr>
                <w:p w14:paraId="0FAD6D9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6.5-9.5</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无量纲</w:t>
                  </w:r>
                  <w:r>
                    <w:rPr>
                      <w:rFonts w:hint="eastAsia" w:ascii="Times New Roman" w:hAnsi="Times New Roman" w:cs="Times New Roman"/>
                      <w:sz w:val="21"/>
                      <w:szCs w:val="21"/>
                      <w:lang w:eastAsia="zh-CN"/>
                    </w:rPr>
                    <w:t>）</w:t>
                  </w:r>
                </w:p>
              </w:tc>
              <w:tc>
                <w:tcPr>
                  <w:tcW w:w="1170" w:type="pct"/>
                  <w:noWrap w:val="0"/>
                  <w:vAlign w:val="center"/>
                </w:tcPr>
                <w:p w14:paraId="1E25690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w:t>
                  </w:r>
                </w:p>
              </w:tc>
              <w:tc>
                <w:tcPr>
                  <w:tcW w:w="1170" w:type="pct"/>
                  <w:noWrap w:val="0"/>
                  <w:vAlign w:val="center"/>
                </w:tcPr>
                <w:p w14:paraId="20E9E75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6-9</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无量纲</w:t>
                  </w:r>
                  <w:r>
                    <w:rPr>
                      <w:rFonts w:hint="eastAsia" w:ascii="Times New Roman" w:hAnsi="Times New Roman" w:cs="Times New Roman"/>
                      <w:sz w:val="21"/>
                      <w:szCs w:val="21"/>
                      <w:lang w:eastAsia="zh-CN"/>
                    </w:rPr>
                    <w:t>）</w:t>
                  </w:r>
                </w:p>
              </w:tc>
              <w:tc>
                <w:tcPr>
                  <w:tcW w:w="997" w:type="pct"/>
                  <w:noWrap w:val="0"/>
                  <w:vAlign w:val="center"/>
                </w:tcPr>
                <w:p w14:paraId="694062D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6-9</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无量纲</w:t>
                  </w:r>
                  <w:r>
                    <w:rPr>
                      <w:rFonts w:hint="eastAsia" w:ascii="Times New Roman" w:hAnsi="Times New Roman" w:cs="Times New Roman"/>
                      <w:sz w:val="21"/>
                      <w:szCs w:val="21"/>
                      <w:lang w:eastAsia="zh-CN"/>
                    </w:rPr>
                    <w:t>）</w:t>
                  </w:r>
                </w:p>
              </w:tc>
            </w:tr>
            <w:tr w14:paraId="465326F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202" w:hRule="atLeast"/>
                <w:jc w:val="center"/>
              </w:trPr>
              <w:tc>
                <w:tcPr>
                  <w:tcW w:w="822" w:type="pct"/>
                  <w:noWrap w:val="0"/>
                  <w:vAlign w:val="center"/>
                </w:tcPr>
                <w:p w14:paraId="762A7E0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COD</w:t>
                  </w:r>
                </w:p>
              </w:tc>
              <w:tc>
                <w:tcPr>
                  <w:tcW w:w="838" w:type="pct"/>
                  <w:noWrap w:val="0"/>
                  <w:vAlign w:val="center"/>
                </w:tcPr>
                <w:p w14:paraId="244159B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500</w:t>
                  </w:r>
                </w:p>
              </w:tc>
              <w:tc>
                <w:tcPr>
                  <w:tcW w:w="1170" w:type="pct"/>
                  <w:noWrap w:val="0"/>
                  <w:vAlign w:val="center"/>
                </w:tcPr>
                <w:p w14:paraId="1C4A3DA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w:t>
                  </w:r>
                </w:p>
              </w:tc>
              <w:tc>
                <w:tcPr>
                  <w:tcW w:w="1170" w:type="pct"/>
                  <w:noWrap w:val="0"/>
                  <w:vAlign w:val="center"/>
                </w:tcPr>
                <w:p w14:paraId="54970B6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500</w:t>
                  </w:r>
                </w:p>
              </w:tc>
              <w:tc>
                <w:tcPr>
                  <w:tcW w:w="997" w:type="pct"/>
                  <w:noWrap w:val="0"/>
                  <w:vAlign w:val="center"/>
                </w:tcPr>
                <w:p w14:paraId="36479558">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500</w:t>
                  </w:r>
                </w:p>
              </w:tc>
            </w:tr>
            <w:tr w14:paraId="1346038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236" w:hRule="atLeast"/>
                <w:jc w:val="center"/>
              </w:trPr>
              <w:tc>
                <w:tcPr>
                  <w:tcW w:w="822" w:type="pct"/>
                  <w:noWrap w:val="0"/>
                  <w:vAlign w:val="center"/>
                </w:tcPr>
                <w:p w14:paraId="1363AA1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氨氮</w:t>
                  </w:r>
                </w:p>
              </w:tc>
              <w:tc>
                <w:tcPr>
                  <w:tcW w:w="838" w:type="pct"/>
                  <w:noWrap w:val="0"/>
                  <w:vAlign w:val="center"/>
                </w:tcPr>
                <w:p w14:paraId="03092B2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45</w:t>
                  </w:r>
                </w:p>
              </w:tc>
              <w:tc>
                <w:tcPr>
                  <w:tcW w:w="1170" w:type="pct"/>
                  <w:noWrap w:val="0"/>
                  <w:vAlign w:val="center"/>
                </w:tcPr>
                <w:p w14:paraId="2C0C1E3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w:t>
                  </w:r>
                </w:p>
              </w:tc>
              <w:tc>
                <w:tcPr>
                  <w:tcW w:w="1170" w:type="pct"/>
                  <w:noWrap w:val="0"/>
                  <w:vAlign w:val="center"/>
                </w:tcPr>
                <w:p w14:paraId="38258E8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w:t>
                  </w:r>
                </w:p>
              </w:tc>
              <w:tc>
                <w:tcPr>
                  <w:tcW w:w="997" w:type="pct"/>
                  <w:noWrap w:val="0"/>
                  <w:vAlign w:val="center"/>
                </w:tcPr>
                <w:p w14:paraId="6F12CE6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45</w:t>
                  </w:r>
                </w:p>
              </w:tc>
            </w:tr>
            <w:tr w14:paraId="0451293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236" w:hRule="atLeast"/>
                <w:jc w:val="center"/>
              </w:trPr>
              <w:tc>
                <w:tcPr>
                  <w:tcW w:w="822" w:type="pct"/>
                  <w:noWrap w:val="0"/>
                  <w:vAlign w:val="center"/>
                </w:tcPr>
                <w:p w14:paraId="3BFB497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SS</w:t>
                  </w:r>
                </w:p>
              </w:tc>
              <w:tc>
                <w:tcPr>
                  <w:tcW w:w="838" w:type="pct"/>
                  <w:noWrap w:val="0"/>
                  <w:vAlign w:val="center"/>
                </w:tcPr>
                <w:p w14:paraId="391F7FE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400</w:t>
                  </w:r>
                </w:p>
              </w:tc>
              <w:tc>
                <w:tcPr>
                  <w:tcW w:w="1170" w:type="pct"/>
                  <w:noWrap w:val="0"/>
                  <w:vAlign w:val="center"/>
                </w:tcPr>
                <w:p w14:paraId="7A372EA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w:t>
                  </w:r>
                </w:p>
              </w:tc>
              <w:tc>
                <w:tcPr>
                  <w:tcW w:w="1170" w:type="pct"/>
                  <w:noWrap w:val="0"/>
                  <w:vAlign w:val="center"/>
                </w:tcPr>
                <w:p w14:paraId="2A9A3C8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400</w:t>
                  </w:r>
                </w:p>
              </w:tc>
              <w:tc>
                <w:tcPr>
                  <w:tcW w:w="997" w:type="pct"/>
                  <w:noWrap w:val="0"/>
                  <w:vAlign w:val="center"/>
                </w:tcPr>
                <w:p w14:paraId="5AD714F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400</w:t>
                  </w:r>
                </w:p>
              </w:tc>
            </w:tr>
            <w:tr w14:paraId="64D2454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256" w:hRule="atLeast"/>
                <w:jc w:val="center"/>
              </w:trPr>
              <w:tc>
                <w:tcPr>
                  <w:tcW w:w="822" w:type="pct"/>
                  <w:noWrap w:val="0"/>
                  <w:vAlign w:val="center"/>
                </w:tcPr>
                <w:p w14:paraId="60860C6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全盐量</w:t>
                  </w:r>
                </w:p>
              </w:tc>
              <w:tc>
                <w:tcPr>
                  <w:tcW w:w="838" w:type="pct"/>
                  <w:noWrap w:val="0"/>
                  <w:vAlign w:val="center"/>
                </w:tcPr>
                <w:p w14:paraId="5E6B97B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w:t>
                  </w:r>
                </w:p>
              </w:tc>
              <w:tc>
                <w:tcPr>
                  <w:tcW w:w="1170" w:type="pct"/>
                  <w:noWrap w:val="0"/>
                  <w:vAlign w:val="center"/>
                </w:tcPr>
                <w:p w14:paraId="06CBFC6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3000</w:t>
                  </w:r>
                </w:p>
              </w:tc>
              <w:tc>
                <w:tcPr>
                  <w:tcW w:w="1170" w:type="pct"/>
                  <w:noWrap w:val="0"/>
                  <w:vAlign w:val="center"/>
                </w:tcPr>
                <w:p w14:paraId="7E61062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w:t>
                  </w:r>
                </w:p>
              </w:tc>
              <w:tc>
                <w:tcPr>
                  <w:tcW w:w="997" w:type="pct"/>
                  <w:noWrap w:val="0"/>
                  <w:vAlign w:val="center"/>
                </w:tcPr>
                <w:p w14:paraId="3E9A049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3000</w:t>
                  </w:r>
                </w:p>
              </w:tc>
            </w:tr>
          </w:tbl>
          <w:p w14:paraId="726907CA">
            <w:pPr>
              <w:pStyle w:val="78"/>
              <w:keepNext w:val="0"/>
              <w:keepLines w:val="0"/>
              <w:numPr>
                <w:ilvl w:val="0"/>
                <w:numId w:val="6"/>
              </w:numPr>
              <w:suppressLineNumbers w:val="0"/>
              <w:spacing w:before="0" w:beforeAutospacing="0" w:after="0" w:afterAutospacing="0" w:line="360" w:lineRule="auto"/>
              <w:ind w:left="0" w:right="0" w:firstLine="480"/>
              <w:jc w:val="both"/>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固废</w:t>
            </w:r>
          </w:p>
          <w:p w14:paraId="003807F3">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rPr>
            </w:pPr>
            <w:r>
              <w:rPr>
                <w:rFonts w:hint="default" w:ascii="Times New Roman" w:hAnsi="Times New Roman" w:eastAsia="宋体" w:cs="Times New Roman"/>
                <w:color w:val="auto"/>
                <w:sz w:val="24"/>
                <w:szCs w:val="32"/>
                <w:highlight w:val="none"/>
              </w:rPr>
              <w:t>一般固体废物参照《中华人民共和国固体废物污染环境防治法》</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中华人民共和国主席令第四十三号)的要求妥善处理，贮存过程应满足相应防渗漏、防雨淋、防扬尘等环境保护要求。危险废物贮存执行《危险废物贮存污染控制标准》（GB18597-2023），转移执行《危险废物转移管理办法》。</w:t>
            </w:r>
          </w:p>
        </w:tc>
      </w:tr>
      <w:tr w14:paraId="1BFDFA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37" w:hRule="atLeast"/>
          <w:jc w:val="center"/>
        </w:trPr>
        <w:tc>
          <w:tcPr>
            <w:tcW w:w="800" w:type="dxa"/>
            <w:noWrap w:val="0"/>
            <w:vAlign w:val="center"/>
          </w:tcPr>
          <w:p w14:paraId="44F1537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2F08115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3F3A214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8190" w:type="dxa"/>
            <w:noWrap w:val="0"/>
            <w:vAlign w:val="center"/>
          </w:tcPr>
          <w:p w14:paraId="40FAA5F4">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rPr>
              <w:t>本项目废水主要为职工生活污水</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压滤废水、</w:t>
            </w:r>
            <w:r>
              <w:rPr>
                <w:rFonts w:hint="eastAsia" w:ascii="Times New Roman" w:hAnsi="Times New Roman" w:eastAsia="宋体" w:cs="Times New Roman"/>
                <w:color w:val="auto"/>
                <w:sz w:val="24"/>
                <w:szCs w:val="32"/>
                <w:highlight w:val="none"/>
                <w:lang w:val="en-US" w:eastAsia="zh-CN"/>
              </w:rPr>
              <w:t>水喷淋废水</w:t>
            </w:r>
            <w:r>
              <w:rPr>
                <w:rFonts w:hint="default"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生活污水经化粪池处理</w:t>
            </w:r>
            <w:r>
              <w:rPr>
                <w:rFonts w:hint="default" w:ascii="Times New Roman" w:hAnsi="Times New Roman" w:eastAsia="宋体" w:cs="Times New Roman"/>
                <w:color w:val="auto"/>
                <w:sz w:val="24"/>
                <w:szCs w:val="32"/>
                <w:highlight w:val="none"/>
                <w:lang w:val="en-US" w:eastAsia="zh-CN"/>
              </w:rPr>
              <w:t>，压滤废水、</w:t>
            </w:r>
            <w:r>
              <w:rPr>
                <w:rFonts w:hint="eastAsia" w:ascii="Times New Roman" w:hAnsi="Times New Roman" w:eastAsia="宋体" w:cs="Times New Roman"/>
                <w:color w:val="auto"/>
                <w:sz w:val="24"/>
                <w:szCs w:val="32"/>
                <w:highlight w:val="none"/>
                <w:lang w:val="en-US" w:eastAsia="zh-CN"/>
              </w:rPr>
              <w:t>水喷淋废水</w:t>
            </w:r>
            <w:r>
              <w:rPr>
                <w:rFonts w:hint="default" w:ascii="Times New Roman" w:hAnsi="Times New Roman" w:eastAsia="宋体" w:cs="Times New Roman"/>
                <w:color w:val="auto"/>
                <w:sz w:val="24"/>
                <w:szCs w:val="32"/>
                <w:highlight w:val="none"/>
                <w:lang w:val="en-US" w:eastAsia="zh-CN"/>
              </w:rPr>
              <w:t>通过厂区污水设备处理达标后，与生活污水一同经污水管网排入至葛洲坝水务淄博淄川有限公司</w:t>
            </w:r>
            <w:r>
              <w:rPr>
                <w:rFonts w:hint="eastAsia" w:ascii="Times New Roman" w:hAnsi="Times New Roman" w:eastAsia="宋体" w:cs="Times New Roman"/>
                <w:color w:val="auto"/>
                <w:sz w:val="24"/>
                <w:szCs w:val="32"/>
                <w:highlight w:val="none"/>
                <w:lang w:eastAsia="zh-CN"/>
              </w:rPr>
              <w:t>，</w:t>
            </w:r>
            <w:r>
              <w:rPr>
                <w:rFonts w:hint="eastAsia" w:ascii="Times New Roman" w:hAnsi="Times New Roman" w:eastAsia="宋体" w:cs="Times New Roman"/>
                <w:color w:val="auto"/>
                <w:sz w:val="24"/>
                <w:szCs w:val="32"/>
                <w:highlight w:val="none"/>
                <w:lang w:val="en-US" w:eastAsia="zh-CN"/>
              </w:rPr>
              <w:t>COD（内控）排放量为0.035t/a、氨氮（内控）0.003t/a，纳入</w:t>
            </w:r>
            <w:r>
              <w:rPr>
                <w:rFonts w:hint="default" w:ascii="Times New Roman" w:hAnsi="Times New Roman" w:eastAsia="宋体" w:cs="Times New Roman"/>
                <w:color w:val="auto"/>
                <w:sz w:val="24"/>
                <w:szCs w:val="32"/>
                <w:highlight w:val="none"/>
                <w:lang w:val="en-US" w:eastAsia="zh-CN"/>
              </w:rPr>
              <w:t>葛洲坝水务淄博淄川有限公司</w:t>
            </w:r>
            <w:r>
              <w:rPr>
                <w:rFonts w:hint="eastAsia" w:ascii="Times New Roman" w:hAnsi="Times New Roman" w:eastAsia="宋体" w:cs="Times New Roman"/>
                <w:color w:val="auto"/>
                <w:sz w:val="24"/>
                <w:szCs w:val="32"/>
                <w:highlight w:val="none"/>
                <w:lang w:val="en-US" w:eastAsia="zh-CN"/>
              </w:rPr>
              <w:t>内控指标；</w:t>
            </w:r>
          </w:p>
          <w:p w14:paraId="7E2465BC">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根据工程分析可知，本项目有组织颗粒物排放量为</w:t>
            </w:r>
            <w:r>
              <w:rPr>
                <w:rFonts w:hint="eastAsia" w:ascii="Times New Roman" w:hAnsi="Times New Roman" w:eastAsia="宋体" w:cs="Times New Roman"/>
                <w:color w:val="auto"/>
                <w:sz w:val="24"/>
                <w:szCs w:val="32"/>
                <w:highlight w:val="none"/>
                <w:lang w:val="en-US" w:eastAsia="zh-CN"/>
              </w:rPr>
              <w:t>0.042</w:t>
            </w:r>
            <w:r>
              <w:rPr>
                <w:rFonts w:hint="default" w:ascii="Times New Roman" w:hAnsi="Times New Roman" w:eastAsia="宋体" w:cs="Times New Roman"/>
                <w:color w:val="auto"/>
                <w:sz w:val="24"/>
                <w:szCs w:val="32"/>
                <w:highlight w:val="none"/>
              </w:rPr>
              <w:t>t/a；有组织</w:t>
            </w:r>
            <w:r>
              <w:rPr>
                <w:rFonts w:hint="eastAsia" w:ascii="Times New Roman" w:hAnsi="Times New Roman" w:eastAsia="宋体" w:cs="Times New Roman"/>
                <w:color w:val="auto"/>
                <w:sz w:val="24"/>
                <w:szCs w:val="32"/>
                <w:highlight w:val="none"/>
                <w:lang w:val="en-US" w:eastAsia="zh-CN"/>
              </w:rPr>
              <w:t>二氧化硫</w:t>
            </w:r>
            <w:r>
              <w:rPr>
                <w:rFonts w:hint="default" w:ascii="Times New Roman" w:hAnsi="Times New Roman" w:eastAsia="宋体" w:cs="Times New Roman"/>
                <w:color w:val="auto"/>
                <w:sz w:val="24"/>
                <w:szCs w:val="32"/>
                <w:highlight w:val="none"/>
              </w:rPr>
              <w:t>排放量为</w:t>
            </w:r>
            <w:r>
              <w:rPr>
                <w:rFonts w:hint="eastAsia" w:ascii="Times New Roman" w:hAnsi="Times New Roman" w:eastAsia="宋体" w:cs="Times New Roman"/>
                <w:color w:val="auto"/>
                <w:sz w:val="24"/>
                <w:szCs w:val="32"/>
                <w:highlight w:val="none"/>
                <w:lang w:val="en-US" w:eastAsia="zh-CN"/>
              </w:rPr>
              <w:t>0.136</w:t>
            </w:r>
            <w:r>
              <w:rPr>
                <w:rFonts w:hint="default" w:ascii="Times New Roman" w:hAnsi="Times New Roman" w:eastAsia="宋体" w:cs="Times New Roman"/>
                <w:color w:val="auto"/>
                <w:sz w:val="24"/>
                <w:szCs w:val="32"/>
                <w:highlight w:val="none"/>
              </w:rPr>
              <w:t>t/a</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有组织</w:t>
            </w:r>
            <w:r>
              <w:rPr>
                <w:rFonts w:hint="eastAsia" w:ascii="Times New Roman" w:hAnsi="Times New Roman" w:eastAsia="宋体" w:cs="Times New Roman"/>
                <w:color w:val="auto"/>
                <w:sz w:val="24"/>
                <w:szCs w:val="32"/>
                <w:highlight w:val="none"/>
                <w:lang w:val="en-US" w:eastAsia="zh-CN"/>
              </w:rPr>
              <w:t>氮氧化物</w:t>
            </w:r>
            <w:r>
              <w:rPr>
                <w:rFonts w:hint="default" w:ascii="Times New Roman" w:hAnsi="Times New Roman" w:eastAsia="宋体" w:cs="Times New Roman"/>
                <w:color w:val="auto"/>
                <w:sz w:val="24"/>
                <w:szCs w:val="32"/>
                <w:highlight w:val="none"/>
              </w:rPr>
              <w:t>排放量为</w:t>
            </w:r>
            <w:r>
              <w:rPr>
                <w:rFonts w:hint="eastAsia" w:ascii="Times New Roman" w:hAnsi="Times New Roman" w:eastAsia="宋体" w:cs="Times New Roman"/>
                <w:color w:val="auto"/>
                <w:sz w:val="24"/>
                <w:szCs w:val="32"/>
                <w:highlight w:val="none"/>
                <w:lang w:val="en-US" w:eastAsia="zh-CN"/>
              </w:rPr>
              <w:t>0.513</w:t>
            </w:r>
            <w:r>
              <w:rPr>
                <w:rFonts w:hint="default" w:ascii="Times New Roman" w:hAnsi="Times New Roman" w:eastAsia="宋体" w:cs="Times New Roman"/>
                <w:color w:val="auto"/>
                <w:sz w:val="24"/>
                <w:szCs w:val="32"/>
                <w:highlight w:val="none"/>
              </w:rPr>
              <w:t>t/a；</w:t>
            </w:r>
          </w:p>
          <w:p w14:paraId="0F8F8806">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由于本项目属于</w:t>
            </w:r>
            <w:r>
              <w:rPr>
                <w:rFonts w:hint="default" w:ascii="Times New Roman" w:hAnsi="Times New Roman" w:eastAsia="宋体" w:cs="Times New Roman"/>
                <w:color w:val="auto"/>
                <w:sz w:val="24"/>
                <w:szCs w:val="32"/>
                <w:highlight w:val="none"/>
                <w:lang w:eastAsia="zh-CN"/>
              </w:rPr>
              <w:t>新建</w:t>
            </w:r>
            <w:r>
              <w:rPr>
                <w:rFonts w:hint="default" w:ascii="Times New Roman" w:hAnsi="Times New Roman" w:eastAsia="宋体" w:cs="Times New Roman"/>
                <w:color w:val="auto"/>
                <w:sz w:val="24"/>
                <w:szCs w:val="32"/>
                <w:highlight w:val="none"/>
              </w:rPr>
              <w:t>项目，</w:t>
            </w:r>
            <w:r>
              <w:rPr>
                <w:rFonts w:hint="default" w:ascii="Times New Roman" w:hAnsi="Times New Roman" w:eastAsia="宋体" w:cs="Times New Roman"/>
                <w:color w:val="auto"/>
                <w:sz w:val="24"/>
                <w:szCs w:val="32"/>
                <w:highlight w:val="none"/>
                <w:lang w:eastAsia="zh-CN"/>
              </w:rPr>
              <w:t>需</w:t>
            </w:r>
            <w:r>
              <w:rPr>
                <w:rFonts w:hint="default" w:ascii="Times New Roman" w:hAnsi="Times New Roman" w:eastAsia="宋体" w:cs="Times New Roman"/>
                <w:color w:val="auto"/>
                <w:sz w:val="24"/>
                <w:szCs w:val="32"/>
                <w:highlight w:val="none"/>
              </w:rPr>
              <w:t>申请总量颗粒物</w:t>
            </w:r>
            <w:r>
              <w:rPr>
                <w:rFonts w:hint="eastAsia" w:ascii="Times New Roman" w:hAnsi="Times New Roman" w:eastAsia="宋体" w:cs="Times New Roman"/>
                <w:color w:val="auto"/>
                <w:sz w:val="24"/>
                <w:szCs w:val="32"/>
                <w:highlight w:val="none"/>
                <w:lang w:val="en-US" w:eastAsia="zh-CN"/>
              </w:rPr>
              <w:t>0.042</w:t>
            </w:r>
            <w:r>
              <w:rPr>
                <w:rFonts w:hint="default" w:ascii="Times New Roman" w:hAnsi="Times New Roman" w:eastAsia="宋体" w:cs="Times New Roman"/>
                <w:color w:val="auto"/>
                <w:sz w:val="24"/>
                <w:szCs w:val="32"/>
                <w:highlight w:val="none"/>
              </w:rPr>
              <w:t>t/a；</w:t>
            </w:r>
            <w:r>
              <w:rPr>
                <w:rFonts w:hint="eastAsia" w:ascii="Times New Roman" w:hAnsi="Times New Roman" w:eastAsia="宋体" w:cs="Times New Roman"/>
                <w:color w:val="auto"/>
                <w:sz w:val="24"/>
                <w:szCs w:val="32"/>
                <w:highlight w:val="none"/>
                <w:lang w:val="en-US" w:eastAsia="zh-CN"/>
              </w:rPr>
              <w:t>二氧化硫</w:t>
            </w:r>
            <w:r>
              <w:rPr>
                <w:rFonts w:hint="default"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0.136</w:t>
            </w:r>
            <w:r>
              <w:rPr>
                <w:rFonts w:hint="default" w:ascii="Times New Roman" w:hAnsi="Times New Roman" w:eastAsia="宋体" w:cs="Times New Roman"/>
                <w:color w:val="auto"/>
                <w:sz w:val="24"/>
                <w:szCs w:val="32"/>
                <w:highlight w:val="none"/>
              </w:rPr>
              <w:t>t/a</w:t>
            </w:r>
            <w:r>
              <w:rPr>
                <w:rFonts w:hint="eastAsia" w:ascii="Times New Roman" w:hAnsi="Times New Roman" w:eastAsia="宋体" w:cs="Times New Roman"/>
                <w:color w:val="auto"/>
                <w:sz w:val="24"/>
                <w:szCs w:val="32"/>
                <w:highlight w:val="none"/>
                <w:lang w:eastAsia="zh-CN"/>
              </w:rPr>
              <w:t>；</w:t>
            </w:r>
            <w:r>
              <w:rPr>
                <w:rFonts w:hint="eastAsia" w:ascii="Times New Roman" w:hAnsi="Times New Roman" w:eastAsia="宋体" w:cs="Times New Roman"/>
                <w:color w:val="auto"/>
                <w:sz w:val="24"/>
                <w:szCs w:val="32"/>
                <w:highlight w:val="none"/>
                <w:lang w:val="en-US" w:eastAsia="zh-CN"/>
              </w:rPr>
              <w:t>氮氧化物：0.513t/a</w:t>
            </w:r>
            <w:r>
              <w:rPr>
                <w:rFonts w:hint="default" w:ascii="Times New Roman" w:hAnsi="Times New Roman" w:eastAsia="宋体" w:cs="Times New Roman"/>
                <w:color w:val="auto"/>
                <w:sz w:val="24"/>
                <w:szCs w:val="32"/>
                <w:highlight w:val="none"/>
              </w:rPr>
              <w:t>。</w:t>
            </w:r>
          </w:p>
          <w:p w14:paraId="18BDD205">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山东省生态环境厅关于印发《山东省建设项目主要大气污染物排放总量替代指标核算及管理办法的通知》，上一年度细颗粒物年平均浓度超标的设区的市，实行二氧化硫、氮氧化物、烟粉尘、挥发性有机物四项污染物排放总量指标2倍削减替代。淄川区2023年细颗粒物年平均浓度不达标，实行污染物排放总量指标2倍削减替代。</w:t>
            </w:r>
          </w:p>
          <w:p w14:paraId="567EAD49">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rPr>
              <w:t>建设单位需向当地环保主管部门申请总量控制指标</w:t>
            </w:r>
            <w:r>
              <w:rPr>
                <w:rFonts w:hint="default" w:ascii="Times New Roman" w:hAnsi="Times New Roman" w:eastAsia="宋体" w:cs="Times New Roman"/>
                <w:color w:val="auto"/>
                <w:sz w:val="24"/>
                <w:szCs w:val="32"/>
                <w:highlight w:val="none"/>
                <w:lang w:eastAsia="zh-CN"/>
              </w:rPr>
              <w:t>：</w:t>
            </w:r>
          </w:p>
          <w:p w14:paraId="1A213BB5">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颗粒物：</w:t>
            </w:r>
            <w:r>
              <w:rPr>
                <w:rFonts w:hint="eastAsia" w:ascii="Times New Roman" w:hAnsi="Times New Roman" w:eastAsia="宋体" w:cs="Times New Roman"/>
                <w:color w:val="auto"/>
                <w:sz w:val="24"/>
                <w:szCs w:val="32"/>
                <w:highlight w:val="none"/>
                <w:lang w:val="en-US" w:eastAsia="zh-CN"/>
              </w:rPr>
              <w:t>0.084</w:t>
            </w:r>
            <w:r>
              <w:rPr>
                <w:rFonts w:hint="default" w:ascii="Times New Roman" w:hAnsi="Times New Roman" w:eastAsia="宋体" w:cs="Times New Roman"/>
                <w:color w:val="auto"/>
                <w:sz w:val="24"/>
                <w:szCs w:val="32"/>
                <w:highlight w:val="none"/>
              </w:rPr>
              <w:t>t/a</w:t>
            </w:r>
          </w:p>
          <w:p w14:paraId="6CB67FCD">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eastAsia" w:ascii="Times New Roman" w:hAnsi="Times New Roman" w:eastAsia="宋体" w:cs="Times New Roman"/>
                <w:color w:val="auto"/>
                <w:sz w:val="24"/>
                <w:szCs w:val="32"/>
                <w:highlight w:val="none"/>
                <w:lang w:val="en-US" w:eastAsia="zh-CN"/>
              </w:rPr>
              <w:t>二氧化硫</w:t>
            </w:r>
            <w:r>
              <w:rPr>
                <w:rFonts w:hint="default"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0.272</w:t>
            </w:r>
            <w:r>
              <w:rPr>
                <w:rFonts w:hint="default" w:ascii="Times New Roman" w:hAnsi="Times New Roman" w:eastAsia="宋体" w:cs="Times New Roman"/>
                <w:color w:val="auto"/>
                <w:sz w:val="24"/>
                <w:szCs w:val="32"/>
                <w:highlight w:val="none"/>
              </w:rPr>
              <w:t>t/a</w:t>
            </w:r>
          </w:p>
          <w:p w14:paraId="743FD6B7">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highlight w:val="none"/>
              </w:rPr>
            </w:pPr>
            <w:r>
              <w:rPr>
                <w:rFonts w:hint="eastAsia" w:ascii="Times New Roman" w:hAnsi="Times New Roman" w:eastAsia="宋体" w:cs="Times New Roman"/>
                <w:color w:val="auto"/>
                <w:sz w:val="24"/>
                <w:szCs w:val="32"/>
                <w:highlight w:val="none"/>
                <w:lang w:val="en-US" w:eastAsia="zh-CN"/>
              </w:rPr>
              <w:t>氮氧化物：1.026</w:t>
            </w:r>
            <w:r>
              <w:rPr>
                <w:rFonts w:hint="default" w:ascii="Times New Roman" w:hAnsi="Times New Roman" w:eastAsia="宋体" w:cs="Times New Roman"/>
                <w:color w:val="auto"/>
                <w:sz w:val="24"/>
                <w:szCs w:val="32"/>
                <w:highlight w:val="none"/>
              </w:rPr>
              <w:t>t/a</w:t>
            </w:r>
          </w:p>
        </w:tc>
      </w:tr>
    </w:tbl>
    <w:p w14:paraId="4E445691">
      <w:pPr>
        <w:pStyle w:val="28"/>
        <w:keepNext w:val="0"/>
        <w:keepLines w:val="0"/>
        <w:pageBreakBefore w:val="0"/>
        <w:widowControl/>
        <w:kinsoku/>
        <w:wordWrap/>
        <w:overflowPunct/>
        <w:topLinePunct w:val="0"/>
        <w:autoSpaceDE/>
        <w:autoSpaceDN/>
        <w:bidi w:val="0"/>
        <w:adjustRightInd w:val="0"/>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bookmarkStart w:id="14" w:name="_Toc444"/>
      <w:bookmarkStart w:id="15" w:name="_Toc16142"/>
      <w:bookmarkStart w:id="16" w:name="_Toc22746"/>
      <w:r>
        <w:rPr>
          <w:rFonts w:hint="default" w:ascii="Times New Roman" w:hAnsi="Times New Roman" w:eastAsia="黑体" w:cs="Times New Roman"/>
          <w:snapToGrid w:val="0"/>
          <w:color w:val="auto"/>
          <w:sz w:val="30"/>
          <w:szCs w:val="30"/>
          <w:highlight w:val="none"/>
        </w:rPr>
        <w:t>四、主要环境影响和保护措施</w:t>
      </w:r>
      <w:bookmarkEnd w:id="14"/>
      <w:bookmarkEnd w:id="15"/>
      <w:bookmarkEnd w:id="16"/>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9"/>
        <w:gridCol w:w="8956"/>
      </w:tblGrid>
      <w:tr w14:paraId="7AB97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5" w:hRule="atLeast"/>
          <w:jc w:val="center"/>
        </w:trPr>
        <w:tc>
          <w:tcPr>
            <w:tcW w:w="832" w:type="dxa"/>
            <w:noWrap w:val="0"/>
            <w:tcMar>
              <w:left w:w="28" w:type="dxa"/>
              <w:right w:w="28" w:type="dxa"/>
            </w:tcMar>
            <w:vAlign w:val="center"/>
          </w:tcPr>
          <w:p w14:paraId="23679B89">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14:paraId="6CE5E6F0">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14:paraId="0C4C7E7C">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14:paraId="34887AA1">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14:paraId="37BA2EF9">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2"/>
                <w:szCs w:val="24"/>
                <w:highlight w:val="none"/>
              </w:rPr>
            </w:pPr>
            <w:r>
              <w:rPr>
                <w:rFonts w:hint="default" w:ascii="Times New Roman" w:hAnsi="Times New Roman" w:cs="Times New Roman"/>
                <w:color w:val="auto"/>
                <w:kern w:val="2"/>
                <w:szCs w:val="24"/>
                <w:highlight w:val="none"/>
              </w:rPr>
              <w:t>施</w:t>
            </w:r>
          </w:p>
        </w:tc>
        <w:tc>
          <w:tcPr>
            <w:tcW w:w="9103" w:type="dxa"/>
            <w:noWrap w:val="0"/>
            <w:vAlign w:val="center"/>
          </w:tcPr>
          <w:p w14:paraId="31757906">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拟建项目利用现有厂房进行生产，施工期主要是对设备进行安装。设备安装过程主要产生噪声、固废和生活污水等。</w:t>
            </w:r>
          </w:p>
          <w:p w14:paraId="41A21269">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lang w:eastAsia="zh-CN"/>
              </w:rPr>
            </w:pPr>
            <w:r>
              <w:rPr>
                <w:rFonts w:hint="eastAsia" w:ascii="Times New Roman" w:hAnsi="Times New Roman" w:eastAsia="宋体" w:cs="Times New Roman"/>
                <w:highlight w:val="none"/>
              </w:rPr>
              <w:t>施工期环境保护措施如下</w:t>
            </w:r>
            <w:r>
              <w:rPr>
                <w:rFonts w:hint="eastAsia" w:ascii="Times New Roman" w:hAnsi="Times New Roman" w:eastAsia="宋体" w:cs="Times New Roman"/>
                <w:highlight w:val="none"/>
                <w:lang w:eastAsia="zh-CN"/>
              </w:rPr>
              <w:t>：</w:t>
            </w:r>
          </w:p>
          <w:p w14:paraId="5E603617">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1、环境空气影响分析</w:t>
            </w:r>
          </w:p>
          <w:p w14:paraId="1D931127">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项目施工期对周围大气环境的影响主要因素是：路面扬尘、施工机械燃油废气、设备安装产生的焊接烟尘等。</w:t>
            </w:r>
          </w:p>
          <w:p w14:paraId="45AE69E3">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各类施工机械运行中排放尾气，由于污染源较分散，且每天排放的量相对较少，厂区道路定时洒水降尘，施工机械使用国6以上设备，减少燃油排放的废气，</w:t>
            </w:r>
            <w:r>
              <w:rPr>
                <w:rFonts w:hint="eastAsia" w:ascii="Times New Roman" w:hAnsi="Times New Roman" w:eastAsia="宋体" w:cs="Times New Roman"/>
                <w:highlight w:val="none"/>
                <w:lang w:val="en-US" w:eastAsia="zh-CN"/>
              </w:rPr>
              <w:t>焊接烟尘须经烟尘净化器处理后排放，</w:t>
            </w:r>
            <w:r>
              <w:rPr>
                <w:rFonts w:hint="eastAsia" w:ascii="Times New Roman" w:hAnsi="Times New Roman" w:eastAsia="宋体" w:cs="Times New Roman"/>
                <w:highlight w:val="none"/>
              </w:rPr>
              <w:t>因此，对区域大气环境影响较小。</w:t>
            </w:r>
          </w:p>
          <w:p w14:paraId="2FD9D6F8">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2、水环境影响分析</w:t>
            </w:r>
          </w:p>
          <w:p w14:paraId="3EC7C632">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施工期产生的废水主要为施工</w:t>
            </w:r>
            <w:r>
              <w:rPr>
                <w:rFonts w:hint="eastAsia" w:ascii="Times New Roman" w:hAnsi="Times New Roman" w:eastAsia="宋体" w:cs="Times New Roman"/>
                <w:highlight w:val="none"/>
                <w:lang w:val="en-US" w:eastAsia="zh-CN"/>
              </w:rPr>
              <w:t>人员</w:t>
            </w:r>
            <w:r>
              <w:rPr>
                <w:rFonts w:hint="eastAsia" w:ascii="Times New Roman" w:hAnsi="Times New Roman" w:eastAsia="宋体" w:cs="Times New Roman"/>
                <w:highlight w:val="none"/>
              </w:rPr>
              <w:t>生活污水</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rPr>
              <w:t>施工生活污水主要为工人盥洗用水，产生量较小，对区域水环境影响较小。</w:t>
            </w:r>
          </w:p>
          <w:p w14:paraId="7D53E2BE">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 xml:space="preserve">3、声环境影响分析 </w:t>
            </w:r>
          </w:p>
          <w:p w14:paraId="27906577">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施工期主要为施工机械噪声以及作业、运输、装卸所产生的噪声。项目需采取的施工期噪声控制措施有:</w:t>
            </w:r>
          </w:p>
          <w:p w14:paraId="18BED717">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（1）合理安排施工时间，应尽可能避免大量的高噪声设备同时施工，禁止夜间施工。</w:t>
            </w:r>
          </w:p>
          <w:p w14:paraId="79825415">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（2）降低设备声级。按照《建筑施工场界环境噪声排放标准》（GB 12523-2011），采用低噪声设备，对动力机械设备进行定期的维修、养护、维护不良的设备；闲置不用的设备应立即关闭。</w:t>
            </w:r>
          </w:p>
          <w:p w14:paraId="05CB8785">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 xml:space="preserve">4、固废环境影响分析 </w:t>
            </w:r>
          </w:p>
          <w:p w14:paraId="72B37418">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本项目</w:t>
            </w:r>
            <w:r>
              <w:rPr>
                <w:rFonts w:hint="eastAsia" w:ascii="Times New Roman" w:hAnsi="Times New Roman" w:eastAsia="宋体" w:cs="Times New Roman"/>
                <w:highlight w:val="none"/>
                <w:lang w:val="en-US" w:eastAsia="zh-CN"/>
              </w:rPr>
              <w:t>租赁</w:t>
            </w:r>
            <w:r>
              <w:rPr>
                <w:rFonts w:hint="eastAsia" w:ascii="Times New Roman" w:hAnsi="Times New Roman" w:eastAsia="宋体" w:cs="Times New Roman"/>
                <w:highlight w:val="none"/>
              </w:rPr>
              <w:t>现有</w:t>
            </w:r>
            <w:r>
              <w:rPr>
                <w:rFonts w:hint="eastAsia" w:ascii="Times New Roman" w:hAnsi="Times New Roman" w:eastAsia="宋体" w:cs="Times New Roman"/>
                <w:highlight w:val="none"/>
                <w:lang w:val="en-US" w:eastAsia="zh-CN"/>
              </w:rPr>
              <w:t>闲置</w:t>
            </w:r>
            <w:r>
              <w:rPr>
                <w:rFonts w:hint="eastAsia" w:ascii="Times New Roman" w:hAnsi="Times New Roman" w:eastAsia="宋体" w:cs="Times New Roman"/>
                <w:highlight w:val="none"/>
              </w:rPr>
              <w:t>厂房生产，施工过程主要为设备安装，固体废物主要为包装垃圾</w:t>
            </w:r>
            <w:r>
              <w:rPr>
                <w:rFonts w:hint="eastAsia" w:ascii="Times New Roman" w:hAnsi="Times New Roman" w:eastAsia="宋体" w:cs="Times New Roman"/>
                <w:highlight w:val="none"/>
                <w:lang w:val="en-US" w:eastAsia="zh-CN"/>
              </w:rPr>
              <w:t>及</w:t>
            </w:r>
            <w:r>
              <w:rPr>
                <w:rFonts w:hint="eastAsia" w:ascii="Times New Roman" w:hAnsi="Times New Roman" w:eastAsia="宋体" w:cs="Times New Roman"/>
                <w:highlight w:val="none"/>
              </w:rPr>
              <w:t>生活垃圾，生活垃圾来源于施工作业人员生活过程遗弃的废物，其成分有厨房余物、塑料、纸类以及砂土等。本项目主要固废控制措施如下：</w:t>
            </w:r>
          </w:p>
          <w:p w14:paraId="75550918">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(1)施工过程产生的</w:t>
            </w:r>
            <w:r>
              <w:rPr>
                <w:rFonts w:hint="eastAsia" w:ascii="Times New Roman" w:hAnsi="Times New Roman" w:eastAsia="宋体" w:cs="Times New Roman"/>
                <w:highlight w:val="none"/>
                <w:lang w:val="en-US" w:eastAsia="zh-CN"/>
              </w:rPr>
              <w:t>包装</w:t>
            </w:r>
            <w:r>
              <w:rPr>
                <w:rFonts w:hint="eastAsia" w:ascii="Times New Roman" w:hAnsi="Times New Roman" w:eastAsia="宋体" w:cs="Times New Roman"/>
                <w:highlight w:val="none"/>
              </w:rPr>
              <w:t>垃圾外售资源化利用。</w:t>
            </w:r>
          </w:p>
          <w:p w14:paraId="5DF96C7D">
            <w:pPr>
              <w:pStyle w:val="78"/>
              <w:keepNext w:val="0"/>
              <w:keepLines w:val="0"/>
              <w:suppressLineNumbers w:val="0"/>
              <w:spacing w:before="0" w:beforeAutospacing="0" w:after="0" w:afterAutospacing="0" w:line="360" w:lineRule="auto"/>
              <w:ind w:left="0" w:right="0" w:firstLine="480"/>
              <w:jc w:val="both"/>
              <w:rPr>
                <w:rFonts w:hint="eastAsia" w:ascii="Times New Roman" w:hAnsi="Times New Roman" w:eastAsia="宋体" w:cs="Times New Roman"/>
                <w:highlight w:val="none"/>
              </w:rPr>
            </w:pPr>
            <w:r>
              <w:rPr>
                <w:rFonts w:hint="eastAsia" w:ascii="Times New Roman" w:hAnsi="Times New Roman" w:eastAsia="宋体" w:cs="Times New Roman"/>
                <w:highlight w:val="none"/>
              </w:rPr>
              <w:t>(2)生活垃圾应分类回收，做到日产日清，严禁随地丢弃。</w:t>
            </w:r>
          </w:p>
          <w:p w14:paraId="31BBFFF9">
            <w:pPr>
              <w:pStyle w:val="78"/>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highlight w:val="none"/>
              </w:rPr>
              <w:t>采取以上措施后对周围环境影响较小</w:t>
            </w:r>
            <w:r>
              <w:rPr>
                <w:rFonts w:hint="default" w:ascii="Times New Roman" w:hAnsi="Times New Roman" w:eastAsia="宋体" w:cs="Times New Roman"/>
                <w:color w:val="auto"/>
                <w:highlight w:val="none"/>
                <w:lang w:val="en-US" w:eastAsia="zh-CN"/>
              </w:rPr>
              <w:t>。</w:t>
            </w:r>
          </w:p>
          <w:p w14:paraId="4697EE90">
            <w:pPr>
              <w:pStyle w:val="78"/>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4208916B">
            <w:pPr>
              <w:pStyle w:val="78"/>
              <w:keepNext w:val="0"/>
              <w:keepLines w:val="0"/>
              <w:suppressLineNumbers w:val="0"/>
              <w:spacing w:before="0" w:beforeAutospacing="0" w:after="0" w:afterAutospacing="0" w:line="360" w:lineRule="auto"/>
              <w:ind w:left="0" w:right="0" w:firstLine="480"/>
              <w:jc w:val="both"/>
              <w:rPr>
                <w:rFonts w:hint="default" w:ascii="Times New Roman" w:hAnsi="Times New Roman" w:cs="Times New Roman"/>
                <w:color w:val="auto"/>
                <w:sz w:val="24"/>
                <w:highlight w:val="none"/>
                <w:lang w:val="en-US"/>
              </w:rPr>
            </w:pPr>
            <w:r>
              <w:rPr>
                <w:rFonts w:hint="eastAsia" w:cs="Times New Roman"/>
                <w:color w:val="auto"/>
                <w:highlight w:val="none"/>
                <w:lang w:val="en-US" w:eastAsia="zh-CN"/>
              </w:rPr>
              <w:t xml:space="preserve"> </w:t>
            </w:r>
          </w:p>
        </w:tc>
      </w:tr>
      <w:tr w14:paraId="0B2815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832" w:type="dxa"/>
            <w:noWrap w:val="0"/>
            <w:tcMar>
              <w:left w:w="28" w:type="dxa"/>
              <w:right w:w="28" w:type="dxa"/>
            </w:tcMar>
            <w:vAlign w:val="center"/>
          </w:tcPr>
          <w:p w14:paraId="6AE14D4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运营</w:t>
            </w:r>
          </w:p>
          <w:p w14:paraId="25F6352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期环</w:t>
            </w:r>
          </w:p>
          <w:p w14:paraId="4707B99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境影</w:t>
            </w:r>
          </w:p>
          <w:p w14:paraId="4783272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响和</w:t>
            </w:r>
          </w:p>
          <w:p w14:paraId="7B3E0B3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bCs/>
                <w:color w:val="auto"/>
                <w:szCs w:val="21"/>
                <w:highlight w:val="none"/>
              </w:rPr>
              <w:t>保护措施</w:t>
            </w:r>
          </w:p>
        </w:tc>
        <w:tc>
          <w:tcPr>
            <w:tcW w:w="9103" w:type="dxa"/>
            <w:noWrap w:val="0"/>
            <w:vAlign w:val="top"/>
          </w:tcPr>
          <w:p w14:paraId="4ED0E5C6">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一、废气</w:t>
            </w:r>
          </w:p>
          <w:p w14:paraId="0BB57A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表4-1 废气污染物排放情况一览表</w:t>
            </w:r>
          </w:p>
          <w:tbl>
            <w:tblPr>
              <w:tblStyle w:val="32"/>
              <w:tblW w:w="875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55"/>
              <w:gridCol w:w="1663"/>
              <w:gridCol w:w="876"/>
              <w:gridCol w:w="890"/>
              <w:gridCol w:w="11"/>
              <w:gridCol w:w="934"/>
              <w:gridCol w:w="956"/>
              <w:gridCol w:w="540"/>
              <w:gridCol w:w="417"/>
              <w:gridCol w:w="959"/>
              <w:gridCol w:w="956"/>
            </w:tblGrid>
            <w:tr w14:paraId="3AD02A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49" w:hRule="atLeast"/>
                <w:jc w:val="center"/>
              </w:trPr>
              <w:tc>
                <w:tcPr>
                  <w:tcW w:w="2218" w:type="dxa"/>
                  <w:gridSpan w:val="2"/>
                  <w:noWrap w:val="0"/>
                  <w:vAlign w:val="center"/>
                </w:tcPr>
                <w:p w14:paraId="7A4C844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产排污环节</w:t>
                  </w:r>
                </w:p>
              </w:tc>
              <w:tc>
                <w:tcPr>
                  <w:tcW w:w="876" w:type="dxa"/>
                  <w:tcBorders>
                    <w:right w:val="single" w:color="auto" w:sz="4" w:space="0"/>
                  </w:tcBorders>
                  <w:noWrap w:val="0"/>
                  <w:vAlign w:val="center"/>
                </w:tcPr>
                <w:p w14:paraId="36F5C9C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盐酸配置过程</w:t>
                  </w:r>
                </w:p>
              </w:tc>
              <w:tc>
                <w:tcPr>
                  <w:tcW w:w="1835" w:type="dxa"/>
                  <w:gridSpan w:val="3"/>
                  <w:tcBorders>
                    <w:right w:val="single" w:color="auto" w:sz="4" w:space="0"/>
                  </w:tcBorders>
                  <w:noWrap w:val="0"/>
                  <w:vAlign w:val="center"/>
                </w:tcPr>
                <w:p w14:paraId="61DD9CC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一次搅拌投料</w:t>
                  </w:r>
                </w:p>
              </w:tc>
              <w:tc>
                <w:tcPr>
                  <w:tcW w:w="2872" w:type="dxa"/>
                  <w:gridSpan w:val="4"/>
                  <w:tcBorders>
                    <w:left w:val="single" w:color="auto" w:sz="4" w:space="0"/>
                  </w:tcBorders>
                  <w:noWrap w:val="0"/>
                  <w:vAlign w:val="center"/>
                </w:tcPr>
                <w:p w14:paraId="5BDDF687">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烘干</w:t>
                  </w:r>
                  <w:r>
                    <w:rPr>
                      <w:rFonts w:hint="default" w:ascii="Times New Roman" w:hAnsi="Times New Roman" w:cs="Times New Roman"/>
                      <w:color w:val="auto"/>
                      <w:highlight w:val="none"/>
                      <w:lang w:val="en-US" w:eastAsia="zh-CN"/>
                    </w:rPr>
                    <w:t>过程</w:t>
                  </w:r>
                </w:p>
              </w:tc>
              <w:tc>
                <w:tcPr>
                  <w:tcW w:w="956" w:type="dxa"/>
                  <w:tcBorders>
                    <w:left w:val="single" w:color="auto" w:sz="4" w:space="0"/>
                  </w:tcBorders>
                  <w:noWrap w:val="0"/>
                  <w:vAlign w:val="center"/>
                </w:tcPr>
                <w:p w14:paraId="4438241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SNCR脱硝装置</w:t>
                  </w:r>
                </w:p>
              </w:tc>
            </w:tr>
            <w:tr w14:paraId="6021C1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3731D1C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污染物种类</w:t>
                  </w:r>
                </w:p>
              </w:tc>
              <w:tc>
                <w:tcPr>
                  <w:tcW w:w="876" w:type="dxa"/>
                  <w:noWrap w:val="0"/>
                  <w:vAlign w:val="center"/>
                </w:tcPr>
                <w:p w14:paraId="6C2F7FB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氯化氢</w:t>
                  </w:r>
                </w:p>
              </w:tc>
              <w:tc>
                <w:tcPr>
                  <w:tcW w:w="890" w:type="dxa"/>
                  <w:tcBorders>
                    <w:right w:val="single" w:color="auto" w:sz="4" w:space="0"/>
                  </w:tcBorders>
                  <w:noWrap w:val="0"/>
                  <w:vAlign w:val="center"/>
                </w:tcPr>
                <w:p w14:paraId="1CC521A2">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r>
                    <w:rPr>
                      <w:rFonts w:hint="eastAsia" w:ascii="Times New Roman" w:hAnsi="Times New Roman" w:eastAsia="宋体" w:cs="Times New Roman"/>
                      <w:color w:val="auto"/>
                      <w:highlight w:val="none"/>
                      <w:lang w:val="en-US" w:eastAsia="zh-CN"/>
                    </w:rPr>
                    <w:t>氯化氢</w:t>
                  </w:r>
                </w:p>
              </w:tc>
              <w:tc>
                <w:tcPr>
                  <w:tcW w:w="945" w:type="dxa"/>
                  <w:gridSpan w:val="2"/>
                  <w:tcBorders>
                    <w:right w:val="single" w:color="auto" w:sz="4" w:space="0"/>
                  </w:tcBorders>
                  <w:noWrap w:val="0"/>
                  <w:vAlign w:val="center"/>
                </w:tcPr>
                <w:p w14:paraId="3AE3CA4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颗粒物</w:t>
                  </w:r>
                </w:p>
              </w:tc>
              <w:tc>
                <w:tcPr>
                  <w:tcW w:w="956" w:type="dxa"/>
                  <w:tcBorders>
                    <w:left w:val="single" w:color="auto" w:sz="4" w:space="0"/>
                  </w:tcBorders>
                  <w:noWrap w:val="0"/>
                  <w:vAlign w:val="center"/>
                </w:tcPr>
                <w:p w14:paraId="7F772FC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颗粒物</w:t>
                  </w:r>
                </w:p>
              </w:tc>
              <w:tc>
                <w:tcPr>
                  <w:tcW w:w="957" w:type="dxa"/>
                  <w:gridSpan w:val="2"/>
                  <w:tcBorders>
                    <w:left w:val="single" w:color="auto" w:sz="4" w:space="0"/>
                  </w:tcBorders>
                  <w:noWrap w:val="0"/>
                  <w:vAlign w:val="center"/>
                </w:tcPr>
                <w:p w14:paraId="6681C40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二氧化硫</w:t>
                  </w:r>
                </w:p>
              </w:tc>
              <w:tc>
                <w:tcPr>
                  <w:tcW w:w="959" w:type="dxa"/>
                  <w:tcBorders>
                    <w:left w:val="single" w:color="auto" w:sz="4" w:space="0"/>
                  </w:tcBorders>
                  <w:noWrap w:val="0"/>
                  <w:vAlign w:val="center"/>
                </w:tcPr>
                <w:p w14:paraId="1097F6D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氮氧化物</w:t>
                  </w:r>
                </w:p>
              </w:tc>
              <w:tc>
                <w:tcPr>
                  <w:tcW w:w="956" w:type="dxa"/>
                  <w:tcBorders>
                    <w:left w:val="single" w:color="auto" w:sz="4" w:space="0"/>
                  </w:tcBorders>
                  <w:noWrap w:val="0"/>
                  <w:vAlign w:val="center"/>
                </w:tcPr>
                <w:p w14:paraId="2B69A3A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逃逸的氨</w:t>
                  </w:r>
                </w:p>
              </w:tc>
            </w:tr>
            <w:tr w14:paraId="29E595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3A051EC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产生量（t/a）</w:t>
                  </w:r>
                </w:p>
              </w:tc>
              <w:tc>
                <w:tcPr>
                  <w:tcW w:w="876" w:type="dxa"/>
                  <w:noWrap w:val="0"/>
                  <w:vAlign w:val="center"/>
                </w:tcPr>
                <w:p w14:paraId="1502237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0.3</w:t>
                  </w:r>
                </w:p>
              </w:tc>
              <w:tc>
                <w:tcPr>
                  <w:tcW w:w="890" w:type="dxa"/>
                  <w:noWrap w:val="0"/>
                  <w:vAlign w:val="center"/>
                </w:tcPr>
                <w:p w14:paraId="41C97B4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0.69</w:t>
                  </w:r>
                </w:p>
              </w:tc>
              <w:tc>
                <w:tcPr>
                  <w:tcW w:w="945" w:type="dxa"/>
                  <w:gridSpan w:val="2"/>
                  <w:noWrap w:val="0"/>
                  <w:vAlign w:val="center"/>
                </w:tcPr>
                <w:p w14:paraId="5A491C3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4.32</w:t>
                  </w:r>
                </w:p>
              </w:tc>
              <w:tc>
                <w:tcPr>
                  <w:tcW w:w="956" w:type="dxa"/>
                  <w:noWrap w:val="0"/>
                  <w:vAlign w:val="center"/>
                </w:tcPr>
                <w:p w14:paraId="6DE2DE2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0.136</w:t>
                  </w:r>
                </w:p>
              </w:tc>
              <w:tc>
                <w:tcPr>
                  <w:tcW w:w="957" w:type="dxa"/>
                  <w:gridSpan w:val="2"/>
                  <w:noWrap w:val="0"/>
                  <w:vAlign w:val="center"/>
                </w:tcPr>
                <w:p w14:paraId="7A95882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0.136</w:t>
                  </w:r>
                </w:p>
              </w:tc>
              <w:tc>
                <w:tcPr>
                  <w:tcW w:w="959" w:type="dxa"/>
                  <w:noWrap w:val="0"/>
                  <w:vAlign w:val="center"/>
                </w:tcPr>
                <w:p w14:paraId="5BBD241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2.05</w:t>
                  </w:r>
                </w:p>
              </w:tc>
              <w:tc>
                <w:tcPr>
                  <w:tcW w:w="956" w:type="dxa"/>
                  <w:noWrap w:val="0"/>
                  <w:vAlign w:val="center"/>
                </w:tcPr>
                <w:p w14:paraId="436BE73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0.06</w:t>
                  </w:r>
                </w:p>
              </w:tc>
            </w:tr>
            <w:tr w14:paraId="0A16DB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4BF2276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有组织</w:t>
                  </w:r>
                  <w:r>
                    <w:rPr>
                      <w:rFonts w:hint="default" w:ascii="Times New Roman" w:hAnsi="Times New Roman" w:cs="Times New Roman"/>
                      <w:b/>
                      <w:bCs/>
                      <w:color w:val="auto"/>
                      <w:highlight w:val="none"/>
                    </w:rPr>
                    <w:t>产生</w:t>
                  </w:r>
                  <w:r>
                    <w:rPr>
                      <w:rFonts w:hint="default" w:ascii="Times New Roman" w:hAnsi="Times New Roman" w:cs="Times New Roman"/>
                      <w:b/>
                      <w:bCs/>
                      <w:color w:val="auto"/>
                      <w:highlight w:val="none"/>
                      <w:lang w:eastAsia="zh-CN"/>
                    </w:rPr>
                    <w:t>量</w:t>
                  </w:r>
                  <w:r>
                    <w:rPr>
                      <w:rFonts w:hint="default" w:ascii="Times New Roman" w:hAnsi="Times New Roman" w:cs="Times New Roman"/>
                      <w:b/>
                      <w:bCs/>
                      <w:color w:val="auto"/>
                      <w:highlight w:val="none"/>
                    </w:rPr>
                    <w:t>（t/a）</w:t>
                  </w:r>
                </w:p>
              </w:tc>
              <w:tc>
                <w:tcPr>
                  <w:tcW w:w="876" w:type="dxa"/>
                  <w:noWrap w:val="0"/>
                  <w:vAlign w:val="center"/>
                </w:tcPr>
                <w:p w14:paraId="6E00D1F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0.294</w:t>
                  </w:r>
                </w:p>
              </w:tc>
              <w:tc>
                <w:tcPr>
                  <w:tcW w:w="890" w:type="dxa"/>
                  <w:noWrap w:val="0"/>
                  <w:vAlign w:val="center"/>
                </w:tcPr>
                <w:p w14:paraId="27DA8DF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0.621</w:t>
                  </w:r>
                </w:p>
              </w:tc>
              <w:tc>
                <w:tcPr>
                  <w:tcW w:w="945" w:type="dxa"/>
                  <w:gridSpan w:val="2"/>
                  <w:noWrap w:val="0"/>
                  <w:vAlign w:val="center"/>
                </w:tcPr>
                <w:p w14:paraId="0EDC287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3.89</w:t>
                  </w:r>
                </w:p>
              </w:tc>
              <w:tc>
                <w:tcPr>
                  <w:tcW w:w="956" w:type="dxa"/>
                  <w:noWrap w:val="0"/>
                  <w:vAlign w:val="center"/>
                </w:tcPr>
                <w:p w14:paraId="5F5CA7F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0.136</w:t>
                  </w:r>
                </w:p>
              </w:tc>
              <w:tc>
                <w:tcPr>
                  <w:tcW w:w="957" w:type="dxa"/>
                  <w:gridSpan w:val="2"/>
                  <w:noWrap w:val="0"/>
                  <w:vAlign w:val="center"/>
                </w:tcPr>
                <w:p w14:paraId="4778ECE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0.136</w:t>
                  </w:r>
                </w:p>
              </w:tc>
              <w:tc>
                <w:tcPr>
                  <w:tcW w:w="959" w:type="dxa"/>
                  <w:noWrap w:val="0"/>
                  <w:vAlign w:val="center"/>
                </w:tcPr>
                <w:p w14:paraId="08B34AB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2.05</w:t>
                  </w:r>
                </w:p>
              </w:tc>
              <w:tc>
                <w:tcPr>
                  <w:tcW w:w="956" w:type="dxa"/>
                  <w:noWrap w:val="0"/>
                  <w:vAlign w:val="center"/>
                </w:tcPr>
                <w:p w14:paraId="6C4989C2">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0.06</w:t>
                  </w:r>
                </w:p>
              </w:tc>
            </w:tr>
            <w:tr w14:paraId="32643F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5A81225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有组织</w:t>
                  </w:r>
                  <w:r>
                    <w:rPr>
                      <w:rFonts w:hint="default" w:ascii="Times New Roman" w:hAnsi="Times New Roman" w:cs="Times New Roman"/>
                      <w:b/>
                      <w:bCs/>
                      <w:color w:val="auto"/>
                      <w:highlight w:val="none"/>
                    </w:rPr>
                    <w:t>产生浓度（mg/m³）</w:t>
                  </w:r>
                </w:p>
              </w:tc>
              <w:tc>
                <w:tcPr>
                  <w:tcW w:w="876" w:type="dxa"/>
                  <w:noWrap w:val="0"/>
                  <w:vAlign w:val="center"/>
                </w:tcPr>
                <w:p w14:paraId="43BD12F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490</w:t>
                  </w:r>
                </w:p>
              </w:tc>
              <w:tc>
                <w:tcPr>
                  <w:tcW w:w="890" w:type="dxa"/>
                  <w:tcBorders>
                    <w:right w:val="single" w:color="auto" w:sz="4" w:space="0"/>
                  </w:tcBorders>
                  <w:noWrap w:val="0"/>
                  <w:vAlign w:val="center"/>
                </w:tcPr>
                <w:p w14:paraId="4BB3856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129.4</w:t>
                  </w:r>
                </w:p>
              </w:tc>
              <w:tc>
                <w:tcPr>
                  <w:tcW w:w="945" w:type="dxa"/>
                  <w:gridSpan w:val="2"/>
                  <w:tcBorders>
                    <w:right w:val="single" w:color="auto" w:sz="4" w:space="0"/>
                  </w:tcBorders>
                  <w:noWrap w:val="0"/>
                  <w:vAlign w:val="center"/>
                </w:tcPr>
                <w:p w14:paraId="2352A2C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810.42</w:t>
                  </w:r>
                </w:p>
              </w:tc>
              <w:tc>
                <w:tcPr>
                  <w:tcW w:w="956" w:type="dxa"/>
                  <w:tcBorders>
                    <w:left w:val="single" w:color="auto" w:sz="4" w:space="0"/>
                  </w:tcBorders>
                  <w:noWrap w:val="0"/>
                  <w:vAlign w:val="center"/>
                </w:tcPr>
                <w:p w14:paraId="5EDEDBD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17.53</w:t>
                  </w:r>
                </w:p>
              </w:tc>
              <w:tc>
                <w:tcPr>
                  <w:tcW w:w="957" w:type="dxa"/>
                  <w:gridSpan w:val="2"/>
                  <w:tcBorders>
                    <w:left w:val="single" w:color="auto" w:sz="4" w:space="0"/>
                  </w:tcBorders>
                  <w:noWrap w:val="0"/>
                  <w:vAlign w:val="center"/>
                </w:tcPr>
                <w:p w14:paraId="279C33C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17.53</w:t>
                  </w:r>
                </w:p>
              </w:tc>
              <w:tc>
                <w:tcPr>
                  <w:tcW w:w="959" w:type="dxa"/>
                  <w:tcBorders>
                    <w:left w:val="single" w:color="auto" w:sz="4" w:space="0"/>
                  </w:tcBorders>
                  <w:noWrap w:val="0"/>
                  <w:vAlign w:val="center"/>
                </w:tcPr>
                <w:p w14:paraId="41EFDCB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264.24</w:t>
                  </w:r>
                </w:p>
              </w:tc>
              <w:tc>
                <w:tcPr>
                  <w:tcW w:w="956" w:type="dxa"/>
                  <w:tcBorders>
                    <w:left w:val="single" w:color="auto" w:sz="4" w:space="0"/>
                  </w:tcBorders>
                  <w:noWrap w:val="0"/>
                  <w:vAlign w:val="center"/>
                </w:tcPr>
                <w:p w14:paraId="2607853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8</w:t>
                  </w:r>
                </w:p>
              </w:tc>
            </w:tr>
            <w:tr w14:paraId="6306C5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0225BF9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排放形式</w:t>
                  </w:r>
                </w:p>
              </w:tc>
              <w:tc>
                <w:tcPr>
                  <w:tcW w:w="2711" w:type="dxa"/>
                  <w:gridSpan w:val="4"/>
                  <w:tcBorders>
                    <w:right w:val="single" w:color="auto" w:sz="4" w:space="0"/>
                  </w:tcBorders>
                  <w:noWrap w:val="0"/>
                  <w:vAlign w:val="center"/>
                </w:tcPr>
                <w:p w14:paraId="0886901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有组织</w:t>
                  </w:r>
                </w:p>
              </w:tc>
              <w:tc>
                <w:tcPr>
                  <w:tcW w:w="2872" w:type="dxa"/>
                  <w:gridSpan w:val="4"/>
                  <w:tcBorders>
                    <w:left w:val="single" w:color="auto" w:sz="4" w:space="0"/>
                  </w:tcBorders>
                  <w:noWrap w:val="0"/>
                  <w:vAlign w:val="center"/>
                </w:tcPr>
                <w:p w14:paraId="7E18A14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有组织</w:t>
                  </w:r>
                </w:p>
              </w:tc>
              <w:tc>
                <w:tcPr>
                  <w:tcW w:w="956" w:type="dxa"/>
                  <w:tcBorders>
                    <w:left w:val="single" w:color="auto" w:sz="4" w:space="0"/>
                  </w:tcBorders>
                  <w:noWrap w:val="0"/>
                  <w:vAlign w:val="center"/>
                </w:tcPr>
                <w:p w14:paraId="2C88DE4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p>
              </w:tc>
            </w:tr>
            <w:tr w14:paraId="29F2A8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80" w:hRule="atLeast"/>
                <w:jc w:val="center"/>
              </w:trPr>
              <w:tc>
                <w:tcPr>
                  <w:tcW w:w="555" w:type="dxa"/>
                  <w:vMerge w:val="restart"/>
                  <w:noWrap w:val="0"/>
                  <w:vAlign w:val="center"/>
                </w:tcPr>
                <w:p w14:paraId="0DF9292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治理设施</w:t>
                  </w:r>
                </w:p>
              </w:tc>
              <w:tc>
                <w:tcPr>
                  <w:tcW w:w="1663" w:type="dxa"/>
                  <w:noWrap w:val="0"/>
                  <w:vAlign w:val="center"/>
                </w:tcPr>
                <w:p w14:paraId="257082C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治理工艺</w:t>
                  </w:r>
                </w:p>
              </w:tc>
              <w:tc>
                <w:tcPr>
                  <w:tcW w:w="1766" w:type="dxa"/>
                  <w:gridSpan w:val="2"/>
                  <w:tcBorders>
                    <w:right w:val="single" w:color="auto" w:sz="4" w:space="0"/>
                  </w:tcBorders>
                  <w:noWrap w:val="0"/>
                  <w:vAlign w:val="center"/>
                </w:tcPr>
                <w:p w14:paraId="5B1E105E">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二级水喷淋</w:t>
                  </w:r>
                </w:p>
              </w:tc>
              <w:tc>
                <w:tcPr>
                  <w:tcW w:w="945" w:type="dxa"/>
                  <w:gridSpan w:val="2"/>
                  <w:tcBorders>
                    <w:right w:val="single" w:color="auto" w:sz="4" w:space="0"/>
                  </w:tcBorders>
                  <w:noWrap w:val="0"/>
                  <w:vAlign w:val="center"/>
                </w:tcPr>
                <w:p w14:paraId="331B5DD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二级水喷淋+除雾器+布袋除尘器</w:t>
                  </w:r>
                </w:p>
              </w:tc>
              <w:tc>
                <w:tcPr>
                  <w:tcW w:w="956" w:type="dxa"/>
                  <w:tcBorders>
                    <w:left w:val="single" w:color="auto" w:sz="4" w:space="0"/>
                  </w:tcBorders>
                  <w:noWrap w:val="0"/>
                  <w:vAlign w:val="center"/>
                </w:tcPr>
                <w:p w14:paraId="1FA6F6B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布袋除尘器</w:t>
                  </w:r>
                </w:p>
              </w:tc>
              <w:tc>
                <w:tcPr>
                  <w:tcW w:w="957" w:type="dxa"/>
                  <w:gridSpan w:val="2"/>
                  <w:tcBorders>
                    <w:left w:val="single" w:color="auto" w:sz="4" w:space="0"/>
                  </w:tcBorders>
                  <w:noWrap w:val="0"/>
                  <w:vAlign w:val="center"/>
                </w:tcPr>
                <w:p w14:paraId="3B800EE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w:t>
                  </w:r>
                </w:p>
              </w:tc>
              <w:tc>
                <w:tcPr>
                  <w:tcW w:w="959" w:type="dxa"/>
                  <w:tcBorders>
                    <w:left w:val="single" w:color="auto" w:sz="4" w:space="0"/>
                  </w:tcBorders>
                  <w:noWrap w:val="0"/>
                  <w:vAlign w:val="center"/>
                </w:tcPr>
                <w:p w14:paraId="6152CBA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低氮燃烧器+SNCR脱硝装置</w:t>
                  </w:r>
                </w:p>
              </w:tc>
              <w:tc>
                <w:tcPr>
                  <w:tcW w:w="956" w:type="dxa"/>
                  <w:tcBorders>
                    <w:left w:val="single" w:color="auto" w:sz="4" w:space="0"/>
                  </w:tcBorders>
                  <w:noWrap w:val="0"/>
                  <w:vAlign w:val="center"/>
                </w:tcPr>
                <w:p w14:paraId="17B91C1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w:t>
                  </w:r>
                </w:p>
              </w:tc>
            </w:tr>
            <w:tr w14:paraId="17F886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241B97E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4BD7203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处理能力（m³/h）</w:t>
                  </w:r>
                </w:p>
              </w:tc>
              <w:tc>
                <w:tcPr>
                  <w:tcW w:w="2711" w:type="dxa"/>
                  <w:gridSpan w:val="4"/>
                  <w:tcBorders>
                    <w:right w:val="single" w:color="auto" w:sz="4" w:space="0"/>
                  </w:tcBorders>
                  <w:noWrap w:val="0"/>
                  <w:vAlign w:val="center"/>
                </w:tcPr>
                <w:p w14:paraId="0383058C">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2000</w:t>
                  </w:r>
                </w:p>
              </w:tc>
              <w:tc>
                <w:tcPr>
                  <w:tcW w:w="3828" w:type="dxa"/>
                  <w:gridSpan w:val="5"/>
                  <w:tcBorders>
                    <w:left w:val="single" w:color="auto" w:sz="4" w:space="0"/>
                  </w:tcBorders>
                  <w:noWrap w:val="0"/>
                  <w:vAlign w:val="center"/>
                </w:tcPr>
                <w:p w14:paraId="0F887561">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3232.59</w:t>
                  </w:r>
                </w:p>
              </w:tc>
            </w:tr>
            <w:tr w14:paraId="3C1D6A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2E7B165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287EC2F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收集效率（%）</w:t>
                  </w:r>
                </w:p>
              </w:tc>
              <w:tc>
                <w:tcPr>
                  <w:tcW w:w="876" w:type="dxa"/>
                  <w:tcBorders>
                    <w:right w:val="single" w:color="auto" w:sz="4" w:space="0"/>
                  </w:tcBorders>
                  <w:noWrap w:val="0"/>
                  <w:vAlign w:val="center"/>
                </w:tcPr>
                <w:p w14:paraId="7FF68DC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98</w:t>
                  </w:r>
                </w:p>
              </w:tc>
              <w:tc>
                <w:tcPr>
                  <w:tcW w:w="1835" w:type="dxa"/>
                  <w:gridSpan w:val="3"/>
                  <w:tcBorders>
                    <w:right w:val="single" w:color="auto" w:sz="4" w:space="0"/>
                  </w:tcBorders>
                  <w:noWrap w:val="0"/>
                  <w:vAlign w:val="center"/>
                </w:tcPr>
                <w:p w14:paraId="79DE8D1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90</w:t>
                  </w:r>
                </w:p>
              </w:tc>
              <w:tc>
                <w:tcPr>
                  <w:tcW w:w="956" w:type="dxa"/>
                  <w:tcBorders>
                    <w:left w:val="single" w:color="auto" w:sz="4" w:space="0"/>
                  </w:tcBorders>
                  <w:noWrap w:val="0"/>
                  <w:vAlign w:val="center"/>
                </w:tcPr>
                <w:p w14:paraId="2A53EDC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100</w:t>
                  </w:r>
                </w:p>
              </w:tc>
              <w:tc>
                <w:tcPr>
                  <w:tcW w:w="957" w:type="dxa"/>
                  <w:gridSpan w:val="2"/>
                  <w:tcBorders>
                    <w:left w:val="single" w:color="auto" w:sz="4" w:space="0"/>
                  </w:tcBorders>
                  <w:noWrap w:val="0"/>
                  <w:vAlign w:val="center"/>
                </w:tcPr>
                <w:p w14:paraId="65AAAB9C">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100</w:t>
                  </w:r>
                </w:p>
              </w:tc>
              <w:tc>
                <w:tcPr>
                  <w:tcW w:w="959" w:type="dxa"/>
                  <w:tcBorders>
                    <w:left w:val="single" w:color="auto" w:sz="4" w:space="0"/>
                  </w:tcBorders>
                  <w:noWrap w:val="0"/>
                  <w:vAlign w:val="center"/>
                </w:tcPr>
                <w:p w14:paraId="35DE604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100</w:t>
                  </w:r>
                </w:p>
              </w:tc>
              <w:tc>
                <w:tcPr>
                  <w:tcW w:w="956" w:type="dxa"/>
                  <w:tcBorders>
                    <w:left w:val="single" w:color="auto" w:sz="4" w:space="0"/>
                  </w:tcBorders>
                  <w:noWrap w:val="0"/>
                  <w:vAlign w:val="center"/>
                </w:tcPr>
                <w:p w14:paraId="72D7414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100</w:t>
                  </w:r>
                </w:p>
              </w:tc>
            </w:tr>
            <w:tr w14:paraId="731A83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46" w:hRule="atLeast"/>
                <w:jc w:val="center"/>
              </w:trPr>
              <w:tc>
                <w:tcPr>
                  <w:tcW w:w="555" w:type="dxa"/>
                  <w:vMerge w:val="continue"/>
                  <w:noWrap w:val="0"/>
                  <w:vAlign w:val="center"/>
                </w:tcPr>
                <w:p w14:paraId="5591F59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1AC8A18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治理工艺去除率（%）</w:t>
                  </w:r>
                </w:p>
              </w:tc>
              <w:tc>
                <w:tcPr>
                  <w:tcW w:w="1766" w:type="dxa"/>
                  <w:gridSpan w:val="2"/>
                  <w:tcBorders>
                    <w:right w:val="single" w:color="auto" w:sz="4" w:space="0"/>
                  </w:tcBorders>
                  <w:noWrap w:val="0"/>
                  <w:vAlign w:val="center"/>
                </w:tcPr>
                <w:p w14:paraId="26C39A8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90</w:t>
                  </w:r>
                </w:p>
              </w:tc>
              <w:tc>
                <w:tcPr>
                  <w:tcW w:w="945" w:type="dxa"/>
                  <w:gridSpan w:val="2"/>
                  <w:tcBorders>
                    <w:right w:val="single" w:color="auto" w:sz="4" w:space="0"/>
                  </w:tcBorders>
                  <w:noWrap w:val="0"/>
                  <w:vAlign w:val="center"/>
                </w:tcPr>
                <w:p w14:paraId="3018DB2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50%+98%</w:t>
                  </w:r>
                </w:p>
              </w:tc>
              <w:tc>
                <w:tcPr>
                  <w:tcW w:w="956" w:type="dxa"/>
                  <w:tcBorders>
                    <w:left w:val="single" w:color="auto" w:sz="4" w:space="0"/>
                  </w:tcBorders>
                  <w:noWrap w:val="0"/>
                  <w:vAlign w:val="center"/>
                </w:tcPr>
                <w:p w14:paraId="5F98B4D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98%</w:t>
                  </w:r>
                </w:p>
              </w:tc>
              <w:tc>
                <w:tcPr>
                  <w:tcW w:w="957" w:type="dxa"/>
                  <w:gridSpan w:val="2"/>
                  <w:tcBorders>
                    <w:left w:val="single" w:color="auto" w:sz="4" w:space="0"/>
                  </w:tcBorders>
                  <w:noWrap w:val="0"/>
                  <w:vAlign w:val="center"/>
                </w:tcPr>
                <w:p w14:paraId="062EE16C">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959" w:type="dxa"/>
                  <w:tcBorders>
                    <w:left w:val="single" w:color="auto" w:sz="4" w:space="0"/>
                  </w:tcBorders>
                  <w:noWrap w:val="0"/>
                  <w:vAlign w:val="center"/>
                </w:tcPr>
                <w:p w14:paraId="4084F05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50%+50%</w:t>
                  </w:r>
                </w:p>
              </w:tc>
              <w:tc>
                <w:tcPr>
                  <w:tcW w:w="956" w:type="dxa"/>
                  <w:tcBorders>
                    <w:left w:val="single" w:color="auto" w:sz="4" w:space="0"/>
                  </w:tcBorders>
                  <w:noWrap w:val="0"/>
                  <w:vAlign w:val="center"/>
                </w:tcPr>
                <w:p w14:paraId="33CDEDA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523DEC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25FD08C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0245D4C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是否为可行技术</w:t>
                  </w:r>
                </w:p>
              </w:tc>
              <w:tc>
                <w:tcPr>
                  <w:tcW w:w="1766" w:type="dxa"/>
                  <w:gridSpan w:val="2"/>
                  <w:tcBorders>
                    <w:right w:val="single" w:color="auto" w:sz="4" w:space="0"/>
                  </w:tcBorders>
                  <w:noWrap w:val="0"/>
                  <w:vAlign w:val="center"/>
                </w:tcPr>
                <w:p w14:paraId="5E79CD2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是</w:t>
                  </w:r>
                </w:p>
              </w:tc>
              <w:tc>
                <w:tcPr>
                  <w:tcW w:w="945" w:type="dxa"/>
                  <w:gridSpan w:val="2"/>
                  <w:tcBorders>
                    <w:right w:val="single" w:color="auto" w:sz="4" w:space="0"/>
                  </w:tcBorders>
                  <w:noWrap w:val="0"/>
                  <w:vAlign w:val="center"/>
                </w:tcPr>
                <w:p w14:paraId="5ED317F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是</w:t>
                  </w:r>
                </w:p>
              </w:tc>
              <w:tc>
                <w:tcPr>
                  <w:tcW w:w="956" w:type="dxa"/>
                  <w:tcBorders>
                    <w:left w:val="single" w:color="auto" w:sz="4" w:space="0"/>
                  </w:tcBorders>
                  <w:noWrap w:val="0"/>
                  <w:vAlign w:val="center"/>
                </w:tcPr>
                <w:p w14:paraId="75620CE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是</w:t>
                  </w:r>
                </w:p>
              </w:tc>
              <w:tc>
                <w:tcPr>
                  <w:tcW w:w="957" w:type="dxa"/>
                  <w:gridSpan w:val="2"/>
                  <w:tcBorders>
                    <w:left w:val="single" w:color="auto" w:sz="4" w:space="0"/>
                  </w:tcBorders>
                  <w:noWrap w:val="0"/>
                  <w:vAlign w:val="center"/>
                </w:tcPr>
                <w:p w14:paraId="1D34356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959" w:type="dxa"/>
                  <w:tcBorders>
                    <w:left w:val="single" w:color="auto" w:sz="4" w:space="0"/>
                  </w:tcBorders>
                  <w:noWrap w:val="0"/>
                  <w:vAlign w:val="center"/>
                </w:tcPr>
                <w:p w14:paraId="23CC438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是</w:t>
                  </w:r>
                </w:p>
              </w:tc>
              <w:tc>
                <w:tcPr>
                  <w:tcW w:w="956" w:type="dxa"/>
                  <w:tcBorders>
                    <w:left w:val="single" w:color="auto" w:sz="4" w:space="0"/>
                  </w:tcBorders>
                  <w:noWrap w:val="0"/>
                  <w:vAlign w:val="center"/>
                </w:tcPr>
                <w:p w14:paraId="51718DD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tr w14:paraId="390F3E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4F5C06D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污染物排放浓度（mg/m³）</w:t>
                  </w:r>
                </w:p>
              </w:tc>
              <w:tc>
                <w:tcPr>
                  <w:tcW w:w="1766" w:type="dxa"/>
                  <w:gridSpan w:val="2"/>
                  <w:noWrap w:val="0"/>
                  <w:vAlign w:val="center"/>
                </w:tcPr>
                <w:p w14:paraId="252E0CA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62</w:t>
                  </w:r>
                </w:p>
              </w:tc>
              <w:tc>
                <w:tcPr>
                  <w:tcW w:w="945" w:type="dxa"/>
                  <w:gridSpan w:val="2"/>
                  <w:noWrap w:val="0"/>
                  <w:vAlign w:val="center"/>
                </w:tcPr>
                <w:p w14:paraId="5E6C6AB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8.13</w:t>
                  </w:r>
                </w:p>
              </w:tc>
              <w:tc>
                <w:tcPr>
                  <w:tcW w:w="956" w:type="dxa"/>
                  <w:noWrap w:val="0"/>
                  <w:vAlign w:val="center"/>
                </w:tcPr>
                <w:p w14:paraId="6A5C7A5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0.39</w:t>
                  </w:r>
                </w:p>
              </w:tc>
              <w:tc>
                <w:tcPr>
                  <w:tcW w:w="957" w:type="dxa"/>
                  <w:gridSpan w:val="2"/>
                  <w:noWrap w:val="0"/>
                  <w:vAlign w:val="center"/>
                </w:tcPr>
                <w:p w14:paraId="0D7F2A6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17.53</w:t>
                  </w:r>
                </w:p>
              </w:tc>
              <w:tc>
                <w:tcPr>
                  <w:tcW w:w="959" w:type="dxa"/>
                  <w:noWrap w:val="0"/>
                  <w:vAlign w:val="center"/>
                </w:tcPr>
                <w:p w14:paraId="11689C7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66.12</w:t>
                  </w:r>
                </w:p>
              </w:tc>
              <w:tc>
                <w:tcPr>
                  <w:tcW w:w="956" w:type="dxa"/>
                  <w:noWrap w:val="0"/>
                  <w:vAlign w:val="center"/>
                </w:tcPr>
                <w:p w14:paraId="38F6267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8</w:t>
                  </w:r>
                </w:p>
              </w:tc>
            </w:tr>
            <w:tr w14:paraId="0CCDEB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4536BA0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污染物排放速率（kg/h）</w:t>
                  </w:r>
                </w:p>
              </w:tc>
              <w:tc>
                <w:tcPr>
                  <w:tcW w:w="1766" w:type="dxa"/>
                  <w:gridSpan w:val="2"/>
                  <w:noWrap w:val="0"/>
                  <w:vAlign w:val="center"/>
                </w:tcPr>
                <w:p w14:paraId="1C1A87E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0.124</w:t>
                  </w:r>
                </w:p>
              </w:tc>
              <w:tc>
                <w:tcPr>
                  <w:tcW w:w="945" w:type="dxa"/>
                  <w:gridSpan w:val="2"/>
                  <w:noWrap w:val="0"/>
                  <w:vAlign w:val="center"/>
                </w:tcPr>
                <w:p w14:paraId="48112FF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0.016</w:t>
                  </w:r>
                </w:p>
              </w:tc>
              <w:tc>
                <w:tcPr>
                  <w:tcW w:w="956" w:type="dxa"/>
                  <w:noWrap w:val="0"/>
                  <w:vAlign w:val="center"/>
                </w:tcPr>
                <w:p w14:paraId="7081CC6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0.0013</w:t>
                  </w:r>
                </w:p>
              </w:tc>
              <w:tc>
                <w:tcPr>
                  <w:tcW w:w="957" w:type="dxa"/>
                  <w:gridSpan w:val="2"/>
                  <w:noWrap w:val="0"/>
                  <w:vAlign w:val="center"/>
                </w:tcPr>
                <w:p w14:paraId="0B20788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0.056</w:t>
                  </w:r>
                </w:p>
              </w:tc>
              <w:tc>
                <w:tcPr>
                  <w:tcW w:w="959" w:type="dxa"/>
                  <w:noWrap w:val="0"/>
                  <w:vAlign w:val="center"/>
                </w:tcPr>
                <w:p w14:paraId="37448CD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0.214</w:t>
                  </w:r>
                </w:p>
              </w:tc>
              <w:tc>
                <w:tcPr>
                  <w:tcW w:w="956" w:type="dxa"/>
                  <w:noWrap w:val="0"/>
                  <w:vAlign w:val="center"/>
                </w:tcPr>
                <w:p w14:paraId="63FE765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0.025</w:t>
                  </w:r>
                </w:p>
              </w:tc>
            </w:tr>
            <w:tr w14:paraId="6EAD4C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218" w:type="dxa"/>
                  <w:gridSpan w:val="2"/>
                  <w:noWrap w:val="0"/>
                  <w:vAlign w:val="center"/>
                </w:tcPr>
                <w:p w14:paraId="193B1E9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污染物排放量（t/a）</w:t>
                  </w:r>
                </w:p>
              </w:tc>
              <w:tc>
                <w:tcPr>
                  <w:tcW w:w="1766" w:type="dxa"/>
                  <w:gridSpan w:val="2"/>
                  <w:tcBorders>
                    <w:right w:val="single" w:color="auto" w:sz="4" w:space="0"/>
                  </w:tcBorders>
                  <w:noWrap w:val="0"/>
                  <w:vAlign w:val="center"/>
                </w:tcPr>
                <w:p w14:paraId="1D974D2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0.092</w:t>
                  </w:r>
                </w:p>
              </w:tc>
              <w:tc>
                <w:tcPr>
                  <w:tcW w:w="945" w:type="dxa"/>
                  <w:gridSpan w:val="2"/>
                  <w:tcBorders>
                    <w:right w:val="single" w:color="auto" w:sz="4" w:space="0"/>
                  </w:tcBorders>
                  <w:noWrap w:val="0"/>
                  <w:vAlign w:val="center"/>
                </w:tcPr>
                <w:p w14:paraId="3E1E227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0.039</w:t>
                  </w:r>
                </w:p>
              </w:tc>
              <w:tc>
                <w:tcPr>
                  <w:tcW w:w="956" w:type="dxa"/>
                  <w:tcBorders>
                    <w:left w:val="single" w:color="auto" w:sz="4" w:space="0"/>
                  </w:tcBorders>
                  <w:noWrap w:val="0"/>
                  <w:vAlign w:val="center"/>
                </w:tcPr>
                <w:p w14:paraId="53E6817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0.003</w:t>
                  </w:r>
                </w:p>
              </w:tc>
              <w:tc>
                <w:tcPr>
                  <w:tcW w:w="957" w:type="dxa"/>
                  <w:gridSpan w:val="2"/>
                  <w:tcBorders>
                    <w:left w:val="single" w:color="auto" w:sz="4" w:space="0"/>
                  </w:tcBorders>
                  <w:noWrap w:val="0"/>
                  <w:vAlign w:val="center"/>
                </w:tcPr>
                <w:p w14:paraId="2DA38DC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0.136</w:t>
                  </w:r>
                </w:p>
              </w:tc>
              <w:tc>
                <w:tcPr>
                  <w:tcW w:w="959" w:type="dxa"/>
                  <w:tcBorders>
                    <w:left w:val="single" w:color="auto" w:sz="4" w:space="0"/>
                  </w:tcBorders>
                  <w:noWrap w:val="0"/>
                  <w:vAlign w:val="center"/>
                </w:tcPr>
                <w:p w14:paraId="750B4A5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0.513</w:t>
                  </w:r>
                </w:p>
              </w:tc>
              <w:tc>
                <w:tcPr>
                  <w:tcW w:w="956" w:type="dxa"/>
                  <w:tcBorders>
                    <w:left w:val="single" w:color="auto" w:sz="4" w:space="0"/>
                  </w:tcBorders>
                  <w:noWrap w:val="0"/>
                  <w:vAlign w:val="center"/>
                </w:tcPr>
                <w:p w14:paraId="6FBE337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0.06</w:t>
                  </w:r>
                </w:p>
              </w:tc>
            </w:tr>
            <w:tr w14:paraId="019ADD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restart"/>
                  <w:noWrap w:val="0"/>
                  <w:vAlign w:val="center"/>
                </w:tcPr>
                <w:p w14:paraId="267F168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排放口基本情况</w:t>
                  </w:r>
                </w:p>
              </w:tc>
              <w:tc>
                <w:tcPr>
                  <w:tcW w:w="1663" w:type="dxa"/>
                  <w:noWrap w:val="0"/>
                  <w:vAlign w:val="center"/>
                </w:tcPr>
                <w:p w14:paraId="22C90F3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高度（m）</w:t>
                  </w:r>
                </w:p>
              </w:tc>
              <w:tc>
                <w:tcPr>
                  <w:tcW w:w="2711" w:type="dxa"/>
                  <w:gridSpan w:val="4"/>
                  <w:tcBorders>
                    <w:right w:val="single" w:color="auto" w:sz="4" w:space="0"/>
                  </w:tcBorders>
                  <w:noWrap w:val="0"/>
                  <w:vAlign w:val="center"/>
                </w:tcPr>
                <w:p w14:paraId="5D39A12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3828" w:type="dxa"/>
                  <w:gridSpan w:val="5"/>
                  <w:tcBorders>
                    <w:left w:val="single" w:color="auto" w:sz="4" w:space="0"/>
                  </w:tcBorders>
                  <w:noWrap w:val="0"/>
                  <w:vAlign w:val="center"/>
                </w:tcPr>
                <w:p w14:paraId="202C1D5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r>
            <w:tr w14:paraId="69193A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3DE31D6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0E841DB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排气筒内径（m）</w:t>
                  </w:r>
                </w:p>
              </w:tc>
              <w:tc>
                <w:tcPr>
                  <w:tcW w:w="2711" w:type="dxa"/>
                  <w:gridSpan w:val="4"/>
                  <w:tcBorders>
                    <w:right w:val="single" w:color="auto" w:sz="4" w:space="0"/>
                  </w:tcBorders>
                  <w:noWrap w:val="0"/>
                  <w:vAlign w:val="center"/>
                </w:tcPr>
                <w:p w14:paraId="7579295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2</w:t>
                  </w:r>
                </w:p>
              </w:tc>
              <w:tc>
                <w:tcPr>
                  <w:tcW w:w="3828" w:type="dxa"/>
                  <w:gridSpan w:val="5"/>
                  <w:tcBorders>
                    <w:left w:val="single" w:color="auto" w:sz="4" w:space="0"/>
                  </w:tcBorders>
                  <w:noWrap w:val="0"/>
                  <w:vAlign w:val="center"/>
                </w:tcPr>
                <w:p w14:paraId="533EF8A4">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3</w:t>
                  </w:r>
                </w:p>
              </w:tc>
            </w:tr>
            <w:tr w14:paraId="2A5A50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7449C23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32FAD7B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温度（℃）</w:t>
                  </w:r>
                </w:p>
              </w:tc>
              <w:tc>
                <w:tcPr>
                  <w:tcW w:w="2711" w:type="dxa"/>
                  <w:gridSpan w:val="4"/>
                  <w:tcBorders>
                    <w:right w:val="single" w:color="auto" w:sz="4" w:space="0"/>
                  </w:tcBorders>
                  <w:noWrap w:val="0"/>
                  <w:vAlign w:val="center"/>
                </w:tcPr>
                <w:p w14:paraId="0EAF8E2C">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3828" w:type="dxa"/>
                  <w:gridSpan w:val="5"/>
                  <w:tcBorders>
                    <w:left w:val="single" w:color="auto" w:sz="4" w:space="0"/>
                  </w:tcBorders>
                  <w:noWrap w:val="0"/>
                  <w:vAlign w:val="center"/>
                </w:tcPr>
                <w:p w14:paraId="074EABC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45</w:t>
                  </w:r>
                </w:p>
              </w:tc>
            </w:tr>
            <w:tr w14:paraId="51A5CF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1B38C1F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4D087AE8">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年排放时数</w:t>
                  </w:r>
                  <w:r>
                    <w:rPr>
                      <w:rFonts w:hint="eastAsia" w:ascii="Times New Roman" w:hAnsi="Times New Roman" w:cs="Times New Roman"/>
                      <w:b/>
                      <w:bCs/>
                      <w:color w:val="auto"/>
                      <w:highlight w:val="none"/>
                      <w:lang w:eastAsia="zh-CN"/>
                    </w:rPr>
                    <w:t>（</w:t>
                  </w:r>
                  <w:r>
                    <w:rPr>
                      <w:rFonts w:hint="eastAsia" w:ascii="Times New Roman" w:hAnsi="Times New Roman" w:cs="Times New Roman"/>
                      <w:b/>
                      <w:bCs/>
                      <w:color w:val="auto"/>
                      <w:highlight w:val="none"/>
                      <w:lang w:val="en-US" w:eastAsia="zh-CN"/>
                    </w:rPr>
                    <w:t>h</w:t>
                  </w:r>
                  <w:r>
                    <w:rPr>
                      <w:rFonts w:hint="eastAsia" w:ascii="Times New Roman" w:hAnsi="Times New Roman" w:cs="Times New Roman"/>
                      <w:b/>
                      <w:bCs/>
                      <w:color w:val="auto"/>
                      <w:highlight w:val="none"/>
                      <w:lang w:eastAsia="zh-CN"/>
                    </w:rPr>
                    <w:t>）</w:t>
                  </w:r>
                </w:p>
              </w:tc>
              <w:tc>
                <w:tcPr>
                  <w:tcW w:w="876" w:type="dxa"/>
                  <w:tcBorders>
                    <w:right w:val="single" w:color="auto" w:sz="4" w:space="0"/>
                  </w:tcBorders>
                  <w:noWrap w:val="0"/>
                  <w:vAlign w:val="center"/>
                </w:tcPr>
                <w:p w14:paraId="4FC1A84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300</w:t>
                  </w:r>
                </w:p>
              </w:tc>
              <w:tc>
                <w:tcPr>
                  <w:tcW w:w="1835" w:type="dxa"/>
                  <w:gridSpan w:val="3"/>
                  <w:tcBorders>
                    <w:right w:val="single" w:color="auto" w:sz="4" w:space="0"/>
                  </w:tcBorders>
                  <w:noWrap w:val="0"/>
                  <w:vAlign w:val="center"/>
                </w:tcPr>
                <w:p w14:paraId="1837FA2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2400</w:t>
                  </w:r>
                </w:p>
              </w:tc>
              <w:tc>
                <w:tcPr>
                  <w:tcW w:w="3828" w:type="dxa"/>
                  <w:gridSpan w:val="5"/>
                  <w:tcBorders>
                    <w:left w:val="single" w:color="auto" w:sz="4" w:space="0"/>
                  </w:tcBorders>
                  <w:noWrap w:val="0"/>
                  <w:vAlign w:val="center"/>
                </w:tcPr>
                <w:p w14:paraId="1C428D4A">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2400</w:t>
                  </w:r>
                </w:p>
              </w:tc>
            </w:tr>
            <w:tr w14:paraId="797583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0626B17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0E36F64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编号及名称</w:t>
                  </w:r>
                </w:p>
              </w:tc>
              <w:tc>
                <w:tcPr>
                  <w:tcW w:w="2711" w:type="dxa"/>
                  <w:gridSpan w:val="4"/>
                  <w:tcBorders>
                    <w:right w:val="single" w:color="auto" w:sz="4" w:space="0"/>
                  </w:tcBorders>
                  <w:noWrap w:val="0"/>
                  <w:vAlign w:val="center"/>
                </w:tcPr>
                <w:p w14:paraId="354E2CDC">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DA00</w:t>
                  </w:r>
                  <w:r>
                    <w:rPr>
                      <w:rFonts w:hint="default" w:ascii="Times New Roman" w:hAnsi="Times New Roman" w:cs="Times New Roman"/>
                      <w:color w:val="auto"/>
                      <w:highlight w:val="none"/>
                    </w:rPr>
                    <w:t>1</w:t>
                  </w:r>
                </w:p>
              </w:tc>
              <w:tc>
                <w:tcPr>
                  <w:tcW w:w="3828" w:type="dxa"/>
                  <w:gridSpan w:val="5"/>
                  <w:tcBorders>
                    <w:left w:val="single" w:color="auto" w:sz="4" w:space="0"/>
                  </w:tcBorders>
                  <w:noWrap w:val="0"/>
                  <w:vAlign w:val="center"/>
                </w:tcPr>
                <w:p w14:paraId="1950ABA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DA002</w:t>
                  </w:r>
                </w:p>
              </w:tc>
            </w:tr>
            <w:tr w14:paraId="4E8914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59760F1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487C42E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类型</w:t>
                  </w:r>
                </w:p>
              </w:tc>
              <w:tc>
                <w:tcPr>
                  <w:tcW w:w="2711" w:type="dxa"/>
                  <w:gridSpan w:val="4"/>
                  <w:tcBorders>
                    <w:right w:val="single" w:color="auto" w:sz="4" w:space="0"/>
                  </w:tcBorders>
                  <w:noWrap w:val="0"/>
                  <w:vAlign w:val="center"/>
                </w:tcPr>
                <w:p w14:paraId="1D3E388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一般排放口</w:t>
                  </w:r>
                </w:p>
              </w:tc>
              <w:tc>
                <w:tcPr>
                  <w:tcW w:w="3828" w:type="dxa"/>
                  <w:gridSpan w:val="5"/>
                  <w:tcBorders>
                    <w:left w:val="single" w:color="auto" w:sz="4" w:space="0"/>
                  </w:tcBorders>
                  <w:noWrap w:val="0"/>
                  <w:vAlign w:val="center"/>
                </w:tcPr>
                <w:p w14:paraId="083D849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一般排放口</w:t>
                  </w:r>
                </w:p>
              </w:tc>
            </w:tr>
            <w:tr w14:paraId="60BEF7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7E34EE5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vMerge w:val="restart"/>
                  <w:noWrap w:val="0"/>
                  <w:vAlign w:val="center"/>
                </w:tcPr>
                <w:p w14:paraId="41D4249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地理坐标</w:t>
                  </w:r>
                </w:p>
              </w:tc>
              <w:tc>
                <w:tcPr>
                  <w:tcW w:w="1766" w:type="dxa"/>
                  <w:gridSpan w:val="2"/>
                  <w:tcBorders>
                    <w:bottom w:val="single" w:color="auto" w:sz="4" w:space="0"/>
                    <w:right w:val="single" w:color="auto" w:sz="4" w:space="0"/>
                  </w:tcBorders>
                  <w:noWrap w:val="0"/>
                  <w:vAlign w:val="center"/>
                </w:tcPr>
                <w:p w14:paraId="42791B4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经度</w:t>
                  </w:r>
                </w:p>
              </w:tc>
              <w:tc>
                <w:tcPr>
                  <w:tcW w:w="945" w:type="dxa"/>
                  <w:gridSpan w:val="2"/>
                  <w:tcBorders>
                    <w:left w:val="single" w:color="auto" w:sz="4" w:space="0"/>
                    <w:bottom w:val="single" w:color="auto" w:sz="4" w:space="0"/>
                    <w:right w:val="single" w:color="auto" w:sz="4" w:space="0"/>
                  </w:tcBorders>
                  <w:noWrap w:val="0"/>
                  <w:vAlign w:val="center"/>
                </w:tcPr>
                <w:p w14:paraId="3C49CA6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纬度</w:t>
                  </w:r>
                </w:p>
              </w:tc>
              <w:tc>
                <w:tcPr>
                  <w:tcW w:w="1496" w:type="dxa"/>
                  <w:gridSpan w:val="2"/>
                  <w:tcBorders>
                    <w:left w:val="single" w:color="auto" w:sz="4" w:space="0"/>
                    <w:bottom w:val="single" w:color="auto" w:sz="4" w:space="0"/>
                    <w:right w:val="single" w:color="auto" w:sz="4" w:space="0"/>
                  </w:tcBorders>
                  <w:noWrap w:val="0"/>
                  <w:vAlign w:val="center"/>
                </w:tcPr>
                <w:p w14:paraId="168EC54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经度</w:t>
                  </w:r>
                </w:p>
              </w:tc>
              <w:tc>
                <w:tcPr>
                  <w:tcW w:w="2332" w:type="dxa"/>
                  <w:gridSpan w:val="3"/>
                  <w:tcBorders>
                    <w:left w:val="single" w:color="auto" w:sz="4" w:space="0"/>
                    <w:bottom w:val="single" w:color="auto" w:sz="4" w:space="0"/>
                  </w:tcBorders>
                  <w:noWrap w:val="0"/>
                  <w:vAlign w:val="center"/>
                </w:tcPr>
                <w:p w14:paraId="039ECC8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纬度</w:t>
                  </w:r>
                </w:p>
              </w:tc>
            </w:tr>
            <w:tr w14:paraId="72F44C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96" w:hRule="atLeast"/>
                <w:jc w:val="center"/>
              </w:trPr>
              <w:tc>
                <w:tcPr>
                  <w:tcW w:w="555" w:type="dxa"/>
                  <w:vMerge w:val="continue"/>
                  <w:noWrap w:val="0"/>
                  <w:vAlign w:val="center"/>
                </w:tcPr>
                <w:p w14:paraId="53A88F5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vMerge w:val="continue"/>
                  <w:noWrap w:val="0"/>
                  <w:vAlign w:val="center"/>
                </w:tcPr>
                <w:p w14:paraId="7899463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766" w:type="dxa"/>
                  <w:gridSpan w:val="2"/>
                  <w:tcBorders>
                    <w:top w:val="single" w:color="auto" w:sz="4" w:space="0"/>
                    <w:right w:val="single" w:color="auto" w:sz="4" w:space="0"/>
                  </w:tcBorders>
                  <w:noWrap w:val="0"/>
                  <w:vAlign w:val="center"/>
                </w:tcPr>
                <w:p w14:paraId="13BB1D3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117.985800</w:t>
                  </w:r>
                </w:p>
              </w:tc>
              <w:tc>
                <w:tcPr>
                  <w:tcW w:w="945" w:type="dxa"/>
                  <w:gridSpan w:val="2"/>
                  <w:tcBorders>
                    <w:top w:val="single" w:color="auto" w:sz="4" w:space="0"/>
                    <w:left w:val="single" w:color="auto" w:sz="4" w:space="0"/>
                    <w:right w:val="single" w:color="auto" w:sz="4" w:space="0"/>
                  </w:tcBorders>
                  <w:noWrap w:val="0"/>
                  <w:vAlign w:val="center"/>
                </w:tcPr>
                <w:p w14:paraId="4E34238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36.696653</w:t>
                  </w:r>
                </w:p>
              </w:tc>
              <w:tc>
                <w:tcPr>
                  <w:tcW w:w="1496" w:type="dxa"/>
                  <w:gridSpan w:val="2"/>
                  <w:tcBorders>
                    <w:top w:val="single" w:color="auto" w:sz="4" w:space="0"/>
                    <w:left w:val="single" w:color="auto" w:sz="4" w:space="0"/>
                    <w:right w:val="single" w:color="auto" w:sz="4" w:space="0"/>
                  </w:tcBorders>
                  <w:noWrap w:val="0"/>
                  <w:vAlign w:val="center"/>
                </w:tcPr>
                <w:p w14:paraId="36FEFE9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117.985661</w:t>
                  </w:r>
                </w:p>
              </w:tc>
              <w:tc>
                <w:tcPr>
                  <w:tcW w:w="2332" w:type="dxa"/>
                  <w:gridSpan w:val="3"/>
                  <w:tcBorders>
                    <w:top w:val="single" w:color="auto" w:sz="4" w:space="0"/>
                    <w:left w:val="single" w:color="auto" w:sz="4" w:space="0"/>
                  </w:tcBorders>
                  <w:noWrap w:val="0"/>
                  <w:vAlign w:val="center"/>
                </w:tcPr>
                <w:p w14:paraId="4780AA9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36.696332</w:t>
                  </w:r>
                </w:p>
              </w:tc>
            </w:tr>
            <w:tr w14:paraId="3ADFC2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85" w:hRule="atLeast"/>
                <w:jc w:val="center"/>
              </w:trPr>
              <w:tc>
                <w:tcPr>
                  <w:tcW w:w="2218" w:type="dxa"/>
                  <w:gridSpan w:val="2"/>
                  <w:noWrap w:val="0"/>
                  <w:vAlign w:val="center"/>
                </w:tcPr>
                <w:p w14:paraId="797F4BF7">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排放标准</w:t>
                  </w:r>
                  <w:r>
                    <w:rPr>
                      <w:rFonts w:hint="eastAsia" w:ascii="Times New Roman" w:hAnsi="Times New Roman" w:cs="Times New Roman"/>
                      <w:b/>
                      <w:bCs/>
                      <w:color w:val="auto"/>
                      <w:highlight w:val="none"/>
                      <w:lang w:eastAsia="zh-CN"/>
                    </w:rPr>
                    <w:t>（</w:t>
                  </w:r>
                  <w:r>
                    <w:rPr>
                      <w:rFonts w:hint="default" w:ascii="Times New Roman" w:hAnsi="Times New Roman" w:cs="Times New Roman"/>
                      <w:b/>
                      <w:bCs/>
                      <w:color w:val="auto"/>
                      <w:highlight w:val="none"/>
                    </w:rPr>
                    <w:t>mg/m³</w:t>
                  </w:r>
                  <w:r>
                    <w:rPr>
                      <w:rFonts w:hint="eastAsia" w:ascii="Times New Roman" w:hAnsi="Times New Roman" w:cs="Times New Roman"/>
                      <w:b/>
                      <w:bCs/>
                      <w:color w:val="auto"/>
                      <w:highlight w:val="none"/>
                      <w:lang w:eastAsia="zh-CN"/>
                    </w:rPr>
                    <w:t>）</w:t>
                  </w:r>
                </w:p>
              </w:tc>
              <w:tc>
                <w:tcPr>
                  <w:tcW w:w="1766" w:type="dxa"/>
                  <w:gridSpan w:val="2"/>
                  <w:tcBorders>
                    <w:right w:val="single" w:color="auto" w:sz="4" w:space="0"/>
                  </w:tcBorders>
                  <w:noWrap w:val="0"/>
                  <w:vAlign w:val="center"/>
                </w:tcPr>
                <w:p w14:paraId="0A282634">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（0.26kg/h）</w:t>
                  </w:r>
                </w:p>
              </w:tc>
              <w:tc>
                <w:tcPr>
                  <w:tcW w:w="945" w:type="dxa"/>
                  <w:gridSpan w:val="2"/>
                  <w:tcBorders>
                    <w:right w:val="single" w:color="auto" w:sz="4" w:space="0"/>
                  </w:tcBorders>
                  <w:noWrap w:val="0"/>
                  <w:vAlign w:val="center"/>
                </w:tcPr>
                <w:p w14:paraId="7A656A1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w:t>
                  </w:r>
                </w:p>
              </w:tc>
              <w:tc>
                <w:tcPr>
                  <w:tcW w:w="956" w:type="dxa"/>
                  <w:tcBorders>
                    <w:left w:val="single" w:color="auto" w:sz="4" w:space="0"/>
                  </w:tcBorders>
                  <w:noWrap w:val="0"/>
                  <w:vAlign w:val="center"/>
                </w:tcPr>
                <w:p w14:paraId="2895598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en-US" w:eastAsia="zh-CN"/>
                    </w:rPr>
                    <w:t>0</w:t>
                  </w:r>
                </w:p>
              </w:tc>
              <w:tc>
                <w:tcPr>
                  <w:tcW w:w="957" w:type="dxa"/>
                  <w:gridSpan w:val="2"/>
                  <w:tcBorders>
                    <w:left w:val="single" w:color="auto" w:sz="4" w:space="0"/>
                  </w:tcBorders>
                  <w:noWrap w:val="0"/>
                  <w:vAlign w:val="center"/>
                </w:tcPr>
                <w:p w14:paraId="2264CC1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50</w:t>
                  </w:r>
                </w:p>
              </w:tc>
              <w:tc>
                <w:tcPr>
                  <w:tcW w:w="959" w:type="dxa"/>
                  <w:tcBorders>
                    <w:left w:val="single" w:color="auto" w:sz="4" w:space="0"/>
                  </w:tcBorders>
                  <w:noWrap w:val="0"/>
                  <w:vAlign w:val="center"/>
                </w:tcPr>
                <w:p w14:paraId="4F55631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100</w:t>
                  </w:r>
                </w:p>
              </w:tc>
              <w:tc>
                <w:tcPr>
                  <w:tcW w:w="956" w:type="dxa"/>
                  <w:tcBorders>
                    <w:left w:val="single" w:color="auto" w:sz="4" w:space="0"/>
                  </w:tcBorders>
                  <w:noWrap w:val="0"/>
                  <w:vAlign w:val="center"/>
                </w:tcPr>
                <w:p w14:paraId="57D9455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w:t>
                  </w:r>
                </w:p>
              </w:tc>
            </w:tr>
            <w:tr w14:paraId="4A5A445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restart"/>
                  <w:noWrap w:val="0"/>
                  <w:vAlign w:val="center"/>
                </w:tcPr>
                <w:p w14:paraId="40A347A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监测要求</w:t>
                  </w:r>
                </w:p>
              </w:tc>
              <w:tc>
                <w:tcPr>
                  <w:tcW w:w="1663" w:type="dxa"/>
                  <w:noWrap w:val="0"/>
                  <w:vAlign w:val="center"/>
                </w:tcPr>
                <w:p w14:paraId="79D779D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监测点位</w:t>
                  </w:r>
                </w:p>
              </w:tc>
              <w:tc>
                <w:tcPr>
                  <w:tcW w:w="2711" w:type="dxa"/>
                  <w:gridSpan w:val="4"/>
                  <w:tcBorders>
                    <w:right w:val="single" w:color="auto" w:sz="4" w:space="0"/>
                  </w:tcBorders>
                  <w:noWrap w:val="0"/>
                  <w:vAlign w:val="center"/>
                </w:tcPr>
                <w:p w14:paraId="4FF45AB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DA00</w:t>
                  </w:r>
                  <w:r>
                    <w:rPr>
                      <w:rFonts w:hint="default" w:ascii="Times New Roman" w:hAnsi="Times New Roman" w:cs="Times New Roman"/>
                      <w:color w:val="auto"/>
                      <w:highlight w:val="none"/>
                    </w:rPr>
                    <w:t>1排气筒</w:t>
                  </w:r>
                </w:p>
              </w:tc>
              <w:tc>
                <w:tcPr>
                  <w:tcW w:w="3828" w:type="dxa"/>
                  <w:gridSpan w:val="5"/>
                  <w:tcBorders>
                    <w:left w:val="single" w:color="auto" w:sz="4" w:space="0"/>
                  </w:tcBorders>
                  <w:noWrap w:val="0"/>
                  <w:vAlign w:val="center"/>
                </w:tcPr>
                <w:p w14:paraId="57FF003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DA002排气筒</w:t>
                  </w:r>
                </w:p>
              </w:tc>
            </w:tr>
            <w:tr w14:paraId="2017C3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55" w:type="dxa"/>
                  <w:vMerge w:val="continue"/>
                  <w:noWrap w:val="0"/>
                  <w:vAlign w:val="center"/>
                </w:tcPr>
                <w:p w14:paraId="35D1D74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7A8642F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监测因子</w:t>
                  </w:r>
                </w:p>
              </w:tc>
              <w:tc>
                <w:tcPr>
                  <w:tcW w:w="1777" w:type="dxa"/>
                  <w:gridSpan w:val="3"/>
                  <w:noWrap w:val="0"/>
                  <w:vAlign w:val="center"/>
                </w:tcPr>
                <w:p w14:paraId="54613D8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sz w:val="21"/>
                      <w:szCs w:val="24"/>
                      <w:lang w:val="en-US" w:eastAsia="zh-CN"/>
                    </w:rPr>
                    <w:t>氯化氢</w:t>
                  </w:r>
                </w:p>
              </w:tc>
              <w:tc>
                <w:tcPr>
                  <w:tcW w:w="934" w:type="dxa"/>
                  <w:tcBorders>
                    <w:right w:val="single" w:color="auto" w:sz="4" w:space="0"/>
                  </w:tcBorders>
                  <w:noWrap w:val="0"/>
                  <w:vAlign w:val="center"/>
                </w:tcPr>
                <w:p w14:paraId="646D566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颗粒物</w:t>
                  </w:r>
                </w:p>
              </w:tc>
              <w:tc>
                <w:tcPr>
                  <w:tcW w:w="956" w:type="dxa"/>
                  <w:tcBorders>
                    <w:left w:val="single" w:color="auto" w:sz="4" w:space="0"/>
                  </w:tcBorders>
                  <w:noWrap w:val="0"/>
                  <w:vAlign w:val="center"/>
                </w:tcPr>
                <w:p w14:paraId="5F34AC4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957" w:type="dxa"/>
                  <w:gridSpan w:val="2"/>
                  <w:tcBorders>
                    <w:left w:val="single" w:color="auto" w:sz="4" w:space="0"/>
                  </w:tcBorders>
                  <w:noWrap w:val="0"/>
                  <w:vAlign w:val="center"/>
                </w:tcPr>
                <w:p w14:paraId="2D23286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二氧化硫</w:t>
                  </w:r>
                </w:p>
              </w:tc>
              <w:tc>
                <w:tcPr>
                  <w:tcW w:w="959" w:type="dxa"/>
                  <w:tcBorders>
                    <w:left w:val="single" w:color="auto" w:sz="4" w:space="0"/>
                  </w:tcBorders>
                  <w:noWrap w:val="0"/>
                  <w:vAlign w:val="center"/>
                </w:tcPr>
                <w:p w14:paraId="6D1756C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氮氧化物</w:t>
                  </w:r>
                </w:p>
              </w:tc>
              <w:tc>
                <w:tcPr>
                  <w:tcW w:w="956" w:type="dxa"/>
                  <w:tcBorders>
                    <w:left w:val="single" w:color="auto" w:sz="4" w:space="0"/>
                  </w:tcBorders>
                  <w:noWrap w:val="0"/>
                  <w:vAlign w:val="center"/>
                </w:tcPr>
                <w:p w14:paraId="6CD47E0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氨</w:t>
                  </w:r>
                </w:p>
              </w:tc>
            </w:tr>
            <w:tr w14:paraId="7D27B9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555" w:type="dxa"/>
                  <w:vMerge w:val="continue"/>
                  <w:noWrap w:val="0"/>
                  <w:vAlign w:val="center"/>
                </w:tcPr>
                <w:p w14:paraId="684C8F7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p>
              </w:tc>
              <w:tc>
                <w:tcPr>
                  <w:tcW w:w="1663" w:type="dxa"/>
                  <w:noWrap w:val="0"/>
                  <w:vAlign w:val="center"/>
                </w:tcPr>
                <w:p w14:paraId="732DF4A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监测频次</w:t>
                  </w:r>
                </w:p>
              </w:tc>
              <w:tc>
                <w:tcPr>
                  <w:tcW w:w="1777" w:type="dxa"/>
                  <w:gridSpan w:val="3"/>
                  <w:noWrap w:val="0"/>
                  <w:vAlign w:val="center"/>
                </w:tcPr>
                <w:p w14:paraId="17E8677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c>
                <w:tcPr>
                  <w:tcW w:w="934" w:type="dxa"/>
                  <w:tcBorders>
                    <w:right w:val="single" w:color="auto" w:sz="4" w:space="0"/>
                  </w:tcBorders>
                  <w:noWrap w:val="0"/>
                  <w:vAlign w:val="center"/>
                </w:tcPr>
                <w:p w14:paraId="138EBFD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1次/年</w:t>
                  </w:r>
                </w:p>
              </w:tc>
              <w:tc>
                <w:tcPr>
                  <w:tcW w:w="956" w:type="dxa"/>
                  <w:tcBorders>
                    <w:left w:val="single" w:color="auto" w:sz="4" w:space="0"/>
                  </w:tcBorders>
                  <w:noWrap w:val="0"/>
                  <w:vAlign w:val="center"/>
                </w:tcPr>
                <w:p w14:paraId="0B71BD94">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c>
                <w:tcPr>
                  <w:tcW w:w="957" w:type="dxa"/>
                  <w:gridSpan w:val="2"/>
                  <w:tcBorders>
                    <w:left w:val="single" w:color="auto" w:sz="4" w:space="0"/>
                  </w:tcBorders>
                  <w:noWrap w:val="0"/>
                  <w:vAlign w:val="center"/>
                </w:tcPr>
                <w:p w14:paraId="731F365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c>
                <w:tcPr>
                  <w:tcW w:w="959" w:type="dxa"/>
                  <w:tcBorders>
                    <w:left w:val="single" w:color="auto" w:sz="4" w:space="0"/>
                  </w:tcBorders>
                  <w:noWrap w:val="0"/>
                  <w:vAlign w:val="center"/>
                </w:tcPr>
                <w:p w14:paraId="35CC5B9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c>
                <w:tcPr>
                  <w:tcW w:w="956" w:type="dxa"/>
                  <w:tcBorders>
                    <w:left w:val="single" w:color="auto" w:sz="4" w:space="0"/>
                  </w:tcBorders>
                  <w:noWrap w:val="0"/>
                  <w:vAlign w:val="center"/>
                </w:tcPr>
                <w:p w14:paraId="2E4B20B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r>
          </w:tbl>
          <w:p w14:paraId="7B6B5D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bCs w:val="0"/>
                <w:color w:val="auto"/>
                <w:szCs w:val="21"/>
                <w:highlight w:val="none"/>
                <w:lang w:val="en-US" w:eastAsia="zh-CN"/>
              </w:rPr>
            </w:pPr>
            <w:r>
              <w:rPr>
                <w:rFonts w:hint="default" w:ascii="Times New Roman" w:hAnsi="Times New Roman" w:eastAsia="宋体" w:cs="Times New Roman"/>
                <w:b/>
                <w:bCs w:val="0"/>
                <w:color w:val="auto"/>
                <w:szCs w:val="21"/>
                <w:highlight w:val="none"/>
                <w:lang w:val="en-US" w:eastAsia="zh-CN"/>
              </w:rPr>
              <w:t>表4-2 废气污染物排放情况一览表</w:t>
            </w:r>
          </w:p>
          <w:tbl>
            <w:tblPr>
              <w:tblStyle w:val="32"/>
              <w:tblW w:w="497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403"/>
              <w:gridCol w:w="3301"/>
              <w:gridCol w:w="2993"/>
            </w:tblGrid>
            <w:tr w14:paraId="04C2BE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3FA67A5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lang w:bidi="ar"/>
                    </w:rPr>
                    <w:t>产污环节</w:t>
                  </w:r>
                </w:p>
              </w:tc>
              <w:tc>
                <w:tcPr>
                  <w:tcW w:w="6294" w:type="dxa"/>
                  <w:gridSpan w:val="2"/>
                  <w:noWrap w:val="0"/>
                  <w:vAlign w:val="center"/>
                </w:tcPr>
                <w:p w14:paraId="687A111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未被收集</w:t>
                  </w:r>
                </w:p>
              </w:tc>
            </w:tr>
            <w:tr w14:paraId="6FE953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7AD2C89E">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lang w:bidi="ar"/>
                    </w:rPr>
                  </w:pPr>
                  <w:r>
                    <w:rPr>
                      <w:rFonts w:hint="default" w:ascii="Times New Roman" w:hAnsi="Times New Roman" w:cs="Times New Roman"/>
                      <w:b/>
                      <w:bCs/>
                      <w:color w:val="auto"/>
                      <w:szCs w:val="21"/>
                      <w:highlight w:val="none"/>
                      <w:lang w:bidi="ar"/>
                    </w:rPr>
                    <w:t>污染物</w:t>
                  </w:r>
                </w:p>
              </w:tc>
              <w:tc>
                <w:tcPr>
                  <w:tcW w:w="3301" w:type="dxa"/>
                  <w:noWrap w:val="0"/>
                  <w:vAlign w:val="center"/>
                </w:tcPr>
                <w:p w14:paraId="5D407483">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eastAsia" w:ascii="Times New Roman" w:hAnsi="Times New Roman" w:eastAsia="宋体" w:cs="Times New Roman"/>
                      <w:color w:val="auto"/>
                      <w:sz w:val="21"/>
                      <w:szCs w:val="24"/>
                      <w:lang w:val="en-US" w:eastAsia="zh-CN"/>
                    </w:rPr>
                    <w:t>氯化氢</w:t>
                  </w:r>
                </w:p>
              </w:tc>
              <w:tc>
                <w:tcPr>
                  <w:tcW w:w="2993" w:type="dxa"/>
                  <w:noWrap w:val="0"/>
                  <w:vAlign w:val="center"/>
                </w:tcPr>
                <w:p w14:paraId="6DCB217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r>
            <w:tr w14:paraId="01DAA2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1203E3E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lang w:bidi="ar"/>
                    </w:rPr>
                  </w:pPr>
                  <w:r>
                    <w:rPr>
                      <w:rFonts w:hint="default" w:ascii="Times New Roman" w:hAnsi="Times New Roman" w:cs="Times New Roman"/>
                      <w:b/>
                      <w:bCs/>
                      <w:color w:val="auto"/>
                      <w:szCs w:val="21"/>
                      <w:highlight w:val="none"/>
                      <w:lang w:bidi="ar"/>
                    </w:rPr>
                    <w:t>产生量</w:t>
                  </w:r>
                  <w:r>
                    <w:rPr>
                      <w:rFonts w:hint="default" w:ascii="Times New Roman" w:hAnsi="Times New Roman" w:cs="Times New Roman"/>
                      <w:b/>
                      <w:bCs/>
                      <w:color w:val="auto"/>
                      <w:szCs w:val="21"/>
                      <w:highlight w:val="none"/>
                      <w:lang w:eastAsia="zh-CN" w:bidi="ar"/>
                    </w:rPr>
                    <w:t>（</w:t>
                  </w:r>
                  <w:r>
                    <w:rPr>
                      <w:rFonts w:hint="default" w:ascii="Times New Roman" w:hAnsi="Times New Roman" w:cs="Times New Roman"/>
                      <w:b/>
                      <w:bCs/>
                      <w:color w:val="auto"/>
                      <w:szCs w:val="21"/>
                      <w:highlight w:val="none"/>
                      <w:lang w:bidi="ar"/>
                    </w:rPr>
                    <w:t>t/a</w:t>
                  </w:r>
                  <w:r>
                    <w:rPr>
                      <w:rFonts w:hint="default" w:ascii="Times New Roman" w:hAnsi="Times New Roman" w:cs="Times New Roman"/>
                      <w:b/>
                      <w:bCs/>
                      <w:color w:val="auto"/>
                      <w:szCs w:val="21"/>
                      <w:highlight w:val="none"/>
                      <w:lang w:eastAsia="zh-CN" w:bidi="ar"/>
                    </w:rPr>
                    <w:t>）</w:t>
                  </w:r>
                </w:p>
              </w:tc>
              <w:tc>
                <w:tcPr>
                  <w:tcW w:w="3301" w:type="dxa"/>
                  <w:shd w:val="clear" w:color="auto" w:fill="auto"/>
                  <w:noWrap w:val="0"/>
                  <w:vAlign w:val="center"/>
                </w:tcPr>
                <w:p w14:paraId="48132C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0.075</w:t>
                  </w:r>
                </w:p>
              </w:tc>
              <w:tc>
                <w:tcPr>
                  <w:tcW w:w="2993" w:type="dxa"/>
                  <w:shd w:val="clear" w:color="auto" w:fill="auto"/>
                  <w:noWrap w:val="0"/>
                  <w:vAlign w:val="center"/>
                </w:tcPr>
                <w:p w14:paraId="526BBE9A">
                  <w:pPr>
                    <w:keepNext w:val="0"/>
                    <w:keepLines w:val="0"/>
                    <w:suppressLineNumbers w:val="0"/>
                    <w:autoSpaceDE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eastAsia" w:ascii="Times New Roman" w:hAnsi="Times New Roman" w:eastAsia="宋体" w:cs="Times New Roman"/>
                      <w:color w:val="auto"/>
                      <w:lang w:val="en-US" w:eastAsia="zh-CN"/>
                    </w:rPr>
                    <w:t>0.432</w:t>
                  </w:r>
                </w:p>
              </w:tc>
            </w:tr>
            <w:tr w14:paraId="6E9EF4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3BDD82A8">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lang w:bidi="ar"/>
                    </w:rPr>
                  </w:pPr>
                  <w:r>
                    <w:rPr>
                      <w:rFonts w:hint="default" w:ascii="Times New Roman" w:hAnsi="Times New Roman" w:cs="Times New Roman"/>
                      <w:b/>
                      <w:bCs/>
                      <w:color w:val="auto"/>
                      <w:szCs w:val="21"/>
                      <w:highlight w:val="none"/>
                    </w:rPr>
                    <w:t>产生浓度</w:t>
                  </w:r>
                  <w:r>
                    <w:rPr>
                      <w:rFonts w:hint="default" w:ascii="Times New Roman" w:hAnsi="Times New Roman" w:cs="Times New Roman"/>
                      <w:b/>
                      <w:bCs/>
                      <w:color w:val="auto"/>
                      <w:szCs w:val="21"/>
                      <w:highlight w:val="none"/>
                      <w:lang w:eastAsia="zh-CN"/>
                    </w:rPr>
                    <w:t>（</w:t>
                  </w:r>
                  <w:r>
                    <w:rPr>
                      <w:rFonts w:hint="default" w:ascii="Times New Roman" w:hAnsi="Times New Roman" w:cs="Times New Roman"/>
                      <w:b/>
                      <w:bCs/>
                      <w:color w:val="auto"/>
                      <w:sz w:val="21"/>
                      <w:szCs w:val="21"/>
                      <w:highlight w:val="none"/>
                      <w:lang w:bidi="ar"/>
                    </w:rPr>
                    <w:t>mg/m</w:t>
                  </w:r>
                  <w:r>
                    <w:rPr>
                      <w:rFonts w:hint="default" w:ascii="Times New Roman" w:hAnsi="Times New Roman" w:cs="Times New Roman"/>
                      <w:b/>
                      <w:bCs/>
                      <w:color w:val="auto"/>
                      <w:sz w:val="21"/>
                      <w:szCs w:val="21"/>
                      <w:highlight w:val="none"/>
                      <w:vertAlign w:val="superscript"/>
                      <w:lang w:bidi="ar"/>
                    </w:rPr>
                    <w:t>3</w:t>
                  </w:r>
                  <w:r>
                    <w:rPr>
                      <w:rFonts w:hint="default" w:ascii="Times New Roman" w:hAnsi="Times New Roman" w:cs="Times New Roman"/>
                      <w:b/>
                      <w:bCs/>
                      <w:color w:val="auto"/>
                      <w:szCs w:val="21"/>
                      <w:highlight w:val="none"/>
                      <w:lang w:eastAsia="zh-CN"/>
                    </w:rPr>
                    <w:t>）</w:t>
                  </w:r>
                </w:p>
              </w:tc>
              <w:tc>
                <w:tcPr>
                  <w:tcW w:w="3301" w:type="dxa"/>
                  <w:tcBorders>
                    <w:right w:val="single" w:color="auto" w:sz="4" w:space="0"/>
                  </w:tcBorders>
                  <w:noWrap w:val="0"/>
                  <w:vAlign w:val="center"/>
                </w:tcPr>
                <w:p w14:paraId="1E74DB87">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lang w:eastAsia="zh-CN" w:bidi="ar"/>
                    </w:rPr>
                  </w:pPr>
                  <w:r>
                    <w:rPr>
                      <w:rFonts w:hint="eastAsia" w:ascii="Times New Roman" w:hAnsi="Times New Roman" w:cs="Times New Roman"/>
                      <w:color w:val="auto"/>
                      <w:szCs w:val="21"/>
                      <w:highlight w:val="none"/>
                      <w:lang w:val="en-US" w:eastAsia="zh-CN" w:bidi="ar"/>
                    </w:rPr>
                    <w:t>/</w:t>
                  </w:r>
                </w:p>
              </w:tc>
              <w:tc>
                <w:tcPr>
                  <w:tcW w:w="2993" w:type="dxa"/>
                  <w:tcBorders>
                    <w:left w:val="single" w:color="auto" w:sz="4" w:space="0"/>
                  </w:tcBorders>
                  <w:noWrap w:val="0"/>
                  <w:vAlign w:val="center"/>
                </w:tcPr>
                <w:p w14:paraId="7AEB755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w:t>
                  </w:r>
                </w:p>
              </w:tc>
            </w:tr>
            <w:tr w14:paraId="6D4DEE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4501F71F">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lang w:bidi="ar"/>
                    </w:rPr>
                  </w:pPr>
                  <w:r>
                    <w:rPr>
                      <w:rFonts w:hint="default" w:ascii="Times New Roman" w:hAnsi="Times New Roman" w:cs="Times New Roman"/>
                      <w:b/>
                      <w:bCs/>
                      <w:color w:val="auto"/>
                      <w:szCs w:val="21"/>
                      <w:highlight w:val="none"/>
                      <w:lang w:bidi="ar"/>
                    </w:rPr>
                    <w:t>排放形式</w:t>
                  </w:r>
                </w:p>
              </w:tc>
              <w:tc>
                <w:tcPr>
                  <w:tcW w:w="3301" w:type="dxa"/>
                  <w:tcBorders>
                    <w:right w:val="single" w:color="auto" w:sz="4" w:space="0"/>
                  </w:tcBorders>
                  <w:noWrap w:val="0"/>
                  <w:vAlign w:val="center"/>
                </w:tcPr>
                <w:p w14:paraId="052B2ADD">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无组织</w:t>
                  </w:r>
                </w:p>
              </w:tc>
              <w:tc>
                <w:tcPr>
                  <w:tcW w:w="2993" w:type="dxa"/>
                  <w:tcBorders>
                    <w:left w:val="single" w:color="auto" w:sz="4" w:space="0"/>
                  </w:tcBorders>
                  <w:noWrap w:val="0"/>
                  <w:vAlign w:val="center"/>
                </w:tcPr>
                <w:p w14:paraId="2A20904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无组织</w:t>
                  </w:r>
                </w:p>
              </w:tc>
            </w:tr>
            <w:tr w14:paraId="740C97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1BB7DF0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lang w:bidi="ar"/>
                    </w:rPr>
                  </w:pPr>
                  <w:r>
                    <w:rPr>
                      <w:rFonts w:hint="default" w:ascii="Times New Roman" w:hAnsi="Times New Roman" w:cs="Times New Roman"/>
                      <w:b/>
                      <w:bCs/>
                      <w:color w:val="auto"/>
                      <w:szCs w:val="21"/>
                      <w:highlight w:val="none"/>
                      <w:lang w:bidi="ar"/>
                    </w:rPr>
                    <w:t>治理设施</w:t>
                  </w:r>
                </w:p>
              </w:tc>
              <w:tc>
                <w:tcPr>
                  <w:tcW w:w="3301" w:type="dxa"/>
                  <w:tcBorders>
                    <w:right w:val="single" w:color="auto" w:sz="4" w:space="0"/>
                  </w:tcBorders>
                  <w:noWrap w:val="0"/>
                  <w:vAlign w:val="center"/>
                </w:tcPr>
                <w:p w14:paraId="3A520C0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车间密闭、厂区绿化</w:t>
                  </w:r>
                </w:p>
              </w:tc>
              <w:tc>
                <w:tcPr>
                  <w:tcW w:w="2993" w:type="dxa"/>
                  <w:tcBorders>
                    <w:left w:val="single" w:color="auto" w:sz="4" w:space="0"/>
                  </w:tcBorders>
                  <w:noWrap w:val="0"/>
                  <w:vAlign w:val="center"/>
                </w:tcPr>
                <w:p w14:paraId="66B668FA">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车间密闭、厂区绿化</w:t>
                  </w:r>
                </w:p>
              </w:tc>
            </w:tr>
            <w:tr w14:paraId="3E0C75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0D2FAC02">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lang w:bidi="ar"/>
                    </w:rPr>
                  </w:pPr>
                  <w:r>
                    <w:rPr>
                      <w:rFonts w:hint="default" w:ascii="Times New Roman" w:hAnsi="Times New Roman" w:cs="Times New Roman"/>
                      <w:b/>
                      <w:bCs/>
                      <w:color w:val="auto"/>
                      <w:szCs w:val="21"/>
                      <w:highlight w:val="none"/>
                      <w:lang w:bidi="ar"/>
                    </w:rPr>
                    <w:t>排放浓度</w:t>
                  </w:r>
                  <w:r>
                    <w:rPr>
                      <w:rFonts w:hint="default" w:ascii="Times New Roman" w:hAnsi="Times New Roman" w:cs="Times New Roman"/>
                      <w:b/>
                      <w:bCs/>
                      <w:color w:val="auto"/>
                      <w:szCs w:val="21"/>
                      <w:highlight w:val="none"/>
                      <w:lang w:eastAsia="zh-CN" w:bidi="ar"/>
                    </w:rPr>
                    <w:t>（</w:t>
                  </w:r>
                  <w:r>
                    <w:rPr>
                      <w:rFonts w:hint="default" w:ascii="Times New Roman" w:hAnsi="Times New Roman" w:cs="Times New Roman"/>
                      <w:b/>
                      <w:bCs/>
                      <w:color w:val="auto"/>
                      <w:szCs w:val="21"/>
                      <w:highlight w:val="none"/>
                      <w:lang w:bidi="ar"/>
                    </w:rPr>
                    <w:t>mg/m</w:t>
                  </w:r>
                  <w:r>
                    <w:rPr>
                      <w:rFonts w:hint="default" w:ascii="Times New Roman" w:hAnsi="Times New Roman" w:cs="Times New Roman"/>
                      <w:b/>
                      <w:bCs/>
                      <w:color w:val="auto"/>
                      <w:szCs w:val="21"/>
                      <w:highlight w:val="none"/>
                      <w:vertAlign w:val="superscript"/>
                      <w:lang w:bidi="ar"/>
                    </w:rPr>
                    <w:t>3</w:t>
                  </w:r>
                  <w:r>
                    <w:rPr>
                      <w:rFonts w:hint="default" w:ascii="Times New Roman" w:hAnsi="Times New Roman" w:cs="Times New Roman"/>
                      <w:b/>
                      <w:bCs/>
                      <w:color w:val="auto"/>
                      <w:szCs w:val="21"/>
                      <w:highlight w:val="none"/>
                      <w:lang w:eastAsia="zh-CN" w:bidi="ar"/>
                    </w:rPr>
                    <w:t>）</w:t>
                  </w:r>
                </w:p>
              </w:tc>
              <w:tc>
                <w:tcPr>
                  <w:tcW w:w="3301" w:type="dxa"/>
                  <w:noWrap w:val="0"/>
                  <w:vAlign w:val="center"/>
                </w:tcPr>
                <w:p w14:paraId="4CF899BA">
                  <w:pPr>
                    <w:keepNext w:val="0"/>
                    <w:keepLines w:val="0"/>
                    <w:suppressLineNumbers w:val="0"/>
                    <w:autoSpaceDE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bidi="ar"/>
                    </w:rPr>
                  </w:pPr>
                  <w:r>
                    <w:rPr>
                      <w:rFonts w:hint="eastAsia" w:ascii="Times New Roman" w:hAnsi="Times New Roman" w:cs="Times New Roman"/>
                      <w:color w:val="auto"/>
                      <w:szCs w:val="21"/>
                      <w:highlight w:val="none"/>
                      <w:lang w:val="en-US" w:eastAsia="zh-CN" w:bidi="ar"/>
                    </w:rPr>
                    <w:t>/</w:t>
                  </w:r>
                </w:p>
              </w:tc>
              <w:tc>
                <w:tcPr>
                  <w:tcW w:w="2993" w:type="dxa"/>
                  <w:noWrap w:val="0"/>
                  <w:vAlign w:val="center"/>
                </w:tcPr>
                <w:p w14:paraId="39D5096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w:t>
                  </w:r>
                </w:p>
              </w:tc>
            </w:tr>
            <w:tr w14:paraId="619238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3F6B2A8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bidi="ar"/>
                    </w:rPr>
                  </w:pPr>
                  <w:r>
                    <w:rPr>
                      <w:rFonts w:hint="default" w:ascii="Times New Roman" w:hAnsi="Times New Roman" w:cs="Times New Roman"/>
                      <w:b/>
                      <w:bCs/>
                      <w:color w:val="auto"/>
                      <w:szCs w:val="21"/>
                      <w:highlight w:val="none"/>
                    </w:rPr>
                    <w:t>排放速率</w:t>
                  </w:r>
                  <w:r>
                    <w:rPr>
                      <w:rFonts w:hint="default" w:ascii="Times New Roman" w:hAnsi="Times New Roman" w:cs="Times New Roman"/>
                      <w:b/>
                      <w:bCs/>
                      <w:color w:val="auto"/>
                      <w:szCs w:val="21"/>
                      <w:highlight w:val="none"/>
                      <w:lang w:eastAsia="zh-CN"/>
                    </w:rPr>
                    <w:t>（</w:t>
                  </w:r>
                  <w:r>
                    <w:rPr>
                      <w:rFonts w:hint="default" w:ascii="Times New Roman" w:hAnsi="Times New Roman" w:cs="Times New Roman"/>
                      <w:b/>
                      <w:bCs/>
                      <w:color w:val="auto"/>
                      <w:szCs w:val="21"/>
                      <w:highlight w:val="none"/>
                    </w:rPr>
                    <w:t>kg/h</w:t>
                  </w:r>
                  <w:r>
                    <w:rPr>
                      <w:rFonts w:hint="default" w:ascii="Times New Roman" w:hAnsi="Times New Roman" w:cs="Times New Roman"/>
                      <w:b/>
                      <w:bCs/>
                      <w:color w:val="auto"/>
                      <w:szCs w:val="21"/>
                      <w:highlight w:val="none"/>
                      <w:lang w:eastAsia="zh-CN"/>
                    </w:rPr>
                    <w:t>）</w:t>
                  </w:r>
                </w:p>
              </w:tc>
              <w:tc>
                <w:tcPr>
                  <w:tcW w:w="3301" w:type="dxa"/>
                  <w:noWrap w:val="0"/>
                  <w:vAlign w:val="center"/>
                </w:tcPr>
                <w:p w14:paraId="726FCB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0.049</w:t>
                  </w:r>
                </w:p>
              </w:tc>
              <w:tc>
                <w:tcPr>
                  <w:tcW w:w="2993" w:type="dxa"/>
                  <w:noWrap w:val="0"/>
                  <w:vAlign w:val="center"/>
                </w:tcPr>
                <w:p w14:paraId="044336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0.18</w:t>
                  </w:r>
                </w:p>
              </w:tc>
            </w:tr>
            <w:tr w14:paraId="70D832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7A302630">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排放量</w:t>
                  </w:r>
                  <w:r>
                    <w:rPr>
                      <w:rFonts w:hint="default" w:ascii="Times New Roman" w:hAnsi="Times New Roman" w:cs="Times New Roman"/>
                      <w:b/>
                      <w:bCs/>
                      <w:color w:val="auto"/>
                      <w:szCs w:val="21"/>
                      <w:highlight w:val="none"/>
                      <w:lang w:eastAsia="zh-CN"/>
                    </w:rPr>
                    <w:t>（</w:t>
                  </w:r>
                  <w:r>
                    <w:rPr>
                      <w:rFonts w:hint="default" w:ascii="Times New Roman" w:hAnsi="Times New Roman" w:cs="Times New Roman"/>
                      <w:b/>
                      <w:bCs/>
                      <w:color w:val="auto"/>
                      <w:szCs w:val="21"/>
                      <w:highlight w:val="none"/>
                      <w:lang w:bidi="ar"/>
                    </w:rPr>
                    <w:t>t/a</w:t>
                  </w:r>
                  <w:r>
                    <w:rPr>
                      <w:rFonts w:hint="default" w:ascii="Times New Roman" w:hAnsi="Times New Roman" w:cs="Times New Roman"/>
                      <w:b/>
                      <w:bCs/>
                      <w:color w:val="auto"/>
                      <w:szCs w:val="21"/>
                      <w:highlight w:val="none"/>
                      <w:lang w:eastAsia="zh-CN"/>
                    </w:rPr>
                    <w:t>）</w:t>
                  </w:r>
                </w:p>
              </w:tc>
              <w:tc>
                <w:tcPr>
                  <w:tcW w:w="3301" w:type="dxa"/>
                  <w:noWrap w:val="0"/>
                  <w:vAlign w:val="center"/>
                </w:tcPr>
                <w:p w14:paraId="25BBFC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0.075</w:t>
                  </w:r>
                </w:p>
              </w:tc>
              <w:tc>
                <w:tcPr>
                  <w:tcW w:w="2993" w:type="dxa"/>
                  <w:noWrap w:val="0"/>
                  <w:vAlign w:val="center"/>
                </w:tcPr>
                <w:p w14:paraId="311014B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
                    </w:rPr>
                  </w:pPr>
                  <w:r>
                    <w:rPr>
                      <w:rFonts w:hint="eastAsia" w:ascii="Times New Roman" w:hAnsi="Times New Roman" w:eastAsia="宋体" w:cs="Times New Roman"/>
                      <w:color w:val="auto"/>
                      <w:lang w:val="en-US" w:eastAsia="zh-CN"/>
                    </w:rPr>
                    <w:t>0.432</w:t>
                  </w:r>
                </w:p>
              </w:tc>
            </w:tr>
            <w:tr w14:paraId="293474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7796A0C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kern w:val="2"/>
                      <w:sz w:val="21"/>
                      <w:szCs w:val="24"/>
                      <w:highlight w:val="none"/>
                      <w:lang w:val="en-US" w:eastAsia="zh-CN" w:bidi="ar-SA"/>
                    </w:rPr>
                  </w:pPr>
                  <w:r>
                    <w:rPr>
                      <w:rFonts w:hint="default" w:ascii="Times New Roman" w:hAnsi="Times New Roman" w:cs="Times New Roman"/>
                      <w:b/>
                      <w:bCs/>
                      <w:color w:val="auto"/>
                      <w:highlight w:val="none"/>
                    </w:rPr>
                    <w:t>监测因子</w:t>
                  </w:r>
                </w:p>
              </w:tc>
              <w:tc>
                <w:tcPr>
                  <w:tcW w:w="3301" w:type="dxa"/>
                  <w:noWrap w:val="0"/>
                  <w:vAlign w:val="center"/>
                </w:tcPr>
                <w:p w14:paraId="7B61AD31">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eastAsia" w:ascii="Times New Roman" w:hAnsi="Times New Roman" w:eastAsia="宋体" w:cs="Times New Roman"/>
                      <w:color w:val="auto"/>
                      <w:sz w:val="21"/>
                      <w:szCs w:val="24"/>
                      <w:lang w:val="en-US" w:eastAsia="zh-CN"/>
                    </w:rPr>
                    <w:t>氯化氢</w:t>
                  </w:r>
                </w:p>
              </w:tc>
              <w:tc>
                <w:tcPr>
                  <w:tcW w:w="2993" w:type="dxa"/>
                  <w:noWrap w:val="0"/>
                  <w:vAlign w:val="center"/>
                </w:tcPr>
                <w:p w14:paraId="201BE575">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r>
            <w:tr w14:paraId="3A04EF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403" w:type="dxa"/>
                  <w:noWrap w:val="0"/>
                  <w:vAlign w:val="center"/>
                </w:tcPr>
                <w:p w14:paraId="7671146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b/>
                      <w:bCs/>
                      <w:color w:val="auto"/>
                      <w:kern w:val="2"/>
                      <w:sz w:val="21"/>
                      <w:szCs w:val="24"/>
                      <w:highlight w:val="none"/>
                      <w:lang w:val="en-US" w:eastAsia="zh-CN" w:bidi="ar-SA"/>
                    </w:rPr>
                  </w:pPr>
                  <w:r>
                    <w:rPr>
                      <w:rFonts w:hint="default" w:ascii="Times New Roman" w:hAnsi="Times New Roman" w:cs="Times New Roman"/>
                      <w:b/>
                      <w:bCs/>
                      <w:color w:val="auto"/>
                      <w:highlight w:val="none"/>
                    </w:rPr>
                    <w:t>监测频次</w:t>
                  </w:r>
                </w:p>
              </w:tc>
              <w:tc>
                <w:tcPr>
                  <w:tcW w:w="3301" w:type="dxa"/>
                  <w:noWrap w:val="0"/>
                  <w:vAlign w:val="center"/>
                </w:tcPr>
                <w:p w14:paraId="4CBC29C7">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c>
                <w:tcPr>
                  <w:tcW w:w="2993" w:type="dxa"/>
                  <w:noWrap w:val="0"/>
                  <w:vAlign w:val="center"/>
                </w:tcPr>
                <w:p w14:paraId="218A188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r>
          </w:tbl>
          <w:p w14:paraId="0A760CE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本项目有组织废气主要为</w:t>
            </w:r>
            <w:r>
              <w:rPr>
                <w:rFonts w:hint="eastAsia" w:ascii="Times New Roman" w:hAnsi="Times New Roman" w:eastAsia="宋体" w:cs="Times New Roman"/>
                <w:snapToGrid w:val="0"/>
                <w:color w:val="auto"/>
                <w:kern w:val="0"/>
                <w:sz w:val="24"/>
                <w:szCs w:val="24"/>
                <w:lang w:val="en-US" w:eastAsia="zh-CN" w:bidi="ar-SA"/>
              </w:rPr>
              <w:t>盐酸配置过程产生的氯化氢，一次搅拌投料过程产生的氯化氢、颗粒物，烘干过程产生的颗粒物、二氧化硫、氮氧化物，SNCR脱硝设备逃逸的氨</w:t>
            </w:r>
            <w:r>
              <w:rPr>
                <w:rFonts w:hint="default" w:ascii="Times New Roman" w:hAnsi="Times New Roman" w:cs="Times New Roman"/>
                <w:bCs/>
                <w:color w:val="auto"/>
                <w:sz w:val="24"/>
                <w:highlight w:val="none"/>
                <w:lang w:eastAsia="zh-CN"/>
              </w:rPr>
              <w:t>。</w:t>
            </w:r>
          </w:p>
          <w:p w14:paraId="6AAEF806">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盐酸配置过程产生的氯化氢，一次搅拌投料过程产生的氯化氢、颗粒物一同由密闭管道收集，经</w:t>
            </w:r>
            <w:r>
              <w:rPr>
                <w:rFonts w:hint="eastAsia" w:ascii="Times New Roman" w:hAnsi="Times New Roman" w:cs="Times New Roman"/>
                <w:b w:val="0"/>
                <w:bCs/>
                <w:color w:val="auto"/>
                <w:sz w:val="24"/>
                <w:highlight w:val="none"/>
                <w:lang w:val="en-US" w:eastAsia="zh-CN"/>
              </w:rPr>
              <w:t>二级水喷淋+除雾器+布袋除尘器</w:t>
            </w:r>
            <w:r>
              <w:rPr>
                <w:rFonts w:hint="default" w:ascii="Times New Roman" w:hAnsi="Times New Roman" w:cs="Times New Roman"/>
                <w:b w:val="0"/>
                <w:bCs/>
                <w:color w:val="auto"/>
                <w:sz w:val="24"/>
                <w:highlight w:val="none"/>
                <w:lang w:val="en-US" w:eastAsia="zh-CN"/>
              </w:rPr>
              <w:t>处理后，由15m高DA001排气筒有组织排放</w:t>
            </w:r>
            <w:r>
              <w:rPr>
                <w:rFonts w:hint="eastAsia" w:ascii="Times New Roman" w:hAnsi="Times New Roman" w:cs="Times New Roman"/>
                <w:b w:val="0"/>
                <w:bCs/>
                <w:color w:val="auto"/>
                <w:sz w:val="24"/>
                <w:highlight w:val="none"/>
                <w:lang w:val="en-US" w:eastAsia="zh-CN"/>
              </w:rPr>
              <w:t>。</w:t>
            </w:r>
          </w:p>
          <w:p w14:paraId="59FCE08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color w:val="auto"/>
                <w:sz w:val="24"/>
                <w:highlight w:val="none"/>
                <w:lang w:val="en-US" w:eastAsia="zh-CN"/>
              </w:rPr>
            </w:pPr>
            <w:r>
              <w:rPr>
                <w:rFonts w:hint="eastAsia" w:ascii="Times New Roman" w:hAnsi="Times New Roman" w:cs="Times New Roman"/>
                <w:b w:val="0"/>
                <w:bCs/>
                <w:color w:val="auto"/>
                <w:sz w:val="24"/>
                <w:highlight w:val="none"/>
                <w:lang w:val="en-US" w:eastAsia="zh-CN"/>
              </w:rPr>
              <w:t>烘干过程产生的颗粒物、二氧化硫、氮氧化物由密闭管道收集，经SNCR脱硝装置+布袋除尘器处理后，与SNCR脱硝设备逃逸的氨一同由15m高DA002排气筒有组织排放</w:t>
            </w:r>
            <w:r>
              <w:rPr>
                <w:rFonts w:hint="default" w:ascii="Times New Roman" w:hAnsi="Times New Roman" w:cs="Times New Roman"/>
                <w:b w:val="0"/>
                <w:bCs/>
                <w:color w:val="auto"/>
                <w:sz w:val="24"/>
                <w:highlight w:val="none"/>
                <w:lang w:val="en-US" w:eastAsia="zh-CN"/>
              </w:rPr>
              <w:t>。</w:t>
            </w:r>
          </w:p>
          <w:p w14:paraId="6652099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bCs w:val="0"/>
                <w:color w:val="auto"/>
                <w:sz w:val="24"/>
                <w:highlight w:val="none"/>
                <w:lang w:val="en-US" w:eastAsia="zh-CN"/>
              </w:rPr>
            </w:pPr>
            <w:r>
              <w:rPr>
                <w:rFonts w:hint="eastAsia" w:ascii="Times New Roman" w:hAnsi="Times New Roman" w:cs="Times New Roman"/>
                <w:b w:val="0"/>
                <w:bCs/>
                <w:color w:val="auto"/>
                <w:sz w:val="24"/>
                <w:highlight w:val="none"/>
                <w:lang w:val="en-US" w:eastAsia="zh-CN"/>
              </w:rPr>
              <w:t>未被收集的氯化氢、颗粒物在车间内无组织排放</w:t>
            </w:r>
            <w:r>
              <w:rPr>
                <w:rFonts w:hint="default" w:ascii="Times New Roman" w:hAnsi="Times New Roman" w:cs="Times New Roman"/>
                <w:b w:val="0"/>
                <w:bCs/>
                <w:color w:val="auto"/>
                <w:sz w:val="24"/>
                <w:highlight w:val="none"/>
                <w:lang w:val="en-US" w:eastAsia="zh-CN"/>
              </w:rPr>
              <w:t>。</w:t>
            </w:r>
          </w:p>
          <w:p w14:paraId="148327A8">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cs="Times New Roman"/>
                <w:b/>
                <w:bCs w:val="0"/>
                <w:color w:val="auto"/>
                <w:sz w:val="24"/>
                <w:highlight w:val="none"/>
                <w:lang w:val="en-US" w:eastAsia="zh-CN"/>
              </w:rPr>
              <w:t>1、</w:t>
            </w:r>
            <w:r>
              <w:rPr>
                <w:rFonts w:hint="default" w:ascii="Times New Roman" w:hAnsi="Times New Roman" w:cs="Times New Roman"/>
                <w:b/>
                <w:bCs w:val="0"/>
                <w:color w:val="auto"/>
                <w:sz w:val="24"/>
                <w:highlight w:val="none"/>
                <w:lang w:eastAsia="zh-CN"/>
              </w:rPr>
              <w:t>有组织废气</w:t>
            </w:r>
          </w:p>
          <w:p w14:paraId="11265A02">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eastAsia="zh-CN"/>
              </w:rPr>
              <w:t>（</w:t>
            </w:r>
            <w:r>
              <w:rPr>
                <w:rFonts w:hint="default" w:ascii="Times New Roman" w:hAnsi="Times New Roman" w:cs="Times New Roman"/>
                <w:b/>
                <w:bCs w:val="0"/>
                <w:color w:val="auto"/>
                <w:sz w:val="24"/>
                <w:szCs w:val="24"/>
                <w:highlight w:val="none"/>
                <w:lang w:val="en-US" w:eastAsia="zh-CN"/>
              </w:rPr>
              <w:t>1</w:t>
            </w:r>
            <w:r>
              <w:rPr>
                <w:rFonts w:hint="default" w:ascii="Times New Roman" w:hAnsi="Times New Roman" w:cs="Times New Roman"/>
                <w:b/>
                <w:bCs w:val="0"/>
                <w:color w:val="auto"/>
                <w:sz w:val="24"/>
                <w:szCs w:val="24"/>
                <w:highlight w:val="none"/>
                <w:lang w:eastAsia="zh-CN"/>
              </w:rPr>
              <w:t>）</w:t>
            </w:r>
            <w:r>
              <w:rPr>
                <w:rFonts w:hint="default" w:ascii="Times New Roman" w:hAnsi="Times New Roman" w:cs="Times New Roman"/>
                <w:b/>
                <w:bCs w:val="0"/>
                <w:color w:val="auto"/>
                <w:sz w:val="24"/>
                <w:szCs w:val="24"/>
                <w:highlight w:val="none"/>
                <w:lang w:val="en-US" w:eastAsia="zh-CN"/>
              </w:rPr>
              <w:t>盐酸配置过程产生的氯化氢</w:t>
            </w:r>
          </w:p>
          <w:p w14:paraId="5220D0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本项目</w:t>
            </w:r>
            <w:r>
              <w:rPr>
                <w:rFonts w:hint="eastAsia" w:ascii="Times New Roman" w:hAnsi="Times New Roman" w:eastAsia="宋体" w:cs="Times New Roman"/>
                <w:sz w:val="24"/>
                <w:szCs w:val="24"/>
                <w:highlight w:val="none"/>
                <w:lang w:val="en-US" w:eastAsia="zh-CN"/>
              </w:rPr>
              <w:t>33%</w:t>
            </w:r>
            <w:r>
              <w:rPr>
                <w:rFonts w:hint="default" w:ascii="Times New Roman" w:hAnsi="Times New Roman" w:eastAsia="宋体" w:cs="Times New Roman"/>
                <w:sz w:val="24"/>
                <w:szCs w:val="24"/>
                <w:highlight w:val="none"/>
                <w:lang w:val="en-US" w:eastAsia="zh-CN"/>
              </w:rPr>
              <w:t>盐酸</w:t>
            </w:r>
            <w:r>
              <w:rPr>
                <w:rFonts w:hint="eastAsia" w:ascii="Times New Roman" w:hAnsi="Times New Roman" w:eastAsia="宋体" w:cs="Times New Roman"/>
                <w:sz w:val="24"/>
                <w:szCs w:val="24"/>
                <w:highlight w:val="none"/>
                <w:lang w:val="en-US" w:eastAsia="zh-CN"/>
              </w:rPr>
              <w:t>投加</w:t>
            </w:r>
            <w:r>
              <w:rPr>
                <w:rFonts w:hint="default" w:ascii="Times New Roman" w:hAnsi="Times New Roman" w:eastAsia="宋体" w:cs="Times New Roman"/>
                <w:sz w:val="24"/>
                <w:szCs w:val="24"/>
                <w:highlight w:val="none"/>
                <w:lang w:val="en-US" w:eastAsia="zh-CN"/>
              </w:rPr>
              <w:t>过程中，会产生一定量的氯化氢，排放速率可按《环境统计手册》经验公式计算。</w:t>
            </w:r>
          </w:p>
          <w:p w14:paraId="5D994793">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1"/>
                <w:sz w:val="24"/>
                <w:szCs w:val="24"/>
              </w:rPr>
            </w:pPr>
            <w:r>
              <w:rPr>
                <w:rFonts w:hint="default" w:ascii="Times New Roman" w:hAnsi="Times New Roman" w:eastAsia="宋体" w:cs="Times New Roman"/>
                <w:sz w:val="24"/>
                <w:szCs w:val="24"/>
              </w:rPr>
              <w:t>GZ=M×（0.000352+0.0007</w:t>
            </w:r>
            <w:r>
              <w:rPr>
                <w:rFonts w:hint="default" w:ascii="Times New Roman" w:hAnsi="Times New Roman" w:eastAsia="宋体" w:cs="Times New Roman"/>
                <w:spacing w:val="-1"/>
                <w:sz w:val="24"/>
                <w:szCs w:val="24"/>
              </w:rPr>
              <w:t>86×U）×P×F</w:t>
            </w:r>
          </w:p>
          <w:p w14:paraId="0A1C9128">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式中</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GZ——排放速率（kg/h）</w:t>
            </w:r>
            <w:r>
              <w:rPr>
                <w:rFonts w:hint="eastAsia" w:ascii="Times New Roman" w:hAnsi="Times New Roman" w:eastAsia="宋体" w:cs="Times New Roman"/>
                <w:sz w:val="24"/>
                <w:szCs w:val="24"/>
                <w:lang w:eastAsia="zh-CN"/>
              </w:rPr>
              <w:t>；</w:t>
            </w:r>
          </w:p>
          <w:p w14:paraId="1A7C19B6">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rPr>
              <w:t>M——液体分子量</w:t>
            </w:r>
            <w:r>
              <w:rPr>
                <w:rFonts w:hint="eastAsia" w:ascii="Times New Roman" w:hAnsi="Times New Roman" w:eastAsia="宋体" w:cs="Times New Roman"/>
                <w:spacing w:val="-1"/>
                <w:sz w:val="24"/>
                <w:szCs w:val="24"/>
                <w:lang w:eastAsia="zh-CN"/>
              </w:rPr>
              <w:t>；</w:t>
            </w:r>
          </w:p>
          <w:p w14:paraId="0E073ABF">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rPr>
              <w:t>U——蒸发液体表面上的空气流速（m/s</w:t>
            </w:r>
            <w:r>
              <w:rPr>
                <w:rFonts w:hint="default" w:ascii="Times New Roman" w:hAnsi="Times New Roman" w:eastAsia="宋体" w:cs="Times New Roman"/>
                <w:spacing w:val="7"/>
                <w:sz w:val="24"/>
                <w:szCs w:val="24"/>
              </w:rPr>
              <w:t>）</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1"/>
                <w:sz w:val="24"/>
                <w:szCs w:val="24"/>
              </w:rPr>
              <w:t>应以实测数据为准。</w:t>
            </w:r>
            <w:r>
              <w:rPr>
                <w:rFonts w:hint="eastAsia" w:ascii="Times New Roman" w:hAnsi="Times New Roman" w:cs="Times New Roman"/>
                <w:spacing w:val="-1"/>
                <w:sz w:val="24"/>
                <w:szCs w:val="24"/>
                <w:lang w:val="en-US" w:eastAsia="zh-CN"/>
              </w:rPr>
              <w:t>盐酸配制罐</w:t>
            </w:r>
            <w:r>
              <w:rPr>
                <w:rFonts w:hint="default" w:ascii="Times New Roman" w:hAnsi="Times New Roman" w:eastAsia="宋体" w:cs="Times New Roman"/>
                <w:spacing w:val="-4"/>
                <w:sz w:val="24"/>
                <w:szCs w:val="24"/>
              </w:rPr>
              <w:t>内一般可取0.</w:t>
            </w:r>
            <w:r>
              <w:rPr>
                <w:rFonts w:hint="eastAsia" w:ascii="Times New Roman" w:hAnsi="Times New Roman" w:cs="Times New Roman"/>
                <w:spacing w:val="-4"/>
                <w:sz w:val="24"/>
                <w:szCs w:val="24"/>
                <w:lang w:val="en-US" w:eastAsia="zh-CN"/>
              </w:rPr>
              <w:t>1</w:t>
            </w:r>
            <w:r>
              <w:rPr>
                <w:rFonts w:hint="default" w:ascii="Times New Roman" w:hAnsi="Times New Roman" w:eastAsia="宋体" w:cs="Times New Roman"/>
                <w:spacing w:val="-4"/>
                <w:sz w:val="24"/>
                <w:szCs w:val="24"/>
              </w:rPr>
              <w:t>-0.</w:t>
            </w:r>
            <w:r>
              <w:rPr>
                <w:rFonts w:hint="eastAsia" w:ascii="Times New Roman" w:hAnsi="Times New Roman" w:cs="Times New Roman"/>
                <w:spacing w:val="-4"/>
                <w:sz w:val="24"/>
                <w:szCs w:val="24"/>
                <w:lang w:val="en-US" w:eastAsia="zh-CN"/>
              </w:rPr>
              <w:t>2</w:t>
            </w:r>
            <w:r>
              <w:rPr>
                <w:rFonts w:hint="default" w:ascii="Times New Roman" w:hAnsi="Times New Roman" w:eastAsia="宋体" w:cs="Times New Roman"/>
                <w:spacing w:val="-4"/>
                <w:sz w:val="24"/>
                <w:szCs w:val="24"/>
              </w:rPr>
              <w:t>，本次计算取最大值0.</w:t>
            </w:r>
            <w:r>
              <w:rPr>
                <w:rFonts w:hint="eastAsia" w:ascii="Times New Roman" w:hAnsi="Times New Roman" w:cs="Times New Roman"/>
                <w:spacing w:val="-4"/>
                <w:sz w:val="24"/>
                <w:szCs w:val="24"/>
                <w:lang w:val="en-US" w:eastAsia="zh-CN"/>
              </w:rPr>
              <w:t>2</w:t>
            </w:r>
            <w:r>
              <w:rPr>
                <w:rFonts w:hint="eastAsia" w:ascii="Times New Roman" w:hAnsi="Times New Roman" w:eastAsia="宋体" w:cs="Times New Roman"/>
                <w:spacing w:val="-4"/>
                <w:sz w:val="24"/>
                <w:szCs w:val="24"/>
                <w:lang w:eastAsia="zh-CN"/>
              </w:rPr>
              <w:t>；</w:t>
            </w:r>
          </w:p>
          <w:p w14:paraId="15801952">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P——相应于液体温度下空气中的饱和蒸汽分压力（m</w:t>
            </w:r>
            <w:r>
              <w:rPr>
                <w:rFonts w:hint="default" w:ascii="Times New Roman" w:hAnsi="Times New Roman" w:eastAsia="宋体" w:cs="Times New Roman"/>
                <w:spacing w:val="-1"/>
                <w:sz w:val="24"/>
                <w:szCs w:val="24"/>
              </w:rPr>
              <w:t>mHg）</w:t>
            </w:r>
            <w:r>
              <w:rPr>
                <w:rFonts w:hint="eastAsia" w:ascii="Times New Roman" w:hAnsi="Times New Roman" w:eastAsia="宋体" w:cs="Times New Roman"/>
                <w:spacing w:val="-1"/>
                <w:sz w:val="24"/>
                <w:szCs w:val="24"/>
                <w:lang w:eastAsia="zh-CN"/>
              </w:rPr>
              <w:t>；</w:t>
            </w:r>
          </w:p>
          <w:p w14:paraId="6BDA0170">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6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F——蒸发面的面积（m</w:t>
            </w:r>
            <w:r>
              <w:rPr>
                <w:rFonts w:hint="eastAsia" w:ascii="Times New Roman" w:hAnsi="Times New Roman" w:eastAsia="宋体" w:cs="Times New Roman"/>
                <w:spacing w:val="-3"/>
                <w:sz w:val="24"/>
                <w:szCs w:val="24"/>
                <w:vertAlign w:val="superscript"/>
                <w:lang w:val="en-US" w:eastAsia="zh-CN"/>
              </w:rPr>
              <w:t>2</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lang w:eastAsia="zh-CN"/>
              </w:rPr>
              <w:t>，</w:t>
            </w:r>
            <w:r>
              <w:rPr>
                <w:rFonts w:hint="default" w:ascii="Times New Roman" w:hAnsi="Times New Roman" w:eastAsia="宋体" w:cs="Times New Roman"/>
                <w:spacing w:val="-3"/>
                <w:sz w:val="24"/>
                <w:szCs w:val="24"/>
              </w:rPr>
              <w:t>本项目根据</w:t>
            </w:r>
            <w:r>
              <w:rPr>
                <w:rFonts w:hint="default" w:ascii="Times New Roman" w:hAnsi="Times New Roman" w:eastAsia="宋体" w:cs="Times New Roman"/>
                <w:spacing w:val="-3"/>
                <w:sz w:val="24"/>
                <w:szCs w:val="24"/>
                <w:lang w:val="en-US" w:eastAsia="zh-CN"/>
              </w:rPr>
              <w:t>盐酸配制罐</w:t>
            </w:r>
            <w:r>
              <w:rPr>
                <w:rFonts w:hint="default" w:ascii="Times New Roman" w:hAnsi="Times New Roman" w:eastAsia="宋体" w:cs="Times New Roman"/>
                <w:spacing w:val="-3"/>
                <w:sz w:val="24"/>
                <w:szCs w:val="24"/>
              </w:rPr>
              <w:t>（半径</w:t>
            </w:r>
            <w:r>
              <w:rPr>
                <w:rFonts w:hint="eastAsia" w:ascii="Times New Roman" w:hAnsi="Times New Roman" w:cs="Times New Roman"/>
                <w:spacing w:val="-3"/>
                <w:sz w:val="24"/>
                <w:szCs w:val="24"/>
                <w:lang w:val="en-US" w:eastAsia="zh-CN"/>
              </w:rPr>
              <w:t>1</w:t>
            </w:r>
            <w:r>
              <w:rPr>
                <w:rFonts w:hint="default" w:ascii="Times New Roman" w:hAnsi="Times New Roman" w:eastAsia="宋体" w:cs="Times New Roman"/>
                <w:spacing w:val="-3"/>
                <w:sz w:val="24"/>
                <w:szCs w:val="24"/>
              </w:rPr>
              <w:t>m）</w:t>
            </w:r>
            <w:r>
              <w:rPr>
                <w:rFonts w:hint="default" w:ascii="Times New Roman" w:hAnsi="Times New Roman" w:eastAsia="宋体" w:cs="Times New Roman"/>
                <w:spacing w:val="-2"/>
                <w:sz w:val="24"/>
                <w:szCs w:val="24"/>
              </w:rPr>
              <w:t>计算，为</w:t>
            </w:r>
            <w:r>
              <w:rPr>
                <w:rFonts w:hint="eastAsia" w:ascii="Times New Roman" w:hAnsi="Times New Roman" w:cs="Times New Roman"/>
                <w:spacing w:val="-2"/>
                <w:sz w:val="24"/>
                <w:szCs w:val="24"/>
                <w:lang w:val="en-US" w:eastAsia="zh-CN"/>
              </w:rPr>
              <w:t>3.14</w:t>
            </w:r>
            <w:r>
              <w:rPr>
                <w:rFonts w:hint="default" w:ascii="Times New Roman" w:hAnsi="Times New Roman" w:eastAsia="宋体" w:cs="Times New Roman"/>
                <w:spacing w:val="-2"/>
                <w:sz w:val="24"/>
                <w:szCs w:val="24"/>
              </w:rPr>
              <w:t>。</w:t>
            </w:r>
          </w:p>
          <w:p w14:paraId="39159A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具体计算结果见下表：</w:t>
            </w:r>
          </w:p>
          <w:p w14:paraId="3833F53A">
            <w:pPr>
              <w:keepNext w:val="0"/>
              <w:keepLines w:val="0"/>
              <w:suppressLineNumbers w:val="0"/>
              <w:snapToGrid w:val="0"/>
              <w:spacing w:before="0" w:beforeAutospacing="0" w:after="0" w:afterAutospacing="0" w:line="360" w:lineRule="auto"/>
              <w:ind w:left="0" w:right="0"/>
              <w:jc w:val="center"/>
              <w:rPr>
                <w:rFonts w:hint="default" w:ascii="Times New Roman" w:hAnsi="Times New Roman" w:eastAsia="宋体" w:cs="Times New Roman"/>
                <w:b/>
                <w:snapToGrid w:val="0"/>
                <w:color w:val="000000"/>
                <w:sz w:val="21"/>
                <w:szCs w:val="21"/>
                <w:highlight w:val="none"/>
              </w:rPr>
            </w:pPr>
            <w:r>
              <w:rPr>
                <w:rFonts w:hint="default" w:ascii="Times New Roman" w:hAnsi="Times New Roman" w:eastAsia="宋体" w:cs="Times New Roman"/>
                <w:b/>
                <w:snapToGrid w:val="0"/>
                <w:color w:val="000000"/>
                <w:sz w:val="21"/>
                <w:szCs w:val="21"/>
                <w:highlight w:val="none"/>
              </w:rPr>
              <w:t>表4-</w:t>
            </w:r>
            <w:r>
              <w:rPr>
                <w:rFonts w:hint="eastAsia" w:ascii="Times New Roman" w:hAnsi="Times New Roman" w:eastAsia="宋体" w:cs="Times New Roman"/>
                <w:b/>
                <w:snapToGrid w:val="0"/>
                <w:color w:val="000000"/>
                <w:sz w:val="21"/>
                <w:szCs w:val="21"/>
                <w:highlight w:val="none"/>
                <w:lang w:val="en-US" w:eastAsia="zh-CN"/>
              </w:rPr>
              <w:t>3 氯化氢</w:t>
            </w:r>
            <w:r>
              <w:rPr>
                <w:rFonts w:hint="default" w:ascii="Times New Roman" w:hAnsi="Times New Roman" w:eastAsia="宋体" w:cs="Times New Roman"/>
                <w:b/>
                <w:snapToGrid w:val="0"/>
                <w:color w:val="000000"/>
                <w:sz w:val="21"/>
                <w:szCs w:val="21"/>
                <w:highlight w:val="none"/>
              </w:rPr>
              <w:t>产生量计算结果</w:t>
            </w:r>
          </w:p>
          <w:tbl>
            <w:tblPr>
              <w:tblStyle w:val="33"/>
              <w:tblW w:w="8752" w:type="dxa"/>
              <w:tblInd w:w="-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075"/>
              <w:gridCol w:w="917"/>
              <w:gridCol w:w="867"/>
              <w:gridCol w:w="691"/>
              <w:gridCol w:w="1131"/>
              <w:gridCol w:w="779"/>
              <w:gridCol w:w="1050"/>
              <w:gridCol w:w="577"/>
              <w:gridCol w:w="977"/>
            </w:tblGrid>
            <w:tr w14:paraId="1E2F8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noWrap w:val="0"/>
                  <w:vAlign w:val="center"/>
                </w:tcPr>
                <w:p w14:paraId="5D323D01">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4"/>
                      <w:sz w:val="21"/>
                      <w:szCs w:val="21"/>
                    </w:rPr>
                    <w:t>种类</w:t>
                  </w:r>
                </w:p>
              </w:tc>
              <w:tc>
                <w:tcPr>
                  <w:tcW w:w="1075" w:type="dxa"/>
                  <w:noWrap w:val="0"/>
                  <w:vAlign w:val="center"/>
                </w:tcPr>
                <w:p w14:paraId="47C35A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4"/>
                      <w:sz w:val="21"/>
                      <w:szCs w:val="21"/>
                    </w:rPr>
                    <w:t>M</w:t>
                  </w:r>
                  <w:r>
                    <w:rPr>
                      <w:rFonts w:hint="eastAsia" w:ascii="Times New Roman" w:hAnsi="Times New Roman" w:eastAsia="宋体" w:cs="Times New Roman"/>
                      <w:spacing w:val="4"/>
                      <w:sz w:val="21"/>
                      <w:szCs w:val="21"/>
                      <w:lang w:val="en-US" w:eastAsia="zh-CN"/>
                    </w:rPr>
                    <w:t xml:space="preserve"> </w:t>
                  </w:r>
                  <w:r>
                    <w:rPr>
                      <w:rFonts w:hint="default" w:ascii="Times New Roman" w:hAnsi="Times New Roman" w:eastAsia="宋体" w:cs="Times New Roman"/>
                      <w:spacing w:val="4"/>
                      <w:sz w:val="21"/>
                      <w:szCs w:val="21"/>
                    </w:rPr>
                    <w:t>（g/mol）</w:t>
                  </w:r>
                </w:p>
              </w:tc>
              <w:tc>
                <w:tcPr>
                  <w:tcW w:w="917" w:type="dxa"/>
                  <w:noWrap w:val="0"/>
                  <w:vAlign w:val="center"/>
                </w:tcPr>
                <w:p w14:paraId="371352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5"/>
                      <w:sz w:val="21"/>
                      <w:szCs w:val="21"/>
                    </w:rPr>
                    <w:t>U（m/s）</w:t>
                  </w:r>
                </w:p>
              </w:tc>
              <w:tc>
                <w:tcPr>
                  <w:tcW w:w="867" w:type="dxa"/>
                  <w:noWrap w:val="0"/>
                  <w:vAlign w:val="center"/>
                </w:tcPr>
                <w:p w14:paraId="5D9773D3">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溶液温度</w:t>
                  </w:r>
                  <w:r>
                    <w:rPr>
                      <w:rFonts w:hint="eastAsia" w:ascii="Times New Roman" w:hAnsi="Times New Roman" w:eastAsia="宋体" w:cs="Times New Roman"/>
                      <w:spacing w:val="6"/>
                      <w:sz w:val="21"/>
                      <w:szCs w:val="21"/>
                      <w:lang w:eastAsia="zh-CN"/>
                    </w:rPr>
                    <w:t>（</w:t>
                  </w:r>
                  <w:r>
                    <w:rPr>
                      <w:rFonts w:hint="eastAsia" w:ascii="Times New Roman" w:hAnsi="Times New Roman" w:eastAsia="宋体" w:cs="Times New Roman"/>
                      <w:spacing w:val="6"/>
                      <w:sz w:val="21"/>
                      <w:szCs w:val="21"/>
                      <w:lang w:val="en-US" w:eastAsia="zh-CN"/>
                    </w:rPr>
                    <w:t>℃</w:t>
                  </w:r>
                  <w:r>
                    <w:rPr>
                      <w:rFonts w:hint="eastAsia" w:ascii="Times New Roman" w:hAnsi="Times New Roman" w:eastAsia="宋体" w:cs="Times New Roman"/>
                      <w:spacing w:val="6"/>
                      <w:sz w:val="21"/>
                      <w:szCs w:val="21"/>
                      <w:lang w:eastAsia="zh-CN"/>
                    </w:rPr>
                    <w:t>）</w:t>
                  </w:r>
                </w:p>
              </w:tc>
              <w:tc>
                <w:tcPr>
                  <w:tcW w:w="691" w:type="dxa"/>
                  <w:noWrap w:val="0"/>
                  <w:vAlign w:val="center"/>
                </w:tcPr>
                <w:p w14:paraId="11A72C52">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4"/>
                      <w:sz w:val="21"/>
                      <w:szCs w:val="21"/>
                    </w:rPr>
                    <w:t>浓度</w:t>
                  </w:r>
                </w:p>
              </w:tc>
              <w:tc>
                <w:tcPr>
                  <w:tcW w:w="1131" w:type="dxa"/>
                  <w:noWrap w:val="0"/>
                  <w:vAlign w:val="center"/>
                </w:tcPr>
                <w:p w14:paraId="21A3EE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P</w:t>
                  </w:r>
                </w:p>
                <w:p w14:paraId="25DEDD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1"/>
                      <w:sz w:val="21"/>
                      <w:szCs w:val="21"/>
                    </w:rPr>
                    <w:t>（mmHg）</w:t>
                  </w:r>
                </w:p>
              </w:tc>
              <w:tc>
                <w:tcPr>
                  <w:tcW w:w="779" w:type="dxa"/>
                  <w:noWrap w:val="0"/>
                  <w:vAlign w:val="center"/>
                </w:tcPr>
                <w:p w14:paraId="274D6A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1"/>
                      <w:sz w:val="21"/>
                      <w:szCs w:val="21"/>
                    </w:rPr>
                    <w:t>F（m</w:t>
                  </w:r>
                  <w:r>
                    <w:rPr>
                      <w:rFonts w:hint="default" w:ascii="Times New Roman" w:hAnsi="Times New Roman" w:eastAsia="宋体" w:cs="Times New Roman"/>
                      <w:spacing w:val="1"/>
                      <w:sz w:val="21"/>
                      <w:szCs w:val="21"/>
                      <w:vertAlign w:val="superscript"/>
                      <w:lang w:val="en-US" w:eastAsia="zh-CN"/>
                    </w:rPr>
                    <w:t>2</w:t>
                  </w:r>
                  <w:r>
                    <w:rPr>
                      <w:rFonts w:hint="default" w:ascii="Times New Roman" w:hAnsi="Times New Roman" w:eastAsia="宋体" w:cs="Times New Roman"/>
                      <w:spacing w:val="1"/>
                      <w:sz w:val="21"/>
                      <w:szCs w:val="21"/>
                    </w:rPr>
                    <w:t>）</w:t>
                  </w:r>
                </w:p>
              </w:tc>
              <w:tc>
                <w:tcPr>
                  <w:tcW w:w="1050" w:type="dxa"/>
                  <w:noWrap w:val="0"/>
                  <w:vAlign w:val="center"/>
                </w:tcPr>
                <w:p w14:paraId="2E7399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2"/>
                      <w:sz w:val="21"/>
                      <w:szCs w:val="21"/>
                    </w:rPr>
                    <w:t>GZ</w:t>
                  </w:r>
                  <w:r>
                    <w:rPr>
                      <w:rFonts w:hint="eastAsia" w:ascii="Times New Roman" w:hAnsi="Times New Roman" w:eastAsia="宋体" w:cs="Times New Roman"/>
                      <w:spacing w:val="2"/>
                      <w:sz w:val="21"/>
                      <w:szCs w:val="21"/>
                      <w:lang w:eastAsia="zh-CN"/>
                    </w:rPr>
                    <w:t>（kg/h）</w:t>
                  </w:r>
                </w:p>
              </w:tc>
              <w:tc>
                <w:tcPr>
                  <w:tcW w:w="577" w:type="dxa"/>
                  <w:noWrap w:val="0"/>
                  <w:vAlign w:val="center"/>
                </w:tcPr>
                <w:p w14:paraId="1AADB4F1">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1"/>
                      <w:sz w:val="21"/>
                      <w:szCs w:val="21"/>
                    </w:rPr>
                    <w:t>时间</w:t>
                  </w:r>
                </w:p>
              </w:tc>
              <w:tc>
                <w:tcPr>
                  <w:tcW w:w="977" w:type="dxa"/>
                  <w:noWrap w:val="0"/>
                  <w:vAlign w:val="center"/>
                </w:tcPr>
                <w:p w14:paraId="2952B078">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产生量</w:t>
                  </w:r>
                  <w:r>
                    <w:rPr>
                      <w:rFonts w:hint="eastAsia" w:ascii="Times New Roman" w:hAnsi="Times New Roman" w:eastAsia="宋体" w:cs="Times New Roman"/>
                      <w:spacing w:val="2"/>
                      <w:sz w:val="21"/>
                      <w:szCs w:val="21"/>
                      <w:lang w:eastAsia="zh-CN"/>
                    </w:rPr>
                    <w:t>（kg/</w:t>
                  </w:r>
                  <w:r>
                    <w:rPr>
                      <w:rFonts w:hint="eastAsia" w:ascii="Times New Roman" w:hAnsi="Times New Roman" w:eastAsia="宋体" w:cs="Times New Roman"/>
                      <w:spacing w:val="2"/>
                      <w:sz w:val="21"/>
                      <w:szCs w:val="21"/>
                      <w:lang w:val="en-US" w:eastAsia="zh-CN"/>
                    </w:rPr>
                    <w:t>a</w:t>
                  </w:r>
                  <w:r>
                    <w:rPr>
                      <w:rFonts w:hint="eastAsia" w:ascii="Times New Roman" w:hAnsi="Times New Roman" w:eastAsia="宋体" w:cs="Times New Roman"/>
                      <w:spacing w:val="2"/>
                      <w:sz w:val="21"/>
                      <w:szCs w:val="21"/>
                      <w:lang w:eastAsia="zh-CN"/>
                    </w:rPr>
                    <w:t>）</w:t>
                  </w:r>
                </w:p>
              </w:tc>
            </w:tr>
            <w:tr w14:paraId="55F78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noWrap w:val="0"/>
                  <w:vAlign w:val="center"/>
                </w:tcPr>
                <w:p w14:paraId="72C74A24">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spacing w:val="5"/>
                      <w:sz w:val="21"/>
                      <w:szCs w:val="21"/>
                      <w:lang w:val="en-US" w:eastAsia="zh-CN"/>
                    </w:rPr>
                  </w:pPr>
                  <w:r>
                    <w:rPr>
                      <w:rFonts w:hint="eastAsia" w:ascii="Times New Roman" w:hAnsi="Times New Roman" w:eastAsia="宋体" w:cs="Times New Roman"/>
                      <w:spacing w:val="5"/>
                      <w:sz w:val="21"/>
                      <w:szCs w:val="21"/>
                      <w:lang w:val="en-US" w:eastAsia="zh-CN"/>
                    </w:rPr>
                    <w:t>氯化氢</w:t>
                  </w:r>
                </w:p>
              </w:tc>
              <w:tc>
                <w:tcPr>
                  <w:tcW w:w="1075" w:type="dxa"/>
                  <w:noWrap w:val="0"/>
                  <w:vAlign w:val="center"/>
                </w:tcPr>
                <w:p w14:paraId="4DAFB1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36.5</w:t>
                  </w:r>
                </w:p>
              </w:tc>
              <w:tc>
                <w:tcPr>
                  <w:tcW w:w="917" w:type="dxa"/>
                  <w:noWrap w:val="0"/>
                  <w:vAlign w:val="center"/>
                </w:tcPr>
                <w:p w14:paraId="48DECA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1"/>
                      <w:sz w:val="21"/>
                      <w:szCs w:val="21"/>
                      <w:lang w:val="en-US" w:eastAsia="zh-CN"/>
                    </w:rPr>
                    <w:t>0.2</w:t>
                  </w:r>
                </w:p>
              </w:tc>
              <w:tc>
                <w:tcPr>
                  <w:tcW w:w="867" w:type="dxa"/>
                  <w:noWrap w:val="0"/>
                  <w:vAlign w:val="center"/>
                </w:tcPr>
                <w:p w14:paraId="12034F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3"/>
                      <w:sz w:val="21"/>
                      <w:szCs w:val="21"/>
                      <w:lang w:val="en-US" w:eastAsia="zh-CN"/>
                    </w:rPr>
                    <w:t>25</w:t>
                  </w:r>
                </w:p>
              </w:tc>
              <w:tc>
                <w:tcPr>
                  <w:tcW w:w="691" w:type="dxa"/>
                  <w:noWrap w:val="0"/>
                  <w:vAlign w:val="center"/>
                </w:tcPr>
                <w:p w14:paraId="277A6A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3"/>
                      <w:sz w:val="21"/>
                      <w:szCs w:val="21"/>
                      <w:lang w:val="en-US" w:eastAsia="zh-CN"/>
                    </w:rPr>
                    <w:t>33%</w:t>
                  </w:r>
                </w:p>
              </w:tc>
              <w:tc>
                <w:tcPr>
                  <w:tcW w:w="1131" w:type="dxa"/>
                  <w:noWrap w:val="0"/>
                  <w:vAlign w:val="center"/>
                </w:tcPr>
                <w:p w14:paraId="0501C2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17.05</w:t>
                  </w:r>
                </w:p>
              </w:tc>
              <w:tc>
                <w:tcPr>
                  <w:tcW w:w="779" w:type="dxa"/>
                  <w:noWrap w:val="0"/>
                  <w:vAlign w:val="center"/>
                </w:tcPr>
                <w:p w14:paraId="7690DE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3.14</w:t>
                  </w:r>
                </w:p>
              </w:tc>
              <w:tc>
                <w:tcPr>
                  <w:tcW w:w="1050" w:type="dxa"/>
                  <w:noWrap w:val="0"/>
                  <w:vAlign w:val="center"/>
                </w:tcPr>
                <w:p w14:paraId="62D926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1.0</w:t>
                  </w:r>
                </w:p>
              </w:tc>
              <w:tc>
                <w:tcPr>
                  <w:tcW w:w="577" w:type="dxa"/>
                  <w:noWrap w:val="0"/>
                  <w:vAlign w:val="center"/>
                </w:tcPr>
                <w:p w14:paraId="5375D0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1"/>
                      <w:sz w:val="21"/>
                      <w:szCs w:val="21"/>
                      <w:lang w:val="en-US" w:eastAsia="zh-CN"/>
                    </w:rPr>
                    <w:t>300</w:t>
                  </w:r>
                  <w:r>
                    <w:rPr>
                      <w:rFonts w:hint="default" w:ascii="Times New Roman" w:hAnsi="Times New Roman" w:eastAsia="宋体" w:cs="Times New Roman"/>
                      <w:spacing w:val="-1"/>
                      <w:sz w:val="21"/>
                      <w:szCs w:val="21"/>
                    </w:rPr>
                    <w:t>h</w:t>
                  </w:r>
                </w:p>
              </w:tc>
              <w:tc>
                <w:tcPr>
                  <w:tcW w:w="977" w:type="dxa"/>
                  <w:noWrap w:val="0"/>
                  <w:vAlign w:val="center"/>
                </w:tcPr>
                <w:p w14:paraId="2B1D1B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300</w:t>
                  </w:r>
                </w:p>
              </w:tc>
            </w:tr>
          </w:tbl>
          <w:p w14:paraId="6E6268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sz w:val="24"/>
                <w:szCs w:val="24"/>
                <w:highlight w:val="none"/>
                <w:lang w:val="en-US" w:eastAsia="zh-CN"/>
              </w:rPr>
              <w:t>综上所述，盐酸配置过程产生的氯化氢量为</w:t>
            </w:r>
            <w:r>
              <w:rPr>
                <w:rFonts w:hint="eastAsia" w:cs="Times New Roman"/>
                <w:sz w:val="24"/>
                <w:szCs w:val="24"/>
                <w:highlight w:val="none"/>
                <w:lang w:val="en-US" w:eastAsia="zh-CN"/>
              </w:rPr>
              <w:t>0.3</w:t>
            </w:r>
            <w:r>
              <w:rPr>
                <w:rFonts w:hint="eastAsia" w:ascii="Times New Roman" w:hAnsi="Times New Roman" w:eastAsia="宋体" w:cs="Times New Roman"/>
                <w:sz w:val="24"/>
                <w:szCs w:val="24"/>
                <w:highlight w:val="none"/>
                <w:lang w:val="en-US" w:eastAsia="zh-CN"/>
              </w:rPr>
              <w:t>t/a。</w:t>
            </w:r>
          </w:p>
          <w:p w14:paraId="09017EA8">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eastAsia="zh-CN"/>
              </w:rPr>
              <w:t>（</w:t>
            </w:r>
            <w:r>
              <w:rPr>
                <w:rFonts w:hint="eastAsia" w:ascii="Times New Roman" w:hAnsi="Times New Roman" w:cs="Times New Roman"/>
                <w:b/>
                <w:bCs w:val="0"/>
                <w:color w:val="auto"/>
                <w:sz w:val="24"/>
                <w:szCs w:val="24"/>
                <w:highlight w:val="none"/>
                <w:lang w:val="en-US" w:eastAsia="zh-CN"/>
              </w:rPr>
              <w:t>2</w:t>
            </w:r>
            <w:r>
              <w:rPr>
                <w:rFonts w:hint="default" w:ascii="Times New Roman" w:hAnsi="Times New Roman" w:cs="Times New Roman"/>
                <w:b/>
                <w:bCs w:val="0"/>
                <w:color w:val="auto"/>
                <w:sz w:val="24"/>
                <w:szCs w:val="24"/>
                <w:highlight w:val="none"/>
                <w:lang w:eastAsia="zh-CN"/>
              </w:rPr>
              <w:t>）</w:t>
            </w:r>
            <w:r>
              <w:rPr>
                <w:rFonts w:hint="default" w:ascii="Times New Roman" w:hAnsi="Times New Roman" w:cs="Times New Roman"/>
                <w:b/>
                <w:bCs w:val="0"/>
                <w:color w:val="auto"/>
                <w:sz w:val="24"/>
                <w:szCs w:val="24"/>
                <w:highlight w:val="none"/>
                <w:lang w:val="en-US" w:eastAsia="zh-CN"/>
              </w:rPr>
              <w:t>一次搅拌投料过程产生的氯化氢、颗粒物</w:t>
            </w:r>
          </w:p>
          <w:p w14:paraId="551604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本项目</w:t>
            </w:r>
            <w:r>
              <w:rPr>
                <w:rFonts w:hint="eastAsia" w:cs="Times New Roman"/>
                <w:sz w:val="24"/>
                <w:szCs w:val="24"/>
                <w:highlight w:val="none"/>
                <w:lang w:val="en-US" w:eastAsia="zh-CN"/>
              </w:rPr>
              <w:t>10</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en-US" w:eastAsia="zh-CN"/>
              </w:rPr>
              <w:t>盐酸</w:t>
            </w:r>
            <w:r>
              <w:rPr>
                <w:rFonts w:hint="eastAsia" w:ascii="Times New Roman" w:hAnsi="Times New Roman" w:eastAsia="宋体" w:cs="Times New Roman"/>
                <w:sz w:val="24"/>
                <w:szCs w:val="24"/>
                <w:highlight w:val="none"/>
                <w:lang w:val="en-US" w:eastAsia="zh-CN"/>
              </w:rPr>
              <w:t>投加</w:t>
            </w:r>
            <w:r>
              <w:rPr>
                <w:rFonts w:hint="default" w:ascii="Times New Roman" w:hAnsi="Times New Roman" w:eastAsia="宋体" w:cs="Times New Roman"/>
                <w:sz w:val="24"/>
                <w:szCs w:val="24"/>
                <w:highlight w:val="none"/>
                <w:lang w:val="en-US" w:eastAsia="zh-CN"/>
              </w:rPr>
              <w:t>过程中，会产生一定量的氯化氢，排放速率可按《环境统计手册》经验公式计算。</w:t>
            </w:r>
          </w:p>
          <w:p w14:paraId="11E1BD67">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1"/>
                <w:sz w:val="24"/>
                <w:szCs w:val="24"/>
              </w:rPr>
            </w:pPr>
            <w:r>
              <w:rPr>
                <w:rFonts w:hint="default" w:ascii="Times New Roman" w:hAnsi="Times New Roman" w:eastAsia="宋体" w:cs="Times New Roman"/>
                <w:sz w:val="24"/>
                <w:szCs w:val="24"/>
              </w:rPr>
              <w:t>GZ=M×（0.000352+0.0007</w:t>
            </w:r>
            <w:r>
              <w:rPr>
                <w:rFonts w:hint="default" w:ascii="Times New Roman" w:hAnsi="Times New Roman" w:eastAsia="宋体" w:cs="Times New Roman"/>
                <w:spacing w:val="-1"/>
                <w:sz w:val="24"/>
                <w:szCs w:val="24"/>
              </w:rPr>
              <w:t>86×U）×P×F</w:t>
            </w:r>
          </w:p>
          <w:p w14:paraId="048B29AA">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式中</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GZ——排放速率（kg/h）</w:t>
            </w:r>
            <w:r>
              <w:rPr>
                <w:rFonts w:hint="eastAsia" w:ascii="Times New Roman" w:hAnsi="Times New Roman" w:eastAsia="宋体" w:cs="Times New Roman"/>
                <w:sz w:val="24"/>
                <w:szCs w:val="24"/>
                <w:lang w:eastAsia="zh-CN"/>
              </w:rPr>
              <w:t>；</w:t>
            </w:r>
          </w:p>
          <w:p w14:paraId="3A7A762A">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rPr>
              <w:t>M——液体分子量</w:t>
            </w:r>
            <w:r>
              <w:rPr>
                <w:rFonts w:hint="eastAsia" w:ascii="Times New Roman" w:hAnsi="Times New Roman" w:eastAsia="宋体" w:cs="Times New Roman"/>
                <w:spacing w:val="-1"/>
                <w:sz w:val="24"/>
                <w:szCs w:val="24"/>
                <w:lang w:eastAsia="zh-CN"/>
              </w:rPr>
              <w:t>；</w:t>
            </w:r>
          </w:p>
          <w:p w14:paraId="6D6F38CD">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rPr>
              <w:t>U——蒸发液体表面上的空气流速（m/s</w:t>
            </w:r>
            <w:r>
              <w:rPr>
                <w:rFonts w:hint="default" w:ascii="Times New Roman" w:hAnsi="Times New Roman" w:eastAsia="宋体" w:cs="Times New Roman"/>
                <w:spacing w:val="7"/>
                <w:sz w:val="24"/>
                <w:szCs w:val="24"/>
              </w:rPr>
              <w:t>）</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1"/>
                <w:sz w:val="24"/>
                <w:szCs w:val="24"/>
              </w:rPr>
              <w:t>应以实测数据为准。</w:t>
            </w:r>
            <w:r>
              <w:rPr>
                <w:rFonts w:hint="eastAsia" w:ascii="Times New Roman" w:hAnsi="Times New Roman" w:cs="Times New Roman"/>
                <w:spacing w:val="-1"/>
                <w:sz w:val="24"/>
                <w:szCs w:val="24"/>
                <w:lang w:val="en-US" w:eastAsia="zh-CN"/>
              </w:rPr>
              <w:t>盐酸配制罐</w:t>
            </w:r>
            <w:r>
              <w:rPr>
                <w:rFonts w:hint="default" w:ascii="Times New Roman" w:hAnsi="Times New Roman" w:eastAsia="宋体" w:cs="Times New Roman"/>
                <w:spacing w:val="-4"/>
                <w:sz w:val="24"/>
                <w:szCs w:val="24"/>
              </w:rPr>
              <w:t>内一般可取0.</w:t>
            </w:r>
            <w:r>
              <w:rPr>
                <w:rFonts w:hint="eastAsia" w:ascii="Times New Roman" w:hAnsi="Times New Roman" w:cs="Times New Roman"/>
                <w:spacing w:val="-4"/>
                <w:sz w:val="24"/>
                <w:szCs w:val="24"/>
                <w:lang w:val="en-US" w:eastAsia="zh-CN"/>
              </w:rPr>
              <w:t>1</w:t>
            </w:r>
            <w:r>
              <w:rPr>
                <w:rFonts w:hint="default" w:ascii="Times New Roman" w:hAnsi="Times New Roman" w:eastAsia="宋体" w:cs="Times New Roman"/>
                <w:spacing w:val="-4"/>
                <w:sz w:val="24"/>
                <w:szCs w:val="24"/>
              </w:rPr>
              <w:t>-0.</w:t>
            </w:r>
            <w:r>
              <w:rPr>
                <w:rFonts w:hint="eastAsia" w:ascii="Times New Roman" w:hAnsi="Times New Roman" w:cs="Times New Roman"/>
                <w:spacing w:val="-4"/>
                <w:sz w:val="24"/>
                <w:szCs w:val="24"/>
                <w:lang w:val="en-US" w:eastAsia="zh-CN"/>
              </w:rPr>
              <w:t>2</w:t>
            </w:r>
            <w:r>
              <w:rPr>
                <w:rFonts w:hint="default" w:ascii="Times New Roman" w:hAnsi="Times New Roman" w:eastAsia="宋体" w:cs="Times New Roman"/>
                <w:spacing w:val="-4"/>
                <w:sz w:val="24"/>
                <w:szCs w:val="24"/>
              </w:rPr>
              <w:t>，本次计算取最大值0.</w:t>
            </w:r>
            <w:r>
              <w:rPr>
                <w:rFonts w:hint="eastAsia" w:ascii="Times New Roman" w:hAnsi="Times New Roman" w:cs="Times New Roman"/>
                <w:spacing w:val="-4"/>
                <w:sz w:val="24"/>
                <w:szCs w:val="24"/>
                <w:lang w:val="en-US" w:eastAsia="zh-CN"/>
              </w:rPr>
              <w:t>2</w:t>
            </w:r>
            <w:r>
              <w:rPr>
                <w:rFonts w:hint="eastAsia" w:ascii="Times New Roman" w:hAnsi="Times New Roman" w:eastAsia="宋体" w:cs="Times New Roman"/>
                <w:spacing w:val="-4"/>
                <w:sz w:val="24"/>
                <w:szCs w:val="24"/>
                <w:lang w:eastAsia="zh-CN"/>
              </w:rPr>
              <w:t>；</w:t>
            </w:r>
          </w:p>
          <w:p w14:paraId="4872801A">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P——相应于液体温度下空气中的饱和蒸汽分压力（m</w:t>
            </w:r>
            <w:r>
              <w:rPr>
                <w:rFonts w:hint="default" w:ascii="Times New Roman" w:hAnsi="Times New Roman" w:eastAsia="宋体" w:cs="Times New Roman"/>
                <w:spacing w:val="-1"/>
                <w:sz w:val="24"/>
                <w:szCs w:val="24"/>
              </w:rPr>
              <w:t>mHg）</w:t>
            </w:r>
            <w:r>
              <w:rPr>
                <w:rFonts w:hint="eastAsia" w:ascii="Times New Roman" w:hAnsi="Times New Roman" w:eastAsia="宋体" w:cs="Times New Roman"/>
                <w:spacing w:val="-1"/>
                <w:sz w:val="24"/>
                <w:szCs w:val="24"/>
                <w:lang w:eastAsia="zh-CN"/>
              </w:rPr>
              <w:t>；</w:t>
            </w:r>
          </w:p>
          <w:p w14:paraId="136B0EE5">
            <w:pPr>
              <w:pStyle w:val="103"/>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6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F——蒸发面的面积（m</w:t>
            </w:r>
            <w:r>
              <w:rPr>
                <w:rFonts w:hint="eastAsia" w:ascii="Times New Roman" w:hAnsi="Times New Roman" w:eastAsia="宋体" w:cs="Times New Roman"/>
                <w:spacing w:val="-3"/>
                <w:sz w:val="24"/>
                <w:szCs w:val="24"/>
                <w:vertAlign w:val="superscript"/>
                <w:lang w:val="en-US" w:eastAsia="zh-CN"/>
              </w:rPr>
              <w:t>2</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lang w:eastAsia="zh-CN"/>
              </w:rPr>
              <w:t>，</w:t>
            </w:r>
            <w:r>
              <w:rPr>
                <w:rFonts w:hint="default" w:ascii="Times New Roman" w:hAnsi="Times New Roman" w:eastAsia="宋体" w:cs="Times New Roman"/>
                <w:spacing w:val="-3"/>
                <w:sz w:val="24"/>
                <w:szCs w:val="24"/>
              </w:rPr>
              <w:t>本项目根据</w:t>
            </w:r>
            <w:r>
              <w:rPr>
                <w:rFonts w:hint="default" w:ascii="Times New Roman" w:hAnsi="Times New Roman" w:eastAsia="宋体" w:cs="Times New Roman"/>
                <w:spacing w:val="-3"/>
                <w:sz w:val="24"/>
                <w:szCs w:val="24"/>
                <w:lang w:val="en-US" w:eastAsia="zh-CN"/>
              </w:rPr>
              <w:t>酸洗搅拌罐</w:t>
            </w:r>
            <w:r>
              <w:rPr>
                <w:rFonts w:hint="default" w:ascii="Times New Roman" w:hAnsi="Times New Roman" w:eastAsia="宋体" w:cs="Times New Roman"/>
                <w:spacing w:val="-3"/>
                <w:sz w:val="24"/>
                <w:szCs w:val="24"/>
              </w:rPr>
              <w:t>（半径</w:t>
            </w:r>
            <w:r>
              <w:rPr>
                <w:rFonts w:hint="eastAsia" w:ascii="Times New Roman" w:hAnsi="Times New Roman" w:cs="Times New Roman"/>
                <w:spacing w:val="-3"/>
                <w:sz w:val="24"/>
                <w:szCs w:val="24"/>
                <w:lang w:val="en-US" w:eastAsia="zh-CN"/>
              </w:rPr>
              <w:t>2</w:t>
            </w:r>
            <w:r>
              <w:rPr>
                <w:rFonts w:hint="default" w:ascii="Times New Roman" w:hAnsi="Times New Roman" w:eastAsia="宋体" w:cs="Times New Roman"/>
                <w:spacing w:val="-3"/>
                <w:sz w:val="24"/>
                <w:szCs w:val="24"/>
              </w:rPr>
              <w:t>m）</w:t>
            </w:r>
            <w:r>
              <w:rPr>
                <w:rFonts w:hint="default" w:ascii="Times New Roman" w:hAnsi="Times New Roman" w:eastAsia="宋体" w:cs="Times New Roman"/>
                <w:spacing w:val="-2"/>
                <w:sz w:val="24"/>
                <w:szCs w:val="24"/>
              </w:rPr>
              <w:t>计算，为</w:t>
            </w:r>
            <w:r>
              <w:rPr>
                <w:rFonts w:hint="eastAsia" w:ascii="Times New Roman" w:hAnsi="Times New Roman" w:cs="Times New Roman"/>
                <w:spacing w:val="-2"/>
                <w:sz w:val="24"/>
                <w:szCs w:val="24"/>
                <w:lang w:val="en-US" w:eastAsia="zh-CN"/>
              </w:rPr>
              <w:t>12.56</w:t>
            </w:r>
            <w:r>
              <w:rPr>
                <w:rFonts w:hint="default" w:ascii="Times New Roman" w:hAnsi="Times New Roman" w:eastAsia="宋体" w:cs="Times New Roman"/>
                <w:spacing w:val="-2"/>
                <w:sz w:val="24"/>
                <w:szCs w:val="24"/>
              </w:rPr>
              <w:t>。</w:t>
            </w:r>
          </w:p>
          <w:p w14:paraId="3A0412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具体计算结果见下表：</w:t>
            </w:r>
          </w:p>
          <w:p w14:paraId="002E40C8">
            <w:pPr>
              <w:keepNext w:val="0"/>
              <w:keepLines w:val="0"/>
              <w:suppressLineNumbers w:val="0"/>
              <w:snapToGrid w:val="0"/>
              <w:spacing w:before="0" w:beforeAutospacing="0" w:after="0" w:afterAutospacing="0" w:line="360" w:lineRule="auto"/>
              <w:ind w:left="0" w:right="0"/>
              <w:jc w:val="center"/>
              <w:rPr>
                <w:rFonts w:hint="default" w:ascii="Times New Roman" w:hAnsi="Times New Roman" w:eastAsia="宋体" w:cs="Times New Roman"/>
                <w:b/>
                <w:snapToGrid w:val="0"/>
                <w:color w:val="000000"/>
                <w:sz w:val="21"/>
                <w:szCs w:val="21"/>
                <w:highlight w:val="none"/>
              </w:rPr>
            </w:pPr>
            <w:r>
              <w:rPr>
                <w:rFonts w:hint="default" w:ascii="Times New Roman" w:hAnsi="Times New Roman" w:eastAsia="宋体" w:cs="Times New Roman"/>
                <w:b/>
                <w:snapToGrid w:val="0"/>
                <w:color w:val="000000"/>
                <w:sz w:val="21"/>
                <w:szCs w:val="21"/>
                <w:highlight w:val="none"/>
              </w:rPr>
              <w:t>表4-</w:t>
            </w:r>
            <w:r>
              <w:rPr>
                <w:rFonts w:hint="eastAsia" w:cs="Times New Roman"/>
                <w:b/>
                <w:snapToGrid w:val="0"/>
                <w:color w:val="000000"/>
                <w:sz w:val="21"/>
                <w:szCs w:val="21"/>
                <w:highlight w:val="none"/>
                <w:lang w:val="en-US" w:eastAsia="zh-CN"/>
              </w:rPr>
              <w:t>4</w:t>
            </w:r>
            <w:r>
              <w:rPr>
                <w:rFonts w:hint="eastAsia" w:ascii="Times New Roman" w:hAnsi="Times New Roman" w:eastAsia="宋体" w:cs="Times New Roman"/>
                <w:b/>
                <w:snapToGrid w:val="0"/>
                <w:color w:val="000000"/>
                <w:sz w:val="21"/>
                <w:szCs w:val="21"/>
                <w:highlight w:val="none"/>
                <w:lang w:val="en-US" w:eastAsia="zh-CN"/>
              </w:rPr>
              <w:t xml:space="preserve"> 氯化氢</w:t>
            </w:r>
            <w:r>
              <w:rPr>
                <w:rFonts w:hint="default" w:ascii="Times New Roman" w:hAnsi="Times New Roman" w:eastAsia="宋体" w:cs="Times New Roman"/>
                <w:b/>
                <w:snapToGrid w:val="0"/>
                <w:color w:val="000000"/>
                <w:sz w:val="21"/>
                <w:szCs w:val="21"/>
                <w:highlight w:val="none"/>
              </w:rPr>
              <w:t>产生量计算结果</w:t>
            </w:r>
          </w:p>
          <w:tbl>
            <w:tblPr>
              <w:tblStyle w:val="33"/>
              <w:tblW w:w="8752" w:type="dxa"/>
              <w:tblInd w:w="-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075"/>
              <w:gridCol w:w="917"/>
              <w:gridCol w:w="867"/>
              <w:gridCol w:w="691"/>
              <w:gridCol w:w="1131"/>
              <w:gridCol w:w="779"/>
              <w:gridCol w:w="1050"/>
              <w:gridCol w:w="577"/>
              <w:gridCol w:w="977"/>
            </w:tblGrid>
            <w:tr w14:paraId="7425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noWrap w:val="0"/>
                  <w:vAlign w:val="center"/>
                </w:tcPr>
                <w:p w14:paraId="4921BF2D">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4"/>
                      <w:sz w:val="21"/>
                      <w:szCs w:val="21"/>
                    </w:rPr>
                    <w:t>种类</w:t>
                  </w:r>
                </w:p>
              </w:tc>
              <w:tc>
                <w:tcPr>
                  <w:tcW w:w="1075" w:type="dxa"/>
                  <w:noWrap w:val="0"/>
                  <w:vAlign w:val="center"/>
                </w:tcPr>
                <w:p w14:paraId="5CAA69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4"/>
                      <w:sz w:val="21"/>
                      <w:szCs w:val="21"/>
                    </w:rPr>
                    <w:t>M</w:t>
                  </w:r>
                  <w:r>
                    <w:rPr>
                      <w:rFonts w:hint="eastAsia" w:ascii="Times New Roman" w:hAnsi="Times New Roman" w:eastAsia="宋体" w:cs="Times New Roman"/>
                      <w:spacing w:val="4"/>
                      <w:sz w:val="21"/>
                      <w:szCs w:val="21"/>
                      <w:lang w:val="en-US" w:eastAsia="zh-CN"/>
                    </w:rPr>
                    <w:t xml:space="preserve"> </w:t>
                  </w:r>
                  <w:r>
                    <w:rPr>
                      <w:rFonts w:hint="default" w:ascii="Times New Roman" w:hAnsi="Times New Roman" w:eastAsia="宋体" w:cs="Times New Roman"/>
                      <w:spacing w:val="4"/>
                      <w:sz w:val="21"/>
                      <w:szCs w:val="21"/>
                    </w:rPr>
                    <w:t>（g/mol）</w:t>
                  </w:r>
                </w:p>
              </w:tc>
              <w:tc>
                <w:tcPr>
                  <w:tcW w:w="917" w:type="dxa"/>
                  <w:noWrap w:val="0"/>
                  <w:vAlign w:val="center"/>
                </w:tcPr>
                <w:p w14:paraId="2EE31A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5"/>
                      <w:sz w:val="21"/>
                      <w:szCs w:val="21"/>
                    </w:rPr>
                    <w:t>U（m/s）</w:t>
                  </w:r>
                </w:p>
              </w:tc>
              <w:tc>
                <w:tcPr>
                  <w:tcW w:w="867" w:type="dxa"/>
                  <w:noWrap w:val="0"/>
                  <w:vAlign w:val="center"/>
                </w:tcPr>
                <w:p w14:paraId="473C8EA3">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溶液温度</w:t>
                  </w:r>
                  <w:r>
                    <w:rPr>
                      <w:rFonts w:hint="eastAsia" w:ascii="Times New Roman" w:hAnsi="Times New Roman" w:eastAsia="宋体" w:cs="Times New Roman"/>
                      <w:spacing w:val="6"/>
                      <w:sz w:val="21"/>
                      <w:szCs w:val="21"/>
                      <w:lang w:eastAsia="zh-CN"/>
                    </w:rPr>
                    <w:t>（</w:t>
                  </w:r>
                  <w:r>
                    <w:rPr>
                      <w:rFonts w:hint="eastAsia" w:ascii="Times New Roman" w:hAnsi="Times New Roman" w:eastAsia="宋体" w:cs="Times New Roman"/>
                      <w:spacing w:val="6"/>
                      <w:sz w:val="21"/>
                      <w:szCs w:val="21"/>
                      <w:lang w:val="en-US" w:eastAsia="zh-CN"/>
                    </w:rPr>
                    <w:t>℃</w:t>
                  </w:r>
                  <w:r>
                    <w:rPr>
                      <w:rFonts w:hint="eastAsia" w:ascii="Times New Roman" w:hAnsi="Times New Roman" w:eastAsia="宋体" w:cs="Times New Roman"/>
                      <w:spacing w:val="6"/>
                      <w:sz w:val="21"/>
                      <w:szCs w:val="21"/>
                      <w:lang w:eastAsia="zh-CN"/>
                    </w:rPr>
                    <w:t>）</w:t>
                  </w:r>
                </w:p>
              </w:tc>
              <w:tc>
                <w:tcPr>
                  <w:tcW w:w="691" w:type="dxa"/>
                  <w:noWrap w:val="0"/>
                  <w:vAlign w:val="center"/>
                </w:tcPr>
                <w:p w14:paraId="3790800D">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4"/>
                      <w:sz w:val="21"/>
                      <w:szCs w:val="21"/>
                    </w:rPr>
                    <w:t>浓度</w:t>
                  </w:r>
                </w:p>
              </w:tc>
              <w:tc>
                <w:tcPr>
                  <w:tcW w:w="1131" w:type="dxa"/>
                  <w:noWrap w:val="0"/>
                  <w:vAlign w:val="center"/>
                </w:tcPr>
                <w:p w14:paraId="310D0D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P</w:t>
                  </w:r>
                </w:p>
                <w:p w14:paraId="7B782F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1"/>
                      <w:sz w:val="21"/>
                      <w:szCs w:val="21"/>
                    </w:rPr>
                    <w:t>（mmHg）</w:t>
                  </w:r>
                </w:p>
              </w:tc>
              <w:tc>
                <w:tcPr>
                  <w:tcW w:w="779" w:type="dxa"/>
                  <w:noWrap w:val="0"/>
                  <w:vAlign w:val="center"/>
                </w:tcPr>
                <w:p w14:paraId="15C41D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1"/>
                      <w:sz w:val="21"/>
                      <w:szCs w:val="21"/>
                    </w:rPr>
                    <w:t>F（m</w:t>
                  </w:r>
                  <w:r>
                    <w:rPr>
                      <w:rFonts w:hint="default" w:ascii="Times New Roman" w:hAnsi="Times New Roman" w:eastAsia="宋体" w:cs="Times New Roman"/>
                      <w:spacing w:val="1"/>
                      <w:sz w:val="21"/>
                      <w:szCs w:val="21"/>
                      <w:vertAlign w:val="superscript"/>
                      <w:lang w:val="en-US" w:eastAsia="zh-CN"/>
                    </w:rPr>
                    <w:t>2</w:t>
                  </w:r>
                  <w:r>
                    <w:rPr>
                      <w:rFonts w:hint="default" w:ascii="Times New Roman" w:hAnsi="Times New Roman" w:eastAsia="宋体" w:cs="Times New Roman"/>
                      <w:spacing w:val="1"/>
                      <w:sz w:val="21"/>
                      <w:szCs w:val="21"/>
                    </w:rPr>
                    <w:t>）</w:t>
                  </w:r>
                </w:p>
              </w:tc>
              <w:tc>
                <w:tcPr>
                  <w:tcW w:w="1050" w:type="dxa"/>
                  <w:noWrap w:val="0"/>
                  <w:vAlign w:val="center"/>
                </w:tcPr>
                <w:p w14:paraId="4C65A0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2"/>
                      <w:sz w:val="21"/>
                      <w:szCs w:val="21"/>
                    </w:rPr>
                    <w:t>GZ</w:t>
                  </w:r>
                  <w:r>
                    <w:rPr>
                      <w:rFonts w:hint="eastAsia" w:ascii="Times New Roman" w:hAnsi="Times New Roman" w:eastAsia="宋体" w:cs="Times New Roman"/>
                      <w:spacing w:val="2"/>
                      <w:sz w:val="21"/>
                      <w:szCs w:val="21"/>
                      <w:lang w:eastAsia="zh-CN"/>
                    </w:rPr>
                    <w:t>（kg/h）</w:t>
                  </w:r>
                </w:p>
              </w:tc>
              <w:tc>
                <w:tcPr>
                  <w:tcW w:w="577" w:type="dxa"/>
                  <w:noWrap w:val="0"/>
                  <w:vAlign w:val="center"/>
                </w:tcPr>
                <w:p w14:paraId="37C187E1">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1"/>
                      <w:sz w:val="21"/>
                      <w:szCs w:val="21"/>
                    </w:rPr>
                    <w:t>时间</w:t>
                  </w:r>
                </w:p>
              </w:tc>
              <w:tc>
                <w:tcPr>
                  <w:tcW w:w="977" w:type="dxa"/>
                  <w:noWrap w:val="0"/>
                  <w:vAlign w:val="center"/>
                </w:tcPr>
                <w:p w14:paraId="11BB3907">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产生量</w:t>
                  </w:r>
                  <w:r>
                    <w:rPr>
                      <w:rFonts w:hint="eastAsia" w:ascii="Times New Roman" w:hAnsi="Times New Roman" w:eastAsia="宋体" w:cs="Times New Roman"/>
                      <w:spacing w:val="2"/>
                      <w:sz w:val="21"/>
                      <w:szCs w:val="21"/>
                      <w:lang w:eastAsia="zh-CN"/>
                    </w:rPr>
                    <w:t>（kg/</w:t>
                  </w:r>
                  <w:r>
                    <w:rPr>
                      <w:rFonts w:hint="eastAsia" w:ascii="Times New Roman" w:hAnsi="Times New Roman" w:eastAsia="宋体" w:cs="Times New Roman"/>
                      <w:spacing w:val="2"/>
                      <w:sz w:val="21"/>
                      <w:szCs w:val="21"/>
                      <w:lang w:val="en-US" w:eastAsia="zh-CN"/>
                    </w:rPr>
                    <w:t>a</w:t>
                  </w:r>
                  <w:r>
                    <w:rPr>
                      <w:rFonts w:hint="eastAsia" w:ascii="Times New Roman" w:hAnsi="Times New Roman" w:eastAsia="宋体" w:cs="Times New Roman"/>
                      <w:spacing w:val="2"/>
                      <w:sz w:val="21"/>
                      <w:szCs w:val="21"/>
                      <w:lang w:eastAsia="zh-CN"/>
                    </w:rPr>
                    <w:t>）</w:t>
                  </w:r>
                </w:p>
              </w:tc>
            </w:tr>
            <w:tr w14:paraId="6A3A2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noWrap w:val="0"/>
                  <w:vAlign w:val="center"/>
                </w:tcPr>
                <w:p w14:paraId="4EE51E42">
                  <w:pPr>
                    <w:pStyle w:val="10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spacing w:val="5"/>
                      <w:sz w:val="21"/>
                      <w:szCs w:val="21"/>
                      <w:lang w:val="en-US" w:eastAsia="zh-CN"/>
                    </w:rPr>
                  </w:pPr>
                  <w:r>
                    <w:rPr>
                      <w:rFonts w:hint="eastAsia" w:ascii="Times New Roman" w:hAnsi="Times New Roman" w:eastAsia="宋体" w:cs="Times New Roman"/>
                      <w:spacing w:val="5"/>
                      <w:sz w:val="21"/>
                      <w:szCs w:val="21"/>
                      <w:lang w:val="en-US" w:eastAsia="zh-CN"/>
                    </w:rPr>
                    <w:t>氯化氢</w:t>
                  </w:r>
                </w:p>
              </w:tc>
              <w:tc>
                <w:tcPr>
                  <w:tcW w:w="1075" w:type="dxa"/>
                  <w:noWrap w:val="0"/>
                  <w:vAlign w:val="center"/>
                </w:tcPr>
                <w:p w14:paraId="537E2C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36.5</w:t>
                  </w:r>
                </w:p>
              </w:tc>
              <w:tc>
                <w:tcPr>
                  <w:tcW w:w="917" w:type="dxa"/>
                  <w:noWrap w:val="0"/>
                  <w:vAlign w:val="center"/>
                </w:tcPr>
                <w:p w14:paraId="6D231B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1"/>
                      <w:sz w:val="21"/>
                      <w:szCs w:val="21"/>
                      <w:lang w:val="en-US" w:eastAsia="zh-CN"/>
                    </w:rPr>
                    <w:t>0.2</w:t>
                  </w:r>
                </w:p>
              </w:tc>
              <w:tc>
                <w:tcPr>
                  <w:tcW w:w="867" w:type="dxa"/>
                  <w:noWrap w:val="0"/>
                  <w:vAlign w:val="center"/>
                </w:tcPr>
                <w:p w14:paraId="71B824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3"/>
                      <w:sz w:val="21"/>
                      <w:szCs w:val="21"/>
                      <w:lang w:val="en-US" w:eastAsia="zh-CN"/>
                    </w:rPr>
                    <w:t>25</w:t>
                  </w:r>
                </w:p>
              </w:tc>
              <w:tc>
                <w:tcPr>
                  <w:tcW w:w="691" w:type="dxa"/>
                  <w:noWrap w:val="0"/>
                  <w:vAlign w:val="center"/>
                </w:tcPr>
                <w:p w14:paraId="6ADDD1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spacing w:val="3"/>
                      <w:sz w:val="21"/>
                      <w:szCs w:val="21"/>
                      <w:lang w:val="en-US" w:eastAsia="zh-CN"/>
                    </w:rPr>
                    <w:t>10</w:t>
                  </w:r>
                  <w:r>
                    <w:rPr>
                      <w:rFonts w:hint="eastAsia" w:ascii="Times New Roman" w:hAnsi="Times New Roman" w:eastAsia="宋体" w:cs="Times New Roman"/>
                      <w:spacing w:val="3"/>
                      <w:sz w:val="21"/>
                      <w:szCs w:val="21"/>
                      <w:lang w:val="en-US" w:eastAsia="zh-CN"/>
                    </w:rPr>
                    <w:t>%</w:t>
                  </w:r>
                </w:p>
              </w:tc>
              <w:tc>
                <w:tcPr>
                  <w:tcW w:w="1131" w:type="dxa"/>
                  <w:noWrap w:val="0"/>
                  <w:vAlign w:val="center"/>
                </w:tcPr>
                <w:p w14:paraId="42FFC8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9.66</w:t>
                  </w:r>
                </w:p>
              </w:tc>
              <w:tc>
                <w:tcPr>
                  <w:tcW w:w="779" w:type="dxa"/>
                  <w:noWrap w:val="0"/>
                  <w:vAlign w:val="center"/>
                </w:tcPr>
                <w:p w14:paraId="55DD20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12.56</w:t>
                  </w:r>
                </w:p>
              </w:tc>
              <w:tc>
                <w:tcPr>
                  <w:tcW w:w="1050" w:type="dxa"/>
                  <w:noWrap w:val="0"/>
                  <w:vAlign w:val="center"/>
                </w:tcPr>
                <w:p w14:paraId="7EF23E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2.3</w:t>
                  </w:r>
                </w:p>
              </w:tc>
              <w:tc>
                <w:tcPr>
                  <w:tcW w:w="577" w:type="dxa"/>
                  <w:noWrap w:val="0"/>
                  <w:vAlign w:val="center"/>
                </w:tcPr>
                <w:p w14:paraId="1DDF97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pacing w:val="-1"/>
                      <w:sz w:val="21"/>
                      <w:szCs w:val="21"/>
                      <w:lang w:val="en-US" w:eastAsia="zh-CN"/>
                    </w:rPr>
                    <w:t>300</w:t>
                  </w:r>
                  <w:r>
                    <w:rPr>
                      <w:rFonts w:hint="default" w:ascii="Times New Roman" w:hAnsi="Times New Roman" w:eastAsia="宋体" w:cs="Times New Roman"/>
                      <w:spacing w:val="-1"/>
                      <w:sz w:val="21"/>
                      <w:szCs w:val="21"/>
                    </w:rPr>
                    <w:t>h</w:t>
                  </w:r>
                </w:p>
              </w:tc>
              <w:tc>
                <w:tcPr>
                  <w:tcW w:w="977" w:type="dxa"/>
                  <w:noWrap w:val="0"/>
                  <w:vAlign w:val="center"/>
                </w:tcPr>
                <w:p w14:paraId="495E8D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0.69</w:t>
                  </w:r>
                </w:p>
              </w:tc>
            </w:tr>
          </w:tbl>
          <w:p w14:paraId="50EF1A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sz w:val="24"/>
                <w:szCs w:val="24"/>
                <w:highlight w:val="none"/>
                <w:lang w:val="en-US" w:eastAsia="zh-CN"/>
              </w:rPr>
              <w:t>综上所述，一次搅拌投料过程产生的氯化氢量为</w:t>
            </w:r>
            <w:r>
              <w:rPr>
                <w:rFonts w:hint="eastAsia" w:cs="Times New Roman"/>
                <w:sz w:val="24"/>
                <w:szCs w:val="24"/>
                <w:highlight w:val="none"/>
                <w:lang w:val="en-US" w:eastAsia="zh-CN"/>
              </w:rPr>
              <w:t>0.69</w:t>
            </w:r>
            <w:r>
              <w:rPr>
                <w:rFonts w:hint="eastAsia" w:ascii="Times New Roman" w:hAnsi="Times New Roman" w:eastAsia="宋体" w:cs="Times New Roman"/>
                <w:sz w:val="24"/>
                <w:szCs w:val="24"/>
                <w:highlight w:val="none"/>
                <w:lang w:val="en-US" w:eastAsia="zh-CN"/>
              </w:rPr>
              <w:t>t/a。</w:t>
            </w:r>
          </w:p>
          <w:p w14:paraId="4FFB61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本项目高纯晶体氧化铝粉</w:t>
            </w:r>
            <w:r>
              <w:rPr>
                <w:rFonts w:hint="eastAsia" w:ascii="Times New Roman" w:hAnsi="Times New Roman" w:eastAsia="宋体" w:cs="Times New Roman"/>
                <w:sz w:val="24"/>
                <w:szCs w:val="24"/>
                <w:highlight w:val="none"/>
                <w:lang w:val="en-US" w:eastAsia="zh-CN"/>
              </w:rPr>
              <w:t>通过料泵负压上料</w:t>
            </w:r>
            <w:r>
              <w:rPr>
                <w:rFonts w:hint="default" w:ascii="Times New Roman" w:hAnsi="Times New Roman" w:eastAsia="宋体" w:cs="Times New Roman"/>
                <w:sz w:val="24"/>
                <w:szCs w:val="24"/>
                <w:highlight w:val="none"/>
                <w:lang w:val="en-US" w:eastAsia="zh-CN"/>
              </w:rPr>
              <w:t>，</w:t>
            </w:r>
            <w:r>
              <w:rPr>
                <w:rFonts w:hint="eastAsia" w:ascii="Times New Roman" w:hAnsi="Times New Roman" w:eastAsia="宋体" w:cs="Times New Roman"/>
                <w:sz w:val="24"/>
                <w:szCs w:val="24"/>
                <w:highlight w:val="none"/>
                <w:lang w:val="en-US" w:eastAsia="zh-CN"/>
              </w:rPr>
              <w:t>投料过程会产生一定量的颗粒物</w:t>
            </w:r>
            <w:r>
              <w:rPr>
                <w:rFonts w:hint="default" w:ascii="Times New Roman" w:hAnsi="Times New Roman" w:eastAsia="宋体" w:cs="Times New Roman"/>
                <w:sz w:val="24"/>
                <w:szCs w:val="24"/>
                <w:highlight w:val="none"/>
                <w:lang w:val="en-US" w:eastAsia="zh-CN"/>
              </w:rPr>
              <w:t>，参照《逸散性工业粉尘控制技术》（中国环境科学出版社）中“表22-1混凝分批搅拌厂的逸散尘排放因子-卸水泥至高架筒仓逸散尘排放因子0.12kg/t（卸料）”，本项目高纯晶体氧化铝粉</w:t>
            </w:r>
            <w:r>
              <w:rPr>
                <w:rFonts w:hint="eastAsia" w:ascii="Times New Roman" w:hAnsi="Times New Roman" w:eastAsia="宋体" w:cs="Times New Roman"/>
                <w:sz w:val="24"/>
                <w:szCs w:val="24"/>
                <w:highlight w:val="none"/>
                <w:lang w:val="en-US" w:eastAsia="zh-CN"/>
              </w:rPr>
              <w:t>投加量为36000</w:t>
            </w:r>
            <w:r>
              <w:rPr>
                <w:rFonts w:hint="default" w:ascii="Times New Roman" w:hAnsi="Times New Roman" w:eastAsia="宋体" w:cs="Times New Roman"/>
                <w:sz w:val="24"/>
                <w:szCs w:val="24"/>
                <w:highlight w:val="none"/>
                <w:lang w:val="en-US" w:eastAsia="zh-CN"/>
              </w:rPr>
              <w:t>t</w:t>
            </w:r>
            <w:r>
              <w:rPr>
                <w:rFonts w:hint="eastAsia" w:ascii="Times New Roman" w:hAnsi="Times New Roman" w:eastAsia="宋体" w:cs="Times New Roman"/>
                <w:sz w:val="24"/>
                <w:szCs w:val="24"/>
                <w:highlight w:val="none"/>
                <w:lang w:val="en-US" w:eastAsia="zh-CN"/>
              </w:rPr>
              <w:t>/a</w:t>
            </w:r>
            <w:r>
              <w:rPr>
                <w:rFonts w:hint="default" w:ascii="Times New Roman" w:hAnsi="Times New Roman" w:eastAsia="宋体" w:cs="Times New Roman"/>
                <w:sz w:val="24"/>
                <w:szCs w:val="24"/>
                <w:highlight w:val="none"/>
                <w:lang w:val="en-US" w:eastAsia="zh-CN"/>
              </w:rPr>
              <w:t>，故颗粒物产生量</w:t>
            </w:r>
            <w:r>
              <w:rPr>
                <w:rFonts w:hint="eastAsia" w:ascii="Times New Roman" w:hAnsi="Times New Roman" w:eastAsia="宋体" w:cs="Times New Roman"/>
                <w:sz w:val="24"/>
                <w:szCs w:val="24"/>
                <w:highlight w:val="none"/>
                <w:lang w:val="en-US" w:eastAsia="zh-CN"/>
              </w:rPr>
              <w:t>为4.32</w:t>
            </w:r>
            <w:r>
              <w:rPr>
                <w:rFonts w:hint="default" w:ascii="Times New Roman" w:hAnsi="Times New Roman" w:eastAsia="宋体" w:cs="Times New Roman"/>
                <w:sz w:val="24"/>
                <w:szCs w:val="24"/>
                <w:highlight w:val="none"/>
                <w:lang w:val="en-US" w:eastAsia="zh-CN"/>
              </w:rPr>
              <w:t>t/a。</w:t>
            </w:r>
          </w:p>
          <w:p w14:paraId="1E8E62A2">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排放量及排放浓度：</w:t>
            </w:r>
          </w:p>
          <w:p w14:paraId="369C85CD">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bCs/>
                <w:color w:val="auto"/>
                <w:sz w:val="24"/>
                <w:szCs w:val="24"/>
                <w:highlight w:val="none"/>
                <w:lang w:val="en-US" w:eastAsia="zh-CN"/>
              </w:rPr>
            </w:pPr>
            <w:r>
              <w:rPr>
                <w:rFonts w:hint="eastAsia"/>
                <w:bCs/>
                <w:sz w:val="24"/>
                <w:highlight w:val="none"/>
                <w:lang w:val="en-US" w:eastAsia="zh-CN"/>
              </w:rPr>
              <w:t>根据企业提供的资料，风机风量为</w:t>
            </w:r>
            <w:r>
              <w:rPr>
                <w:rFonts w:hint="eastAsia" w:ascii="Times New Roman" w:hAnsi="Times New Roman" w:eastAsia="宋体" w:cs="Times New Roman"/>
                <w:color w:val="auto"/>
                <w:sz w:val="24"/>
                <w:szCs w:val="24"/>
                <w:lang w:val="en-US" w:eastAsia="zh-CN"/>
              </w:rPr>
              <w:t>2000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/h。</w:t>
            </w:r>
            <w:r>
              <w:rPr>
                <w:rFonts w:hint="default" w:ascii="Times New Roman" w:hAnsi="Times New Roman" w:eastAsia="宋体" w:cs="Times New Roman"/>
                <w:bCs/>
                <w:color w:val="auto"/>
                <w:sz w:val="24"/>
                <w:szCs w:val="24"/>
                <w:highlight w:val="none"/>
                <w:lang w:val="en-US" w:eastAsia="zh-CN"/>
              </w:rPr>
              <w:t>项目盐酸配置</w:t>
            </w:r>
            <w:r>
              <w:rPr>
                <w:rFonts w:hint="eastAsia" w:ascii="Times New Roman" w:hAnsi="Times New Roman" w:eastAsia="宋体" w:cs="Times New Roman"/>
                <w:bCs/>
                <w:color w:val="auto"/>
                <w:sz w:val="24"/>
                <w:szCs w:val="24"/>
                <w:highlight w:val="none"/>
                <w:lang w:val="en-US" w:eastAsia="zh-CN"/>
              </w:rPr>
              <w:t>工序</w:t>
            </w:r>
            <w:r>
              <w:rPr>
                <w:rFonts w:hint="default" w:ascii="Times New Roman" w:hAnsi="Times New Roman" w:eastAsia="宋体" w:cs="Times New Roman"/>
                <w:bCs/>
                <w:color w:val="auto"/>
                <w:sz w:val="24"/>
                <w:szCs w:val="24"/>
                <w:highlight w:val="none"/>
                <w:lang w:val="en-US" w:eastAsia="zh-CN"/>
              </w:rPr>
              <w:t>产生的废气经</w:t>
            </w:r>
            <w:r>
              <w:rPr>
                <w:rFonts w:hint="eastAsia" w:ascii="Times New Roman" w:hAnsi="Times New Roman" w:eastAsia="宋体" w:cs="Times New Roman"/>
                <w:bCs/>
                <w:color w:val="auto"/>
                <w:sz w:val="24"/>
                <w:szCs w:val="24"/>
                <w:highlight w:val="none"/>
                <w:lang w:val="en-US" w:eastAsia="zh-CN"/>
              </w:rPr>
              <w:t>密闭管道收集</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sz w:val="24"/>
                <w:szCs w:val="24"/>
              </w:rPr>
              <w:t>收集效率</w:t>
            </w:r>
            <w:r>
              <w:rPr>
                <w:rFonts w:hint="eastAsia" w:ascii="Times New Roman" w:hAnsi="Times New Roman" w:eastAsia="宋体" w:cs="Times New Roman"/>
                <w:color w:val="auto"/>
                <w:sz w:val="24"/>
                <w:szCs w:val="24"/>
                <w:lang w:val="en-US" w:eastAsia="zh-CN"/>
              </w:rPr>
              <w:t>98</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2%废气从吨桶出料口逃逸</w:t>
            </w:r>
            <w:r>
              <w:rPr>
                <w:rFonts w:hint="default" w:ascii="Times New Roman" w:hAnsi="Times New Roman" w:eastAsia="宋体" w:cs="Times New Roman"/>
                <w:bCs/>
                <w:color w:val="auto"/>
                <w:sz w:val="24"/>
                <w:szCs w:val="24"/>
                <w:highlight w:val="none"/>
                <w:lang w:val="en-US" w:eastAsia="zh-CN"/>
              </w:rPr>
              <w:t>），一次搅拌投料</w:t>
            </w:r>
            <w:r>
              <w:rPr>
                <w:rFonts w:hint="eastAsia" w:ascii="Times New Roman" w:hAnsi="Times New Roman" w:eastAsia="宋体" w:cs="Times New Roman"/>
                <w:bCs/>
                <w:color w:val="auto"/>
                <w:sz w:val="24"/>
                <w:szCs w:val="24"/>
                <w:highlight w:val="none"/>
                <w:lang w:val="en-US" w:eastAsia="zh-CN"/>
              </w:rPr>
              <w:t>工序</w:t>
            </w:r>
            <w:r>
              <w:rPr>
                <w:rFonts w:hint="default" w:ascii="Times New Roman" w:hAnsi="Times New Roman" w:eastAsia="宋体" w:cs="Times New Roman"/>
                <w:bCs/>
                <w:color w:val="auto"/>
                <w:sz w:val="24"/>
                <w:szCs w:val="24"/>
                <w:highlight w:val="none"/>
                <w:lang w:val="en-US" w:eastAsia="zh-CN"/>
              </w:rPr>
              <w:t>产生的废气经</w:t>
            </w:r>
            <w:r>
              <w:rPr>
                <w:rFonts w:hint="eastAsia" w:ascii="Times New Roman" w:hAnsi="Times New Roman" w:eastAsia="宋体" w:cs="Times New Roman"/>
                <w:bCs/>
                <w:color w:val="auto"/>
                <w:sz w:val="24"/>
                <w:szCs w:val="24"/>
                <w:highlight w:val="none"/>
                <w:lang w:val="en-US" w:eastAsia="zh-CN"/>
              </w:rPr>
              <w:t>密闭管道收集</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sz w:val="24"/>
                <w:szCs w:val="24"/>
              </w:rPr>
              <w:t>收集效率</w:t>
            </w:r>
            <w:r>
              <w:rPr>
                <w:rFonts w:hint="eastAsia" w:ascii="Times New Roman" w:hAnsi="Times New Roman" w:eastAsia="宋体" w:cs="Times New Roman"/>
                <w:color w:val="auto"/>
                <w:sz w:val="24"/>
                <w:szCs w:val="24"/>
                <w:lang w:val="en-US" w:eastAsia="zh-CN"/>
              </w:rPr>
              <w:t>90</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10%废气从进料口逃逸</w:t>
            </w:r>
            <w:r>
              <w:rPr>
                <w:rFonts w:hint="default"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经</w:t>
            </w:r>
            <w:r>
              <w:rPr>
                <w:rFonts w:hint="eastAsia" w:ascii="Times New Roman" w:hAnsi="Times New Roman" w:eastAsia="宋体" w:cs="Times New Roman"/>
                <w:bCs/>
                <w:color w:val="auto"/>
                <w:sz w:val="24"/>
                <w:szCs w:val="24"/>
                <w:highlight w:val="none"/>
                <w:lang w:val="en-US" w:eastAsia="zh-CN"/>
              </w:rPr>
              <w:t>二级水喷淋+</w:t>
            </w:r>
            <w:r>
              <w:rPr>
                <w:rFonts w:hint="default" w:ascii="Times New Roman" w:hAnsi="Times New Roman" w:cs="Times New Roman"/>
                <w:bCs/>
                <w:color w:val="auto"/>
                <w:sz w:val="24"/>
                <w:szCs w:val="24"/>
                <w:highlight w:val="none"/>
                <w:lang w:val="en-US" w:eastAsia="zh-CN"/>
              </w:rPr>
              <w:t>布袋除尘</w:t>
            </w:r>
            <w:r>
              <w:rPr>
                <w:rFonts w:hint="default"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氯化氢极易溶于水，二级水喷淋</w:t>
            </w:r>
            <w:r>
              <w:rPr>
                <w:rFonts w:hint="default" w:ascii="Times New Roman" w:hAnsi="Times New Roman" w:cs="Times New Roman"/>
                <w:bCs/>
                <w:color w:val="auto"/>
                <w:sz w:val="24"/>
                <w:szCs w:val="24"/>
                <w:highlight w:val="none"/>
                <w:lang w:val="en-US" w:eastAsia="zh-CN"/>
              </w:rPr>
              <w:t>对</w:t>
            </w:r>
            <w:r>
              <w:rPr>
                <w:rFonts w:hint="eastAsia" w:ascii="Times New Roman" w:hAnsi="Times New Roman" w:cs="Times New Roman"/>
                <w:bCs/>
                <w:color w:val="auto"/>
                <w:sz w:val="24"/>
                <w:szCs w:val="24"/>
                <w:highlight w:val="none"/>
                <w:lang w:val="en-US" w:eastAsia="zh-CN"/>
              </w:rPr>
              <w:t>氯化氢</w:t>
            </w:r>
            <w:r>
              <w:rPr>
                <w:rFonts w:hint="default" w:ascii="Times New Roman" w:hAnsi="Times New Roman" w:cs="Times New Roman"/>
                <w:bCs/>
                <w:color w:val="auto"/>
                <w:sz w:val="24"/>
                <w:szCs w:val="24"/>
                <w:highlight w:val="none"/>
                <w:lang w:val="en-US" w:eastAsia="zh-CN"/>
              </w:rPr>
              <w:t>的</w:t>
            </w:r>
            <w:r>
              <w:rPr>
                <w:rFonts w:hint="default" w:ascii="Times New Roman" w:hAnsi="Times New Roman" w:eastAsia="宋体" w:cs="Times New Roman"/>
                <w:bCs/>
                <w:color w:val="auto"/>
                <w:sz w:val="24"/>
                <w:szCs w:val="24"/>
                <w:highlight w:val="none"/>
                <w:lang w:val="en-US" w:eastAsia="zh-CN"/>
              </w:rPr>
              <w:t>处理效率</w:t>
            </w:r>
            <w:r>
              <w:rPr>
                <w:rFonts w:hint="eastAsia" w:ascii="Times New Roman" w:hAnsi="Times New Roman" w:eastAsia="宋体" w:cs="Times New Roman"/>
                <w:bCs/>
                <w:color w:val="auto"/>
                <w:sz w:val="24"/>
                <w:szCs w:val="24"/>
                <w:highlight w:val="none"/>
                <w:lang w:val="en-US" w:eastAsia="zh-CN"/>
              </w:rPr>
              <w:t>90</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二级水喷淋+除雾器+布袋除尘器</w:t>
            </w:r>
            <w:r>
              <w:rPr>
                <w:rFonts w:hint="default" w:ascii="Times New Roman" w:hAnsi="Times New Roman" w:cs="Times New Roman"/>
                <w:bCs/>
                <w:color w:val="auto"/>
                <w:sz w:val="24"/>
                <w:szCs w:val="24"/>
                <w:highlight w:val="none"/>
                <w:lang w:val="en-US" w:eastAsia="zh-CN"/>
              </w:rPr>
              <w:t>对颗粒物的处理效率</w:t>
            </w:r>
            <w:r>
              <w:rPr>
                <w:rFonts w:hint="eastAsia" w:ascii="Times New Roman" w:hAnsi="Times New Roman" w:cs="Times New Roman"/>
                <w:bCs/>
                <w:color w:val="auto"/>
                <w:sz w:val="24"/>
                <w:szCs w:val="24"/>
                <w:highlight w:val="none"/>
                <w:lang w:val="en-US" w:eastAsia="zh-CN"/>
              </w:rPr>
              <w:t>50%+</w:t>
            </w:r>
            <w:r>
              <w:rPr>
                <w:rFonts w:hint="default" w:ascii="Times New Roman" w:hAnsi="Times New Roman" w:cs="Times New Roman"/>
                <w:bCs/>
                <w:color w:val="auto"/>
                <w:sz w:val="24"/>
                <w:szCs w:val="24"/>
                <w:highlight w:val="none"/>
                <w:lang w:val="en-US" w:eastAsia="zh-CN"/>
              </w:rPr>
              <w:t>9</w:t>
            </w:r>
            <w:r>
              <w:rPr>
                <w:rFonts w:hint="eastAsia" w:ascii="Times New Roman" w:hAnsi="Times New Roman" w:cs="Times New Roman"/>
                <w:bCs/>
                <w:color w:val="auto"/>
                <w:sz w:val="24"/>
                <w:szCs w:val="24"/>
                <w:highlight w:val="none"/>
                <w:lang w:val="en-US" w:eastAsia="zh-CN"/>
              </w:rPr>
              <w:t>8</w:t>
            </w:r>
            <w:r>
              <w:rPr>
                <w:rFonts w:hint="default" w:ascii="Times New Roman" w:hAnsi="Times New Roman"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，经15m排气筒排放（DA001）</w:t>
            </w:r>
            <w:r>
              <w:rPr>
                <w:rFonts w:hint="default" w:ascii="Times New Roman" w:hAnsi="Times New Roman" w:cs="Times New Roman"/>
                <w:bCs/>
                <w:color w:val="auto"/>
                <w:sz w:val="24"/>
                <w:szCs w:val="24"/>
                <w:highlight w:val="none"/>
                <w:lang w:val="en-US" w:eastAsia="zh-CN"/>
              </w:rPr>
              <w:t>。</w:t>
            </w:r>
          </w:p>
          <w:p w14:paraId="5C16F406">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氯化氢</w:t>
            </w:r>
            <w:r>
              <w:rPr>
                <w:rFonts w:hint="default" w:ascii="Times New Roman" w:hAnsi="Times New Roman" w:eastAsia="宋体" w:cs="Times New Roman"/>
                <w:bCs/>
                <w:color w:val="auto"/>
                <w:sz w:val="24"/>
                <w:szCs w:val="24"/>
                <w:highlight w:val="none"/>
                <w:lang w:val="en-US" w:eastAsia="zh-CN"/>
              </w:rPr>
              <w:t>有组织排放量</w:t>
            </w:r>
            <w:r>
              <w:rPr>
                <w:rFonts w:hint="eastAsia" w:ascii="Times New Roman" w:hAnsi="Times New Roman" w:cs="Times New Roman"/>
                <w:bCs/>
                <w:color w:val="auto"/>
                <w:sz w:val="24"/>
                <w:szCs w:val="24"/>
                <w:highlight w:val="none"/>
                <w:lang w:val="en-US" w:eastAsia="zh-CN"/>
              </w:rPr>
              <w:t>0.092</w:t>
            </w:r>
            <w:r>
              <w:rPr>
                <w:rFonts w:hint="default" w:ascii="Times New Roman" w:hAnsi="Times New Roman" w:eastAsia="宋体" w:cs="Times New Roman"/>
                <w:bCs/>
                <w:color w:val="auto"/>
                <w:sz w:val="24"/>
                <w:szCs w:val="24"/>
                <w:highlight w:val="none"/>
                <w:lang w:val="en-US" w:eastAsia="zh-CN"/>
              </w:rPr>
              <w:t>t/a，</w:t>
            </w:r>
            <w:r>
              <w:rPr>
                <w:rFonts w:hint="eastAsia" w:ascii="Times New Roman" w:hAnsi="Times New Roman" w:eastAsia="宋体" w:cs="Times New Roman"/>
                <w:bCs/>
                <w:color w:val="auto"/>
                <w:sz w:val="24"/>
                <w:szCs w:val="24"/>
                <w:highlight w:val="none"/>
                <w:lang w:val="en-US" w:eastAsia="zh-CN"/>
              </w:rPr>
              <w:t>排放速率为</w:t>
            </w:r>
            <w:r>
              <w:rPr>
                <w:rFonts w:hint="eastAsia" w:ascii="Times New Roman" w:hAnsi="Times New Roman" w:cs="Times New Roman"/>
                <w:bCs/>
                <w:color w:val="auto"/>
                <w:sz w:val="24"/>
                <w:szCs w:val="24"/>
                <w:highlight w:val="none"/>
                <w:lang w:val="en-US" w:eastAsia="zh-CN"/>
              </w:rPr>
              <w:t>0.124</w:t>
            </w:r>
            <w:r>
              <w:rPr>
                <w:rFonts w:hint="eastAsia" w:ascii="Times New Roman" w:hAnsi="Times New Roman" w:eastAsia="宋体" w:cs="Times New Roman"/>
                <w:bCs/>
                <w:color w:val="auto"/>
                <w:sz w:val="24"/>
                <w:szCs w:val="24"/>
                <w:highlight w:val="none"/>
                <w:lang w:val="en-US" w:eastAsia="zh-CN"/>
              </w:rPr>
              <w:t>kg/h，</w:t>
            </w:r>
            <w:r>
              <w:rPr>
                <w:rFonts w:hint="default" w:ascii="Times New Roman" w:hAnsi="Times New Roman" w:eastAsia="宋体" w:cs="Times New Roman"/>
                <w:bCs/>
                <w:color w:val="auto"/>
                <w:sz w:val="24"/>
                <w:szCs w:val="24"/>
                <w:highlight w:val="none"/>
                <w:lang w:val="en-US" w:eastAsia="zh-CN"/>
              </w:rPr>
              <w:t>排放浓度</w:t>
            </w:r>
            <w:r>
              <w:rPr>
                <w:rFonts w:hint="eastAsia" w:ascii="Times New Roman" w:hAnsi="Times New Roman" w:cs="Times New Roman"/>
                <w:bCs/>
                <w:color w:val="auto"/>
                <w:sz w:val="24"/>
                <w:szCs w:val="24"/>
                <w:highlight w:val="none"/>
                <w:lang w:val="en-US" w:eastAsia="zh-CN"/>
              </w:rPr>
              <w:t>62</w:t>
            </w:r>
            <w:r>
              <w:rPr>
                <w:rFonts w:hint="default" w:ascii="Times New Roman" w:hAnsi="Times New Roman" w:eastAsia="宋体" w:cs="Times New Roman"/>
                <w:bCs/>
                <w:color w:val="auto"/>
                <w:sz w:val="24"/>
                <w:szCs w:val="24"/>
                <w:highlight w:val="none"/>
                <w:lang w:val="en-US" w:eastAsia="zh-CN"/>
              </w:rPr>
              <w:t>mg/m</w:t>
            </w:r>
            <w:r>
              <w:rPr>
                <w:rFonts w:hint="default" w:ascii="Times New Roman" w:hAnsi="Times New Roman" w:eastAsia="宋体" w:cs="Times New Roman"/>
                <w:bCs/>
                <w:color w:val="auto"/>
                <w:sz w:val="24"/>
                <w:szCs w:val="24"/>
                <w:highlight w:val="none"/>
                <w:vertAlign w:val="superscript"/>
                <w:lang w:val="en-US" w:eastAsia="zh-CN"/>
              </w:rPr>
              <w:t>3</w:t>
            </w:r>
            <w:r>
              <w:rPr>
                <w:rFonts w:hint="eastAsia" w:ascii="Times New Roman" w:hAnsi="Times New Roman" w:eastAsia="宋体" w:cs="Times New Roman"/>
                <w:bCs/>
                <w:color w:val="auto"/>
                <w:sz w:val="24"/>
                <w:szCs w:val="24"/>
                <w:highlight w:val="none"/>
                <w:lang w:val="en-US" w:eastAsia="zh-CN"/>
              </w:rPr>
              <w:t>，满足</w:t>
            </w:r>
            <w:r>
              <w:rPr>
                <w:rFonts w:hint="eastAsia" w:ascii="Times New Roman" w:hAnsi="Times New Roman" w:eastAsia="宋体" w:cs="Times New Roman"/>
                <w:sz w:val="24"/>
                <w:szCs w:val="24"/>
                <w:highlight w:val="none"/>
                <w:lang w:val="en-US" w:eastAsia="zh-CN"/>
              </w:rPr>
              <w:t>《大气污染物综合排放标准》（GB16297-1996）表2中污染物排放限值（氯化氢100</w:t>
            </w:r>
            <w:r>
              <w:rPr>
                <w:rFonts w:hint="default" w:ascii="Times New Roman" w:hAnsi="Times New Roman" w:eastAsia="宋体" w:cs="Times New Roman"/>
                <w:sz w:val="24"/>
                <w:szCs w:val="24"/>
                <w:highlight w:val="none"/>
              </w:rPr>
              <w:t>mg/m</w:t>
            </w:r>
            <w:r>
              <w:rPr>
                <w:rFonts w:hint="default" w:ascii="Times New Roman" w:hAnsi="Times New Roman" w:eastAsia="宋体" w:cs="Times New Roman"/>
                <w:sz w:val="24"/>
                <w:szCs w:val="24"/>
                <w:highlight w:val="none"/>
                <w:vertAlign w:val="superscript"/>
              </w:rPr>
              <w:t>3</w:t>
            </w:r>
            <w:r>
              <w:rPr>
                <w:rFonts w:hint="eastAsia" w:ascii="Times New Roman" w:hAnsi="Times New Roman" w:eastAsia="宋体" w:cs="Times New Roman"/>
                <w:sz w:val="24"/>
                <w:szCs w:val="24"/>
                <w:highlight w:val="none"/>
                <w:vertAlign w:val="baseline"/>
                <w:lang w:val="en-US" w:eastAsia="zh-CN"/>
              </w:rPr>
              <w:t>、0.26kg/h、15m排气筒</w:t>
            </w:r>
            <w:r>
              <w:rPr>
                <w:rFonts w:hint="eastAsia" w:ascii="Times New Roman" w:hAnsi="Times New Roman" w:eastAsia="宋体" w:cs="Times New Roman"/>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颗粒物有组织排放量</w:t>
            </w:r>
            <w:r>
              <w:rPr>
                <w:rFonts w:hint="eastAsia" w:ascii="Times New Roman" w:hAnsi="Times New Roman" w:eastAsia="宋体" w:cs="Times New Roman"/>
                <w:bCs/>
                <w:color w:val="auto"/>
                <w:sz w:val="24"/>
                <w:szCs w:val="24"/>
                <w:highlight w:val="none"/>
                <w:lang w:val="en-US" w:eastAsia="zh-CN"/>
              </w:rPr>
              <w:t>0.039</w:t>
            </w:r>
            <w:r>
              <w:rPr>
                <w:rFonts w:hint="default" w:ascii="Times New Roman" w:hAnsi="Times New Roman" w:eastAsia="宋体" w:cs="Times New Roman"/>
                <w:bCs/>
                <w:color w:val="auto"/>
                <w:sz w:val="24"/>
                <w:szCs w:val="24"/>
                <w:highlight w:val="none"/>
                <w:lang w:val="en-US" w:eastAsia="zh-CN"/>
              </w:rPr>
              <w:t>t/a，</w:t>
            </w:r>
            <w:r>
              <w:rPr>
                <w:rFonts w:hint="eastAsia" w:ascii="Times New Roman" w:hAnsi="Times New Roman" w:eastAsia="宋体" w:cs="Times New Roman"/>
                <w:bCs/>
                <w:color w:val="auto"/>
                <w:sz w:val="24"/>
                <w:szCs w:val="24"/>
                <w:highlight w:val="none"/>
                <w:lang w:val="en-US" w:eastAsia="zh-CN"/>
              </w:rPr>
              <w:t>排放速率为0.016kg/h</w:t>
            </w:r>
            <w:r>
              <w:rPr>
                <w:rFonts w:hint="default" w:ascii="Times New Roman" w:hAnsi="Times New Roman" w:eastAsia="宋体" w:cs="Times New Roman"/>
                <w:bCs/>
                <w:color w:val="auto"/>
                <w:sz w:val="24"/>
                <w:szCs w:val="24"/>
                <w:highlight w:val="none"/>
                <w:lang w:val="en-US" w:eastAsia="zh-CN"/>
              </w:rPr>
              <w:t>，排放浓度</w:t>
            </w:r>
            <w:r>
              <w:rPr>
                <w:rFonts w:hint="eastAsia" w:ascii="Times New Roman" w:hAnsi="Times New Roman" w:cs="Times New Roman"/>
                <w:bCs/>
                <w:color w:val="auto"/>
                <w:sz w:val="24"/>
                <w:szCs w:val="24"/>
                <w:highlight w:val="none"/>
                <w:lang w:val="en-US" w:eastAsia="zh-CN"/>
              </w:rPr>
              <w:t>8.13</w:t>
            </w:r>
            <w:r>
              <w:rPr>
                <w:rFonts w:hint="default" w:ascii="Times New Roman" w:hAnsi="Times New Roman" w:eastAsia="宋体" w:cs="Times New Roman"/>
                <w:bCs/>
                <w:color w:val="auto"/>
                <w:sz w:val="24"/>
                <w:szCs w:val="24"/>
                <w:highlight w:val="none"/>
                <w:lang w:val="en-US" w:eastAsia="zh-CN"/>
              </w:rPr>
              <w:t>mg/m</w:t>
            </w:r>
            <w:r>
              <w:rPr>
                <w:rFonts w:hint="default" w:ascii="Times New Roman" w:hAnsi="Times New Roman" w:eastAsia="宋体" w:cs="Times New Roman"/>
                <w:bCs/>
                <w:color w:val="auto"/>
                <w:sz w:val="24"/>
                <w:szCs w:val="24"/>
                <w:highlight w:val="none"/>
                <w:vertAlign w:val="superscript"/>
                <w:lang w:val="en-US" w:eastAsia="zh-CN"/>
              </w:rPr>
              <w:t>3</w:t>
            </w:r>
            <w:r>
              <w:rPr>
                <w:rFonts w:hint="eastAsia" w:ascii="Times New Roman" w:hAnsi="Times New Roman" w:eastAsia="宋体" w:cs="Times New Roman"/>
                <w:bCs/>
                <w:color w:val="auto"/>
                <w:sz w:val="24"/>
                <w:szCs w:val="24"/>
                <w:highlight w:val="none"/>
                <w:vertAlign w:val="baseline"/>
                <w:lang w:val="en-US" w:eastAsia="zh-CN"/>
              </w:rPr>
              <w:t>，满足</w:t>
            </w:r>
            <w:r>
              <w:rPr>
                <w:rFonts w:hint="default" w:ascii="Times New Roman" w:hAnsi="Times New Roman" w:eastAsia="宋体" w:cs="Times New Roman"/>
                <w:color w:val="auto"/>
                <w:kern w:val="0"/>
                <w:sz w:val="24"/>
                <w:highlight w:val="none"/>
                <w:lang w:val="en-US" w:eastAsia="zh-CN" w:bidi="ar"/>
              </w:rPr>
              <w:t>《区域性大气污染物综合排放标准》（DB37/2376-2019）表1重点控制区标准限值（颗粒物：10mg/m</w:t>
            </w:r>
            <w:r>
              <w:rPr>
                <w:rFonts w:hint="default" w:ascii="Times New Roman" w:hAnsi="Times New Roman" w:eastAsia="宋体" w:cs="Times New Roman"/>
                <w:color w:val="auto"/>
                <w:kern w:val="0"/>
                <w:sz w:val="24"/>
                <w:highlight w:val="none"/>
                <w:vertAlign w:val="superscript"/>
                <w:lang w:val="en-US" w:eastAsia="zh-CN" w:bidi="ar"/>
              </w:rPr>
              <w:t>3</w:t>
            </w:r>
            <w:r>
              <w:rPr>
                <w:rFonts w:hint="default" w:ascii="Times New Roman" w:hAnsi="Times New Roman" w:eastAsia="宋体" w:cs="Times New Roman"/>
                <w:color w:val="auto"/>
                <w:kern w:val="0"/>
                <w:sz w:val="24"/>
                <w:highlight w:val="none"/>
                <w:lang w:val="en-US" w:eastAsia="zh-CN" w:bidi="ar"/>
              </w:rPr>
              <w:t>）</w:t>
            </w:r>
            <w:r>
              <w:rPr>
                <w:rFonts w:hint="default" w:ascii="Times New Roman" w:hAnsi="Times New Roman" w:eastAsia="宋体" w:cs="Times New Roman"/>
                <w:color w:val="auto"/>
                <w:sz w:val="24"/>
                <w:szCs w:val="24"/>
              </w:rPr>
              <w:t>。</w:t>
            </w:r>
          </w:p>
          <w:p w14:paraId="7994855E">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eastAsia="zh-CN"/>
              </w:rPr>
              <w:t>（</w:t>
            </w:r>
            <w:r>
              <w:rPr>
                <w:rFonts w:hint="eastAsia" w:ascii="Times New Roman" w:hAnsi="Times New Roman" w:cs="Times New Roman"/>
                <w:b/>
                <w:bCs w:val="0"/>
                <w:color w:val="auto"/>
                <w:sz w:val="24"/>
                <w:szCs w:val="24"/>
                <w:highlight w:val="none"/>
                <w:lang w:val="en-US" w:eastAsia="zh-CN"/>
              </w:rPr>
              <w:t>3</w:t>
            </w:r>
            <w:r>
              <w:rPr>
                <w:rFonts w:hint="default" w:ascii="Times New Roman" w:hAnsi="Times New Roman" w:cs="Times New Roman"/>
                <w:b/>
                <w:bCs w:val="0"/>
                <w:color w:val="auto"/>
                <w:sz w:val="24"/>
                <w:szCs w:val="24"/>
                <w:highlight w:val="none"/>
                <w:lang w:eastAsia="zh-CN"/>
              </w:rPr>
              <w:t>）</w:t>
            </w:r>
            <w:r>
              <w:rPr>
                <w:rFonts w:hint="default" w:ascii="Times New Roman" w:hAnsi="Times New Roman" w:cs="Times New Roman"/>
                <w:b/>
                <w:bCs w:val="0"/>
                <w:color w:val="auto"/>
                <w:sz w:val="24"/>
                <w:szCs w:val="24"/>
                <w:highlight w:val="none"/>
                <w:lang w:val="en-US" w:eastAsia="zh-CN"/>
              </w:rPr>
              <w:t>烘干过程产生的颗粒物、二氧化硫、氮氧化物</w:t>
            </w:r>
          </w:p>
          <w:p w14:paraId="047781CD">
            <w:pPr>
              <w:keepNext w:val="0"/>
              <w:keepLines w:val="0"/>
              <w:suppressLineNumbers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highlight w:val="none"/>
                <w:lang w:val="en-US" w:eastAsia="zh-CN"/>
              </w:rPr>
              <w:t>本项目烘干</w:t>
            </w:r>
            <w:r>
              <w:rPr>
                <w:rFonts w:hint="eastAsia" w:ascii="Times New Roman" w:hAnsi="Times New Roman" w:eastAsia="宋体" w:cs="Times New Roman"/>
                <w:sz w:val="24"/>
                <w:szCs w:val="24"/>
                <w:highlight w:val="none"/>
                <w:lang w:val="en-US" w:eastAsia="zh-CN"/>
              </w:rPr>
              <w:t>工序通过天然气燃烧直接加热物料，期间会</w:t>
            </w:r>
            <w:r>
              <w:rPr>
                <w:rFonts w:hint="default" w:ascii="Times New Roman" w:hAnsi="Times New Roman" w:eastAsia="宋体" w:cs="Times New Roman"/>
                <w:sz w:val="24"/>
                <w:szCs w:val="24"/>
                <w:highlight w:val="none"/>
                <w:lang w:val="en-US" w:eastAsia="zh-CN"/>
              </w:rPr>
              <w:t>产生</w:t>
            </w:r>
            <w:r>
              <w:rPr>
                <w:rFonts w:hint="eastAsia" w:ascii="Times New Roman" w:hAnsi="Times New Roman" w:eastAsia="宋体" w:cs="Times New Roman"/>
                <w:sz w:val="24"/>
                <w:szCs w:val="24"/>
                <w:highlight w:val="none"/>
                <w:lang w:val="en-US" w:eastAsia="zh-CN"/>
              </w:rPr>
              <w:t>一定量</w:t>
            </w:r>
            <w:r>
              <w:rPr>
                <w:rFonts w:hint="default" w:ascii="Times New Roman" w:hAnsi="Times New Roman" w:eastAsia="宋体" w:cs="Times New Roman"/>
                <w:sz w:val="24"/>
                <w:szCs w:val="24"/>
                <w:highlight w:val="none"/>
                <w:lang w:val="en-US" w:eastAsia="zh-CN"/>
              </w:rPr>
              <w:t>的颗粒物</w:t>
            </w:r>
            <w:r>
              <w:rPr>
                <w:rFonts w:hint="eastAsia" w:ascii="Times New Roman" w:hAnsi="Times New Roman" w:eastAsia="宋体" w:cs="Times New Roman"/>
                <w:sz w:val="24"/>
                <w:szCs w:val="24"/>
                <w:highlight w:val="none"/>
                <w:lang w:val="en-US" w:eastAsia="zh-CN"/>
              </w:rPr>
              <w:t>、氮氧化物、二氧化硫，</w:t>
            </w:r>
            <w:r>
              <w:rPr>
                <w:rFonts w:hint="default" w:ascii="Times New Roman" w:hAnsi="Times New Roman" w:eastAsia="宋体" w:cs="Times New Roman"/>
                <w:color w:val="auto"/>
                <w:sz w:val="24"/>
                <w:highlight w:val="none"/>
                <w:lang w:val="en-US" w:eastAsia="zh-CN"/>
              </w:rPr>
              <w:t xml:space="preserve">参考《排污许可证申请与核发技术规范 </w:t>
            </w:r>
            <w:r>
              <w:rPr>
                <w:rFonts w:hint="eastAsia" w:ascii="Times New Roman" w:hAnsi="Times New Roman" w:eastAsia="宋体" w:cs="Times New Roman"/>
                <w:color w:val="auto"/>
                <w:sz w:val="24"/>
                <w:highlight w:val="none"/>
                <w:lang w:val="en-US" w:eastAsia="zh-CN"/>
              </w:rPr>
              <w:t>工业炉窑</w:t>
            </w:r>
            <w:r>
              <w:rPr>
                <w:rFonts w:hint="default" w:ascii="Times New Roman" w:hAnsi="Times New Roman" w:eastAsia="宋体" w:cs="Times New Roman"/>
                <w:color w:val="auto"/>
                <w:sz w:val="24"/>
                <w:highlight w:val="none"/>
                <w:lang w:val="en-US" w:eastAsia="zh-CN"/>
              </w:rPr>
              <w:t>》（HJ11</w:t>
            </w:r>
            <w:r>
              <w:rPr>
                <w:rFonts w:hint="eastAsia"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lang w:val="en-US" w:eastAsia="zh-CN"/>
              </w:rPr>
              <w:t>-2020）</w:t>
            </w:r>
            <w:r>
              <w:rPr>
                <w:rFonts w:hint="eastAsia" w:ascii="Times New Roman" w:hAnsi="Times New Roman" w:eastAsia="宋体" w:cs="Times New Roman"/>
                <w:color w:val="auto"/>
                <w:sz w:val="24"/>
                <w:highlight w:val="none"/>
                <w:lang w:val="en-US" w:eastAsia="zh-CN"/>
              </w:rPr>
              <w:t>中“绩效值法”计算污染物产生量，天然气低位发热量按39.78MJ/m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计算</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产污系数取</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颗粒物</w:t>
            </w:r>
            <w:r>
              <w:rPr>
                <w:rFonts w:hint="eastAsia" w:ascii="Times New Roman" w:hAnsi="Times New Roman" w:eastAsia="宋体" w:cs="Times New Roman"/>
                <w:color w:val="auto"/>
                <w:sz w:val="24"/>
                <w:highlight w:val="none"/>
                <w:lang w:val="en-US" w:eastAsia="zh-CN"/>
              </w:rPr>
              <w:t>0.189g</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燃料、二氧化硫0.189g</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燃料、氮氧化物2.841g</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燃料</w:t>
            </w: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sz w:val="24"/>
                <w:szCs w:val="24"/>
              </w:rPr>
              <w:t>废气产生量参照《排放源统计调查产排污核算方法和系数手册》“4430工业锅炉”中-燃气工业锅炉中的天然气室燃炉提供的排污系数：废气量107753m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/万m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-原料</w:t>
            </w:r>
            <w:r>
              <w:rPr>
                <w:rFonts w:hint="eastAsia" w:ascii="Times New Roman" w:hAnsi="Times New Roman" w:cs="Times New Roman"/>
                <w:sz w:val="24"/>
                <w:szCs w:val="24"/>
                <w:lang w:val="en-US" w:eastAsia="zh-CN"/>
              </w:rPr>
              <w:t>。</w:t>
            </w:r>
          </w:p>
          <w:p w14:paraId="5E0DAE44">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cs="Times New Roman"/>
                <w:sz w:val="24"/>
                <w:lang w:val="en-US" w:eastAsia="zh-CN"/>
              </w:rPr>
              <w:t>天然气</w:t>
            </w:r>
            <w:r>
              <w:rPr>
                <w:rFonts w:hint="eastAsia" w:ascii="Times New Roman" w:hAnsi="Times New Roman" w:cs="Times New Roman"/>
                <w:sz w:val="24"/>
                <w:szCs w:val="24"/>
                <w:lang w:val="en-US" w:eastAsia="zh-CN"/>
              </w:rPr>
              <w:t>用量为72</w:t>
            </w:r>
            <w:r>
              <w:rPr>
                <w:rFonts w:hint="eastAsia" w:ascii="Times New Roman" w:hAnsi="Times New Roman" w:eastAsia="宋体" w:cs="Times New Roman"/>
                <w:color w:val="auto"/>
                <w:sz w:val="24"/>
                <w:szCs w:val="24"/>
                <w:highlight w:val="none"/>
                <w:lang w:val="en-US" w:eastAsia="zh-CN"/>
              </w:rPr>
              <w:t>万</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cs="Times New Roman"/>
                <w:sz w:val="24"/>
                <w:szCs w:val="24"/>
                <w:lang w:val="en-US" w:eastAsia="zh-CN"/>
              </w:rPr>
              <w:t>，则</w:t>
            </w:r>
            <w:r>
              <w:rPr>
                <w:rFonts w:hint="default" w:ascii="Times New Roman" w:hAnsi="Times New Roman" w:cs="Times New Roman"/>
                <w:sz w:val="24"/>
                <w:szCs w:val="24"/>
              </w:rPr>
              <w:t>污染物</w:t>
            </w:r>
            <w:r>
              <w:rPr>
                <w:rFonts w:hint="eastAsia" w:ascii="Times New Roman" w:hAnsi="Times New Roman" w:cs="Times New Roman"/>
                <w:sz w:val="24"/>
                <w:szCs w:val="24"/>
                <w:lang w:val="en-US" w:eastAsia="zh-CN"/>
              </w:rPr>
              <w:t>产生量</w:t>
            </w:r>
            <w:r>
              <w:rPr>
                <w:rFonts w:hint="default" w:ascii="Times New Roman" w:hAnsi="Times New Roman" w:cs="Times New Roman"/>
                <w:sz w:val="24"/>
                <w:szCs w:val="24"/>
              </w:rPr>
              <w:t>为颗粒物</w:t>
            </w:r>
            <w:r>
              <w:rPr>
                <w:rFonts w:hint="eastAsia" w:ascii="Times New Roman" w:hAnsi="Times New Roman" w:cs="Times New Roman"/>
                <w:sz w:val="24"/>
                <w:szCs w:val="24"/>
                <w:lang w:val="en-US" w:eastAsia="zh-CN"/>
              </w:rPr>
              <w:t>0.136</w:t>
            </w:r>
            <w:r>
              <w:rPr>
                <w:rFonts w:hint="default" w:ascii="Times New Roman" w:hAnsi="Times New Roman" w:cs="Times New Roman"/>
                <w:sz w:val="24"/>
                <w:szCs w:val="24"/>
              </w:rPr>
              <w:t>t/a</w:t>
            </w:r>
            <w:r>
              <w:rPr>
                <w:rFonts w:hint="default" w:ascii="Times New Roman" w:hAnsi="Times New Roman" w:cs="Times New Roman"/>
                <w:sz w:val="24"/>
              </w:rPr>
              <w:t>、二氧化硫</w:t>
            </w:r>
            <w:r>
              <w:rPr>
                <w:rFonts w:hint="eastAsia" w:ascii="Times New Roman" w:hAnsi="Times New Roman" w:cs="Times New Roman"/>
                <w:sz w:val="24"/>
                <w:lang w:val="en-US" w:eastAsia="zh-CN"/>
              </w:rPr>
              <w:t>0.136</w:t>
            </w:r>
            <w:r>
              <w:rPr>
                <w:rFonts w:hint="eastAsia" w:ascii="Times New Roman" w:hAnsi="Times New Roman" w:cs="Times New Roman"/>
                <w:sz w:val="24"/>
              </w:rPr>
              <w:t>t</w:t>
            </w:r>
            <w:r>
              <w:rPr>
                <w:rFonts w:hint="default" w:ascii="Times New Roman" w:hAnsi="Times New Roman" w:cs="Times New Roman"/>
                <w:sz w:val="24"/>
              </w:rPr>
              <w:t>/a、氮氧化物</w:t>
            </w:r>
            <w:r>
              <w:rPr>
                <w:rFonts w:hint="eastAsia" w:ascii="Times New Roman" w:hAnsi="Times New Roman" w:cs="Times New Roman"/>
                <w:sz w:val="24"/>
                <w:lang w:val="en-US" w:eastAsia="zh-CN"/>
              </w:rPr>
              <w:t>2.05</w:t>
            </w:r>
            <w:r>
              <w:rPr>
                <w:rFonts w:hint="default" w:ascii="Times New Roman" w:hAnsi="Times New Roman" w:cs="Times New Roman"/>
                <w:sz w:val="24"/>
              </w:rPr>
              <w:t>t/a</w:t>
            </w:r>
            <w:r>
              <w:rPr>
                <w:rFonts w:hint="eastAsia" w:ascii="Times New Roman" w:hAnsi="Times New Roman" w:cs="Times New Roman"/>
                <w:sz w:val="24"/>
                <w:lang w:val="en-US" w:eastAsia="zh-CN"/>
              </w:rPr>
              <w:t>,、天然气燃烧废气量为7758216</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ascii="Times New Roman" w:hAnsi="Times New Roman" w:cs="Times New Roman"/>
                <w:sz w:val="24"/>
              </w:rPr>
              <w:t>/</w:t>
            </w:r>
            <w:r>
              <w:rPr>
                <w:rFonts w:hint="eastAsia" w:ascii="Times New Roman" w:hAnsi="Times New Roman" w:cs="Times New Roman"/>
                <w:sz w:val="24"/>
                <w:lang w:val="en-US" w:eastAsia="zh-CN"/>
              </w:rPr>
              <w:t>a，年运行2400h，则风量为3232.59</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ascii="Times New Roman" w:hAnsi="Times New Roman" w:cs="Times New Roman"/>
                <w:sz w:val="24"/>
              </w:rPr>
              <w:t>/</w:t>
            </w:r>
            <w:r>
              <w:rPr>
                <w:rFonts w:hint="eastAsia" w:ascii="Times New Roman" w:hAnsi="Times New Roman" w:cs="Times New Roman"/>
                <w:sz w:val="24"/>
                <w:lang w:val="en-US" w:eastAsia="zh-CN"/>
              </w:rPr>
              <w:t>h</w:t>
            </w:r>
            <w:r>
              <w:rPr>
                <w:rFonts w:hint="eastAsia" w:ascii="Times New Roman" w:hAnsi="Times New Roman" w:cs="Times New Roman"/>
                <w:sz w:val="24"/>
              </w:rPr>
              <w:t>。</w:t>
            </w:r>
          </w:p>
          <w:p w14:paraId="779E1266">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排放量及排放浓度：</w:t>
            </w:r>
          </w:p>
          <w:p w14:paraId="1658151F">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烘干</w:t>
            </w:r>
            <w:r>
              <w:rPr>
                <w:rFonts w:hint="eastAsia" w:ascii="Times New Roman" w:hAnsi="Times New Roman" w:eastAsia="宋体" w:cs="Times New Roman"/>
                <w:bCs/>
                <w:color w:val="auto"/>
                <w:sz w:val="24"/>
                <w:szCs w:val="24"/>
                <w:highlight w:val="none"/>
                <w:lang w:val="en-US" w:eastAsia="zh-CN"/>
              </w:rPr>
              <w:t>工序</w:t>
            </w:r>
            <w:r>
              <w:rPr>
                <w:rFonts w:hint="default" w:ascii="Times New Roman" w:hAnsi="Times New Roman" w:eastAsia="宋体" w:cs="Times New Roman"/>
                <w:bCs/>
                <w:color w:val="auto"/>
                <w:sz w:val="24"/>
                <w:szCs w:val="24"/>
                <w:highlight w:val="none"/>
                <w:lang w:val="en-US" w:eastAsia="zh-CN"/>
              </w:rPr>
              <w:t>产生的废气经密闭管道收集（</w:t>
            </w:r>
            <w:r>
              <w:rPr>
                <w:rFonts w:hint="default" w:ascii="Times New Roman" w:hAnsi="Times New Roman" w:eastAsia="宋体" w:cs="Times New Roman"/>
                <w:color w:val="auto"/>
                <w:sz w:val="24"/>
                <w:szCs w:val="24"/>
              </w:rPr>
              <w:t>收集效率</w:t>
            </w:r>
            <w:r>
              <w:rPr>
                <w:rFonts w:hint="default" w:ascii="Times New Roman" w:hAnsi="Times New Roman" w:eastAsia="宋体" w:cs="Times New Roman"/>
                <w:color w:val="auto"/>
                <w:sz w:val="24"/>
                <w:szCs w:val="24"/>
                <w:lang w:val="en-US" w:eastAsia="zh-CN"/>
              </w:rPr>
              <w:t>100</w:t>
            </w:r>
            <w:r>
              <w:rPr>
                <w:rFonts w:hint="default" w:ascii="Times New Roman" w:hAnsi="Times New Roman" w:eastAsia="宋体" w:cs="Times New Roman"/>
                <w:color w:val="auto"/>
                <w:sz w:val="24"/>
                <w:szCs w:val="24"/>
              </w:rPr>
              <w:t>%</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lang w:val="en-US" w:eastAsia="zh-CN"/>
              </w:rPr>
              <w:t>布袋除尘器</w:t>
            </w:r>
            <w:r>
              <w:rPr>
                <w:rFonts w:hint="eastAsia" w:ascii="Times New Roman" w:hAnsi="Times New Roman" w:eastAsia="宋体" w:cs="Times New Roman"/>
                <w:bCs/>
                <w:color w:val="auto"/>
                <w:sz w:val="24"/>
                <w:szCs w:val="24"/>
                <w:highlight w:val="none"/>
                <w:lang w:val="en-US" w:eastAsia="zh-CN"/>
              </w:rPr>
              <w:t>对</w:t>
            </w:r>
            <w:r>
              <w:rPr>
                <w:rFonts w:hint="default" w:ascii="Times New Roman" w:hAnsi="Times New Roman" w:cs="Times New Roman"/>
                <w:bCs/>
                <w:color w:val="auto"/>
                <w:sz w:val="24"/>
                <w:szCs w:val="24"/>
                <w:highlight w:val="none"/>
                <w:lang w:val="en-US" w:eastAsia="zh-CN"/>
              </w:rPr>
              <w:t>颗粒物的处理效率98%</w:t>
            </w:r>
            <w:r>
              <w:rPr>
                <w:rFonts w:hint="eastAsia" w:ascii="Times New Roman" w:hAnsi="Times New Roman" w:cs="Times New Roman"/>
                <w:bCs/>
                <w:color w:val="auto"/>
                <w:sz w:val="24"/>
                <w:szCs w:val="24"/>
                <w:highlight w:val="none"/>
                <w:lang w:val="en-US" w:eastAsia="zh-CN"/>
              </w:rPr>
              <w:t>，“低氮燃烧器+SNCR脱硝装置”</w:t>
            </w:r>
            <w:r>
              <w:rPr>
                <w:rFonts w:hint="eastAsia" w:ascii="Times New Roman" w:hAnsi="Times New Roman" w:eastAsia="宋体" w:cs="Times New Roman"/>
                <w:bCs/>
                <w:color w:val="auto"/>
                <w:sz w:val="24"/>
                <w:szCs w:val="24"/>
                <w:highlight w:val="none"/>
                <w:lang w:val="en-US" w:eastAsia="zh-CN"/>
              </w:rPr>
              <w:t>对</w:t>
            </w:r>
            <w:r>
              <w:rPr>
                <w:rFonts w:hint="eastAsia" w:ascii="Times New Roman" w:hAnsi="Times New Roman" w:cs="Times New Roman"/>
                <w:bCs/>
                <w:color w:val="auto"/>
                <w:sz w:val="24"/>
                <w:szCs w:val="24"/>
                <w:highlight w:val="none"/>
                <w:lang w:val="en-US" w:eastAsia="zh-CN"/>
              </w:rPr>
              <w:t>氮氧化物</w:t>
            </w:r>
            <w:r>
              <w:rPr>
                <w:rFonts w:hint="default" w:ascii="Times New Roman" w:hAnsi="Times New Roman" w:cs="Times New Roman"/>
                <w:bCs/>
                <w:color w:val="auto"/>
                <w:sz w:val="24"/>
                <w:szCs w:val="24"/>
                <w:highlight w:val="none"/>
                <w:lang w:val="en-US" w:eastAsia="zh-CN"/>
              </w:rPr>
              <w:t>的</w:t>
            </w:r>
            <w:r>
              <w:rPr>
                <w:rFonts w:hint="eastAsia" w:ascii="Times New Roman" w:hAnsi="Times New Roman" w:cs="Times New Roman"/>
                <w:bCs/>
                <w:color w:val="auto"/>
                <w:sz w:val="24"/>
                <w:szCs w:val="24"/>
                <w:highlight w:val="none"/>
                <w:lang w:val="en-US" w:eastAsia="zh-CN"/>
              </w:rPr>
              <w:t>处理</w:t>
            </w:r>
            <w:r>
              <w:rPr>
                <w:rFonts w:hint="default" w:ascii="Times New Roman" w:hAnsi="Times New Roman" w:cs="Times New Roman"/>
                <w:bCs/>
                <w:color w:val="auto"/>
                <w:sz w:val="24"/>
                <w:szCs w:val="24"/>
                <w:highlight w:val="none"/>
                <w:lang w:val="en-US" w:eastAsia="zh-CN"/>
              </w:rPr>
              <w:t>效率</w:t>
            </w:r>
            <w:r>
              <w:rPr>
                <w:rFonts w:hint="eastAsia" w:ascii="Times New Roman" w:hAnsi="Times New Roman" w:cs="Times New Roman"/>
                <w:bCs/>
                <w:color w:val="auto"/>
                <w:sz w:val="24"/>
                <w:szCs w:val="24"/>
                <w:highlight w:val="none"/>
                <w:lang w:val="en-US" w:eastAsia="zh-CN"/>
              </w:rPr>
              <w:t>75</w:t>
            </w:r>
            <w:r>
              <w:rPr>
                <w:rFonts w:hint="default" w:ascii="Times New Roman" w:hAnsi="Times New Roman"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，经15m排气筒排放（DA002）</w:t>
            </w:r>
            <w:r>
              <w:rPr>
                <w:rFonts w:hint="default" w:ascii="Times New Roman" w:hAnsi="Times New Roman" w:cs="Times New Roman"/>
                <w:bCs/>
                <w:color w:val="auto"/>
                <w:sz w:val="24"/>
                <w:szCs w:val="24"/>
                <w:highlight w:val="none"/>
                <w:lang w:val="en-US" w:eastAsia="zh-CN"/>
              </w:rPr>
              <w:t>。</w:t>
            </w:r>
          </w:p>
          <w:p w14:paraId="5E8E1B7B">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bCs/>
                <w:color w:val="auto"/>
                <w:sz w:val="24"/>
                <w:szCs w:val="24"/>
                <w:highlight w:val="none"/>
                <w:lang w:val="en-US" w:eastAsia="zh-CN"/>
              </w:rPr>
              <w:t>颗粒物</w:t>
            </w:r>
            <w:r>
              <w:rPr>
                <w:rFonts w:hint="eastAsia" w:ascii="Times New Roman" w:hAnsi="Times New Roman" w:eastAsia="宋体" w:cs="Times New Roman"/>
                <w:bCs/>
                <w:color w:val="auto"/>
                <w:sz w:val="24"/>
                <w:szCs w:val="24"/>
                <w:highlight w:val="none"/>
                <w:lang w:val="en-US" w:eastAsia="zh-CN"/>
              </w:rPr>
              <w:t>有组织排放量为0.003t/a，</w:t>
            </w:r>
            <w:r>
              <w:rPr>
                <w:rFonts w:hint="default" w:ascii="Times New Roman" w:hAnsi="Times New Roman" w:eastAsia="宋体" w:cs="Times New Roman"/>
                <w:bCs/>
                <w:color w:val="auto"/>
                <w:sz w:val="24"/>
                <w:szCs w:val="24"/>
                <w:highlight w:val="none"/>
                <w:lang w:val="en-US" w:eastAsia="zh-CN"/>
              </w:rPr>
              <w:t>有组织排放速率为</w:t>
            </w:r>
            <w:r>
              <w:rPr>
                <w:rFonts w:hint="eastAsia" w:ascii="Times New Roman" w:hAnsi="Times New Roman" w:eastAsia="宋体" w:cs="Times New Roman"/>
                <w:bCs/>
                <w:color w:val="auto"/>
                <w:sz w:val="24"/>
                <w:szCs w:val="24"/>
                <w:highlight w:val="none"/>
                <w:lang w:val="en-US" w:eastAsia="zh-CN"/>
              </w:rPr>
              <w:t>0.0013</w:t>
            </w:r>
            <w:r>
              <w:rPr>
                <w:rFonts w:hint="default" w:ascii="Times New Roman" w:hAnsi="Times New Roman" w:eastAsia="宋体" w:cs="Times New Roman"/>
                <w:bCs/>
                <w:color w:val="auto"/>
                <w:sz w:val="24"/>
                <w:szCs w:val="24"/>
                <w:highlight w:val="none"/>
                <w:lang w:val="en-US" w:eastAsia="zh-CN"/>
              </w:rPr>
              <w:t>kg/h，排放浓度</w:t>
            </w:r>
            <w:r>
              <w:rPr>
                <w:rFonts w:hint="eastAsia" w:ascii="Times New Roman" w:hAnsi="Times New Roman" w:eastAsia="宋体" w:cs="Times New Roman"/>
                <w:bCs/>
                <w:color w:val="auto"/>
                <w:sz w:val="24"/>
                <w:szCs w:val="24"/>
                <w:highlight w:val="none"/>
                <w:lang w:val="en-US" w:eastAsia="zh-CN"/>
              </w:rPr>
              <w:t>0.39</w:t>
            </w:r>
            <w:r>
              <w:rPr>
                <w:rFonts w:hint="default" w:ascii="Times New Roman" w:hAnsi="Times New Roman" w:eastAsia="宋体" w:cs="Times New Roman"/>
                <w:bCs/>
                <w:color w:val="auto"/>
                <w:sz w:val="24"/>
                <w:szCs w:val="24"/>
                <w:highlight w:val="none"/>
                <w:lang w:val="en-US" w:eastAsia="zh-CN"/>
              </w:rPr>
              <w:t>mg/m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cs="Times New Roman"/>
                <w:sz w:val="24"/>
                <w:lang w:val="en-US" w:eastAsia="zh-CN"/>
              </w:rPr>
              <w:t>，二氧化硫</w:t>
            </w:r>
            <w:r>
              <w:rPr>
                <w:rFonts w:hint="default" w:ascii="Times New Roman" w:hAnsi="Times New Roman" w:eastAsia="宋体" w:cs="Times New Roman"/>
                <w:bCs/>
                <w:color w:val="auto"/>
                <w:sz w:val="24"/>
                <w:szCs w:val="24"/>
                <w:highlight w:val="none"/>
                <w:lang w:val="en-US" w:eastAsia="zh-CN"/>
              </w:rPr>
              <w:t>有组织排放量为0.136t/a，有组织排放速率为0.056kg/h，排放浓度17.53mg/m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cs="Times New Roman"/>
                <w:sz w:val="24"/>
                <w:lang w:val="en-US" w:eastAsia="zh-CN"/>
              </w:rPr>
              <w:t>，氮氧化物</w:t>
            </w:r>
            <w:r>
              <w:rPr>
                <w:rFonts w:hint="default" w:ascii="Times New Roman" w:hAnsi="Times New Roman" w:eastAsia="宋体" w:cs="Times New Roman"/>
                <w:bCs/>
                <w:color w:val="auto"/>
                <w:sz w:val="24"/>
                <w:szCs w:val="24"/>
                <w:highlight w:val="none"/>
                <w:lang w:val="en-US" w:eastAsia="zh-CN"/>
              </w:rPr>
              <w:t>有组织排放量为0.513t/a，有组织排放速率为0.214kg/h，排放浓度66.12mg/m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均满足</w:t>
            </w:r>
            <w:r>
              <w:rPr>
                <w:rFonts w:hint="default" w:ascii="Times New Roman" w:hAnsi="Times New Roman" w:eastAsia="宋体" w:cs="Times New Roman"/>
                <w:color w:val="auto"/>
                <w:kern w:val="0"/>
                <w:sz w:val="24"/>
                <w:highlight w:val="none"/>
                <w:lang w:val="en-US" w:eastAsia="zh-CN" w:bidi="ar"/>
              </w:rPr>
              <w:t>《区域性大气污染物综合排放标准》（DB37/2376-2019）表1重点控制区标准限值（颗粒物：10mg/m</w:t>
            </w:r>
            <w:r>
              <w:rPr>
                <w:rFonts w:hint="default" w:ascii="Times New Roman" w:hAnsi="Times New Roman" w:eastAsia="宋体" w:cs="Times New Roman"/>
                <w:color w:val="auto"/>
                <w:kern w:val="0"/>
                <w:sz w:val="24"/>
                <w:highlight w:val="none"/>
                <w:vertAlign w:val="superscript"/>
                <w:lang w:val="en-US" w:eastAsia="zh-CN" w:bidi="ar"/>
              </w:rPr>
              <w:t>3</w:t>
            </w:r>
            <w:r>
              <w:rPr>
                <w:rFonts w:hint="default" w:ascii="Times New Roman" w:hAnsi="Times New Roman" w:eastAsia="宋体" w:cs="Times New Roman"/>
                <w:color w:val="auto"/>
                <w:kern w:val="0"/>
                <w:sz w:val="24"/>
                <w:highlight w:val="none"/>
                <w:vertAlign w:val="baseline"/>
                <w:lang w:val="en-US" w:eastAsia="zh-CN" w:bidi="ar"/>
              </w:rPr>
              <w:t>、</w:t>
            </w:r>
            <w:r>
              <w:rPr>
                <w:rFonts w:hint="default" w:ascii="Times New Roman" w:hAnsi="Times New Roman" w:eastAsia="宋体" w:cs="Times New Roman"/>
                <w:color w:val="auto"/>
                <w:kern w:val="0"/>
                <w:sz w:val="24"/>
                <w:highlight w:val="none"/>
                <w:lang w:val="en-US" w:eastAsia="zh-CN" w:bidi="ar"/>
              </w:rPr>
              <w:t>二氧化硫：50mg/m</w:t>
            </w:r>
            <w:r>
              <w:rPr>
                <w:rFonts w:hint="default" w:ascii="Times New Roman" w:hAnsi="Times New Roman" w:eastAsia="宋体" w:cs="Times New Roman"/>
                <w:color w:val="auto"/>
                <w:kern w:val="0"/>
                <w:sz w:val="24"/>
                <w:highlight w:val="none"/>
                <w:vertAlign w:val="superscript"/>
                <w:lang w:val="en-US" w:eastAsia="zh-CN" w:bidi="ar"/>
              </w:rPr>
              <w:t>3</w:t>
            </w:r>
            <w:r>
              <w:rPr>
                <w:rFonts w:hint="default" w:ascii="Times New Roman" w:hAnsi="Times New Roman" w:eastAsia="宋体" w:cs="Times New Roman"/>
                <w:color w:val="auto"/>
                <w:kern w:val="0"/>
                <w:sz w:val="24"/>
                <w:highlight w:val="none"/>
                <w:lang w:val="en-US" w:eastAsia="zh-CN" w:bidi="ar"/>
              </w:rPr>
              <w:t>、氮氧化物：100mg/m</w:t>
            </w:r>
            <w:r>
              <w:rPr>
                <w:rFonts w:hint="default" w:ascii="Times New Roman" w:hAnsi="Times New Roman" w:eastAsia="宋体" w:cs="Times New Roman"/>
                <w:color w:val="auto"/>
                <w:kern w:val="0"/>
                <w:sz w:val="24"/>
                <w:highlight w:val="none"/>
                <w:vertAlign w:val="superscript"/>
                <w:lang w:val="en-US" w:eastAsia="zh-CN" w:bidi="ar"/>
              </w:rPr>
              <w:t>3</w:t>
            </w:r>
            <w:r>
              <w:rPr>
                <w:rFonts w:hint="default" w:ascii="Times New Roman" w:hAnsi="Times New Roman" w:eastAsia="宋体" w:cs="Times New Roman"/>
                <w:color w:val="auto"/>
                <w:kern w:val="0"/>
                <w:sz w:val="24"/>
                <w:highlight w:val="none"/>
                <w:lang w:val="en-US" w:eastAsia="zh-CN" w:bidi="ar"/>
              </w:rPr>
              <w:t>）。</w:t>
            </w:r>
          </w:p>
          <w:p w14:paraId="572D3115">
            <w:pPr>
              <w:pStyle w:val="91"/>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Cs/>
                <w:sz w:val="24"/>
                <w:lang w:val="en-US" w:eastAsia="zh-CN"/>
              </w:rPr>
              <w:t>逃逸氨浓度执行《工业锅炉污染防治可行技术指南》（HJ 1178-2021）中SNCR脱硝技术控制要求（氨逃逸质量浓度低于8mg/m</w:t>
            </w:r>
            <w:r>
              <w:rPr>
                <w:rFonts w:hint="default" w:ascii="Times New Roman" w:hAnsi="Times New Roman" w:cs="Times New Roman"/>
                <w:bCs/>
                <w:sz w:val="24"/>
                <w:vertAlign w:val="superscript"/>
                <w:lang w:val="en-US" w:eastAsia="zh-CN"/>
              </w:rPr>
              <w:t>3</w:t>
            </w:r>
            <w:r>
              <w:rPr>
                <w:rFonts w:hint="default" w:ascii="Times New Roman" w:hAnsi="Times New Roman" w:cs="Times New Roman"/>
                <w:bCs/>
                <w:sz w:val="24"/>
                <w:lang w:val="en-US" w:eastAsia="zh-CN"/>
              </w:rPr>
              <w:t>）</w:t>
            </w:r>
          </w:p>
          <w:p w14:paraId="6A9D4A68">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eastAsia="zh-CN"/>
              </w:rPr>
              <w:t>（</w:t>
            </w:r>
            <w:r>
              <w:rPr>
                <w:rFonts w:hint="eastAsia" w:ascii="Times New Roman" w:hAnsi="Times New Roman" w:cs="Times New Roman"/>
                <w:b/>
                <w:bCs w:val="0"/>
                <w:color w:val="auto"/>
                <w:sz w:val="24"/>
                <w:szCs w:val="24"/>
                <w:highlight w:val="none"/>
                <w:lang w:val="en-US" w:eastAsia="zh-CN"/>
              </w:rPr>
              <w:t>4</w:t>
            </w:r>
            <w:r>
              <w:rPr>
                <w:rFonts w:hint="default" w:ascii="Times New Roman" w:hAnsi="Times New Roman" w:cs="Times New Roman"/>
                <w:b/>
                <w:bCs w:val="0"/>
                <w:color w:val="auto"/>
                <w:sz w:val="24"/>
                <w:szCs w:val="24"/>
                <w:highlight w:val="none"/>
                <w:lang w:eastAsia="zh-CN"/>
              </w:rPr>
              <w:t>）</w:t>
            </w:r>
            <w:r>
              <w:rPr>
                <w:rFonts w:hint="eastAsia" w:ascii="Times New Roman" w:hAnsi="Times New Roman" w:cs="Times New Roman"/>
                <w:b/>
                <w:bCs w:val="0"/>
                <w:color w:val="auto"/>
                <w:sz w:val="24"/>
                <w:szCs w:val="24"/>
                <w:highlight w:val="none"/>
                <w:lang w:val="en-US" w:eastAsia="zh-CN"/>
              </w:rPr>
              <w:t>SNCR脱硝过程逃逸的氨</w:t>
            </w:r>
          </w:p>
          <w:p w14:paraId="42EB65F4">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eastAsia" w:ascii="Times New Roman" w:hAnsi="Times New Roman" w:cs="Times New Roman"/>
                <w:sz w:val="24"/>
              </w:rPr>
            </w:pPr>
            <w:r>
              <w:rPr>
                <w:rFonts w:hint="eastAsia" w:ascii="Times New Roman" w:hAnsi="Times New Roman" w:cs="Times New Roman"/>
                <w:color w:val="000000"/>
                <w:spacing w:val="0"/>
                <w:position w:val="0"/>
                <w:sz w:val="24"/>
                <w:szCs w:val="24"/>
                <w:highlight w:val="none"/>
                <w:lang w:val="en-US" w:eastAsia="zh-CN"/>
              </w:rPr>
              <w:t>SNCR</w:t>
            </w:r>
            <w:r>
              <w:rPr>
                <w:rFonts w:hint="default" w:ascii="Times New Roman" w:hAnsi="Times New Roman" w:eastAsia="宋体" w:cs="Times New Roman"/>
                <w:color w:val="000000"/>
                <w:spacing w:val="0"/>
                <w:position w:val="0"/>
                <w:sz w:val="24"/>
                <w:szCs w:val="24"/>
                <w:highlight w:val="none"/>
                <w:lang w:val="en-US" w:eastAsia="zh-CN"/>
              </w:rPr>
              <w:t>脱硝设施未被利用逃逸出的氨排放量按照《工业锅炉污染防治可行技术指南》（HJ 1178-2021）中</w:t>
            </w:r>
            <w:r>
              <w:rPr>
                <w:rFonts w:hint="eastAsia" w:ascii="Times New Roman" w:hAnsi="Times New Roman" w:cs="Times New Roman"/>
                <w:color w:val="000000"/>
                <w:spacing w:val="0"/>
                <w:position w:val="0"/>
                <w:sz w:val="24"/>
                <w:szCs w:val="24"/>
                <w:highlight w:val="none"/>
                <w:lang w:val="en-US" w:eastAsia="zh-CN"/>
              </w:rPr>
              <w:t>SNCR</w:t>
            </w:r>
            <w:r>
              <w:rPr>
                <w:rFonts w:hint="default" w:ascii="Times New Roman" w:hAnsi="Times New Roman" w:eastAsia="宋体" w:cs="Times New Roman"/>
                <w:color w:val="000000"/>
                <w:spacing w:val="0"/>
                <w:position w:val="0"/>
                <w:sz w:val="24"/>
                <w:szCs w:val="24"/>
                <w:highlight w:val="none"/>
                <w:lang w:val="en-US" w:eastAsia="zh-CN"/>
              </w:rPr>
              <w:t>脱硝技术控制要求，氨逃逸浓度宜小于</w:t>
            </w:r>
            <w:r>
              <w:rPr>
                <w:rFonts w:hint="eastAsia" w:ascii="Times New Roman" w:hAnsi="Times New Roman" w:eastAsia="宋体" w:cs="Times New Roman"/>
                <w:color w:val="000000"/>
                <w:spacing w:val="0"/>
                <w:position w:val="0"/>
                <w:sz w:val="24"/>
                <w:szCs w:val="24"/>
                <w:highlight w:val="none"/>
                <w:lang w:val="en-US" w:eastAsia="zh-CN"/>
              </w:rPr>
              <w:t>8</w:t>
            </w:r>
            <w:r>
              <w:rPr>
                <w:rFonts w:hint="default" w:ascii="Times New Roman" w:hAnsi="Times New Roman" w:eastAsia="宋体" w:cs="Times New Roman"/>
                <w:color w:val="000000"/>
                <w:spacing w:val="0"/>
                <w:position w:val="0"/>
                <w:sz w:val="24"/>
                <w:szCs w:val="24"/>
                <w:highlight w:val="none"/>
                <w:lang w:val="en-US" w:eastAsia="zh-CN"/>
              </w:rPr>
              <w:t>mg/m</w:t>
            </w:r>
            <w:r>
              <w:rPr>
                <w:rFonts w:hint="default" w:ascii="Times New Roman" w:hAnsi="Times New Roman" w:eastAsia="宋体" w:cs="Times New Roman"/>
                <w:color w:val="000000"/>
                <w:spacing w:val="0"/>
                <w:position w:val="0"/>
                <w:sz w:val="24"/>
                <w:szCs w:val="24"/>
                <w:highlight w:val="none"/>
                <w:vertAlign w:val="superscript"/>
                <w:lang w:val="en-US" w:eastAsia="zh-CN"/>
              </w:rPr>
              <w:t>3</w:t>
            </w:r>
            <w:r>
              <w:rPr>
                <w:rFonts w:hint="default" w:ascii="Times New Roman" w:hAnsi="Times New Roman" w:eastAsia="宋体" w:cs="Times New Roman"/>
                <w:color w:val="000000"/>
                <w:spacing w:val="0"/>
                <w:position w:val="0"/>
                <w:sz w:val="24"/>
                <w:szCs w:val="24"/>
                <w:highlight w:val="none"/>
                <w:lang w:val="en-US" w:eastAsia="zh-CN"/>
              </w:rPr>
              <w:t>，本次环评按照</w:t>
            </w:r>
            <w:r>
              <w:rPr>
                <w:rFonts w:hint="eastAsia" w:ascii="Times New Roman" w:hAnsi="Times New Roman" w:eastAsia="宋体" w:cs="Times New Roman"/>
                <w:color w:val="000000"/>
                <w:spacing w:val="0"/>
                <w:position w:val="0"/>
                <w:sz w:val="24"/>
                <w:szCs w:val="24"/>
                <w:highlight w:val="none"/>
                <w:lang w:val="en-US" w:eastAsia="zh-CN"/>
              </w:rPr>
              <w:t>8</w:t>
            </w:r>
            <w:r>
              <w:rPr>
                <w:rFonts w:hint="default" w:ascii="Times New Roman" w:hAnsi="Times New Roman" w:eastAsia="宋体" w:cs="Times New Roman"/>
                <w:color w:val="000000"/>
                <w:spacing w:val="0"/>
                <w:position w:val="0"/>
                <w:sz w:val="24"/>
                <w:szCs w:val="24"/>
                <w:highlight w:val="none"/>
                <w:lang w:val="en-US" w:eastAsia="zh-CN"/>
              </w:rPr>
              <w:t>mg/m</w:t>
            </w:r>
            <w:r>
              <w:rPr>
                <w:rFonts w:hint="default" w:ascii="Times New Roman" w:hAnsi="Times New Roman" w:eastAsia="宋体" w:cs="Times New Roman"/>
                <w:color w:val="000000"/>
                <w:spacing w:val="0"/>
                <w:position w:val="0"/>
                <w:sz w:val="24"/>
                <w:szCs w:val="24"/>
                <w:highlight w:val="none"/>
                <w:vertAlign w:val="superscript"/>
                <w:lang w:val="en-US" w:eastAsia="zh-CN"/>
              </w:rPr>
              <w:t>3</w:t>
            </w:r>
            <w:r>
              <w:rPr>
                <w:rFonts w:hint="default" w:ascii="Times New Roman" w:hAnsi="Times New Roman" w:eastAsia="宋体" w:cs="Times New Roman"/>
                <w:color w:val="000000"/>
                <w:spacing w:val="0"/>
                <w:position w:val="0"/>
                <w:sz w:val="24"/>
                <w:szCs w:val="24"/>
                <w:highlight w:val="none"/>
                <w:lang w:val="en-US" w:eastAsia="zh-CN"/>
              </w:rPr>
              <w:t>计</w:t>
            </w:r>
            <w:r>
              <w:rPr>
                <w:rFonts w:hint="eastAsia" w:ascii="Times New Roman" w:hAnsi="Times New Roman" w:cs="Times New Roman"/>
                <w:color w:val="000000"/>
                <w:spacing w:val="0"/>
                <w:position w:val="0"/>
                <w:sz w:val="24"/>
                <w:szCs w:val="24"/>
                <w:highlight w:val="none"/>
                <w:lang w:val="en-US" w:eastAsia="zh-CN"/>
              </w:rPr>
              <w:t>，天然气烘干窑</w:t>
            </w:r>
            <w:r>
              <w:rPr>
                <w:rFonts w:hint="eastAsia" w:ascii="Times New Roman" w:hAnsi="Times New Roman" w:eastAsia="宋体" w:cs="Times New Roman"/>
                <w:caps w:val="0"/>
                <w:color w:val="0C0C0C"/>
                <w:spacing w:val="0"/>
                <w:w w:val="100"/>
                <w:position w:val="0"/>
                <w:sz w:val="24"/>
                <w:szCs w:val="24"/>
                <w:highlight w:val="none"/>
                <w:lang w:val="en-US" w:eastAsia="zh-CN"/>
              </w:rPr>
              <w:t>风量为7758216</w:t>
            </w:r>
            <w:r>
              <w:rPr>
                <w:rFonts w:hint="default" w:ascii="Times New Roman" w:hAnsi="Times New Roman" w:eastAsia="宋体" w:cs="Times New Roman"/>
                <w:color w:val="000000"/>
                <w:spacing w:val="0"/>
                <w:w w:val="100"/>
                <w:position w:val="0"/>
                <w:sz w:val="24"/>
                <w:szCs w:val="24"/>
                <w:highlight w:val="none"/>
                <w:lang w:val="en-US" w:eastAsia="zh-CN"/>
              </w:rPr>
              <w:t>m</w:t>
            </w:r>
            <w:r>
              <w:rPr>
                <w:rFonts w:hint="default" w:ascii="Times New Roman" w:hAnsi="Times New Roman" w:eastAsia="宋体" w:cs="Times New Roman"/>
                <w:color w:val="000000"/>
                <w:spacing w:val="0"/>
                <w:w w:val="100"/>
                <w:position w:val="0"/>
                <w:sz w:val="24"/>
                <w:szCs w:val="24"/>
                <w:highlight w:val="none"/>
                <w:vertAlign w:val="superscript"/>
                <w:lang w:val="en-US" w:eastAsia="zh-CN"/>
              </w:rPr>
              <w:t>3</w:t>
            </w:r>
            <w:r>
              <w:rPr>
                <w:rFonts w:hint="default" w:ascii="Times New Roman" w:hAnsi="Times New Roman" w:eastAsia="宋体" w:cs="Times New Roman"/>
                <w:color w:val="000000"/>
                <w:spacing w:val="0"/>
                <w:w w:val="100"/>
                <w:position w:val="0"/>
                <w:sz w:val="24"/>
                <w:szCs w:val="24"/>
                <w:highlight w:val="none"/>
                <w:lang w:val="en-US" w:eastAsia="zh-CN"/>
              </w:rPr>
              <w:t>/</w:t>
            </w:r>
            <w:r>
              <w:rPr>
                <w:rFonts w:hint="eastAsia" w:ascii="Times New Roman" w:hAnsi="Times New Roman" w:cs="Times New Roman"/>
                <w:color w:val="000000"/>
                <w:spacing w:val="0"/>
                <w:w w:val="100"/>
                <w:position w:val="0"/>
                <w:sz w:val="24"/>
                <w:szCs w:val="24"/>
                <w:highlight w:val="none"/>
                <w:lang w:val="en-US" w:eastAsia="zh-CN"/>
              </w:rPr>
              <w:t>a</w:t>
            </w:r>
            <w:r>
              <w:rPr>
                <w:rFonts w:hint="eastAsia" w:ascii="Times New Roman" w:hAnsi="Times New Roman" w:eastAsia="宋体" w:cs="Times New Roman"/>
                <w:color w:val="000000"/>
                <w:spacing w:val="0"/>
                <w:w w:val="100"/>
                <w:position w:val="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则氨的排放量为</w:t>
            </w:r>
            <w:r>
              <w:rPr>
                <w:rFonts w:hint="eastAsia" w:ascii="Times New Roman" w:hAnsi="Times New Roman" w:cs="Times New Roman"/>
                <w:color w:val="000000"/>
                <w:sz w:val="24"/>
                <w:szCs w:val="24"/>
                <w:highlight w:val="none"/>
                <w:lang w:val="en-US" w:eastAsia="zh-CN"/>
              </w:rPr>
              <w:t>0.06</w:t>
            </w:r>
            <w:r>
              <w:rPr>
                <w:rFonts w:hint="default" w:ascii="Times New Roman" w:hAnsi="Times New Roman" w:eastAsia="宋体" w:cs="Times New Roman"/>
                <w:color w:val="000000"/>
                <w:sz w:val="24"/>
                <w:szCs w:val="24"/>
                <w:highlight w:val="none"/>
                <w:lang w:val="en-US" w:eastAsia="zh-CN"/>
              </w:rPr>
              <w:t>t/a，经计算，氨有组织排放速率为</w:t>
            </w:r>
            <w:r>
              <w:rPr>
                <w:rFonts w:hint="eastAsia" w:ascii="Times New Roman" w:hAnsi="Times New Roman" w:cs="Times New Roman"/>
                <w:color w:val="000000"/>
                <w:sz w:val="24"/>
                <w:szCs w:val="24"/>
                <w:highlight w:val="none"/>
                <w:lang w:val="en-US" w:eastAsia="zh-CN"/>
              </w:rPr>
              <w:t>0.025</w:t>
            </w:r>
            <w:r>
              <w:rPr>
                <w:rFonts w:hint="default" w:ascii="Times New Roman" w:hAnsi="Times New Roman" w:eastAsia="宋体" w:cs="Times New Roman"/>
                <w:color w:val="000000"/>
                <w:sz w:val="24"/>
                <w:szCs w:val="24"/>
                <w:highlight w:val="none"/>
                <w:lang w:val="en-US" w:eastAsia="zh-CN"/>
              </w:rPr>
              <w:t>kg/h，满足《工业锅炉污染防治可行技术指南》（HJ 1178-2021）中</w:t>
            </w:r>
            <w:r>
              <w:rPr>
                <w:rFonts w:hint="eastAsia" w:ascii="Times New Roman" w:hAnsi="Times New Roman" w:cs="Times New Roman"/>
                <w:color w:val="000000"/>
                <w:sz w:val="24"/>
                <w:szCs w:val="24"/>
                <w:highlight w:val="none"/>
                <w:lang w:val="en-US" w:eastAsia="zh-CN"/>
              </w:rPr>
              <w:t>SNCR</w:t>
            </w:r>
            <w:r>
              <w:rPr>
                <w:rFonts w:hint="default" w:ascii="Times New Roman" w:hAnsi="Times New Roman" w:eastAsia="宋体" w:cs="Times New Roman"/>
                <w:color w:val="000000"/>
                <w:sz w:val="24"/>
                <w:szCs w:val="24"/>
                <w:highlight w:val="none"/>
                <w:lang w:val="en-US" w:eastAsia="zh-CN"/>
              </w:rPr>
              <w:t>脱硝技术控制要求</w:t>
            </w:r>
            <w:r>
              <w:rPr>
                <w:rFonts w:hint="default" w:ascii="Times New Roman" w:hAnsi="Times New Roman" w:eastAsia="宋体" w:cs="Times New Roman"/>
                <w:bCs/>
                <w:color w:val="auto"/>
                <w:spacing w:val="-10"/>
                <w:sz w:val="24"/>
                <w:szCs w:val="24"/>
                <w:highlight w:val="none"/>
                <w:lang w:val="en-US" w:eastAsia="zh-CN"/>
              </w:rPr>
              <w:t>。</w:t>
            </w:r>
          </w:p>
          <w:p w14:paraId="2456B9FF">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sz w:val="24"/>
                <w:highlight w:val="none"/>
                <w:lang w:val="en-US" w:eastAsia="zh-CN"/>
              </w:rPr>
              <w:t>2、</w:t>
            </w:r>
            <w:r>
              <w:rPr>
                <w:rFonts w:hint="default" w:ascii="Times New Roman" w:hAnsi="Times New Roman" w:cs="Times New Roman"/>
                <w:b/>
                <w:bCs w:val="0"/>
                <w:color w:val="auto"/>
                <w:sz w:val="24"/>
                <w:highlight w:val="none"/>
                <w:lang w:eastAsia="zh-CN"/>
              </w:rPr>
              <w:t>无组织废气</w:t>
            </w:r>
          </w:p>
          <w:p w14:paraId="018B40BF">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cs="Times New Roman"/>
                <w:b/>
                <w:bCs w:val="0"/>
                <w:color w:val="auto"/>
                <w:sz w:val="24"/>
                <w:highlight w:val="none"/>
                <w:lang w:eastAsia="zh-CN"/>
              </w:rPr>
            </w:pPr>
            <w:r>
              <w:rPr>
                <w:rFonts w:hint="default" w:ascii="Times New Roman" w:hAnsi="Times New Roman" w:eastAsia="宋体" w:cs="Times New Roman"/>
                <w:color w:val="auto"/>
                <w:sz w:val="24"/>
                <w:szCs w:val="32"/>
                <w:highlight w:val="none"/>
                <w:lang w:val="en-US" w:eastAsia="zh-CN"/>
              </w:rPr>
              <w:t>本项目无组织废气主要为盐酸配置工序、一次搅拌投料工序、烘干工序产生的未被收集的氯化氢、颗粒物。</w:t>
            </w:r>
          </w:p>
          <w:p w14:paraId="10449938">
            <w:pPr>
              <w:pStyle w:val="2"/>
              <w:keepNext w:val="0"/>
              <w:keepLines w:val="0"/>
              <w:suppressLineNumbers w:val="0"/>
              <w:spacing w:before="0" w:beforeAutospacing="0" w:after="0" w:afterAutospacing="0" w:line="360" w:lineRule="auto"/>
              <w:ind w:left="0" w:leftChars="0" w:right="0" w:firstLine="48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根据有组织废气产生情况分析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盐酸配置过程产生的氯化氢量为0.</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color w:val="auto"/>
                <w:kern w:val="2"/>
                <w:sz w:val="24"/>
                <w:szCs w:val="24"/>
                <w:highlight w:val="none"/>
                <w:lang w:val="en-US" w:eastAsia="zh-CN" w:bidi="ar-SA"/>
              </w:rPr>
              <w:t>集气</w:t>
            </w:r>
            <w:r>
              <w:rPr>
                <w:rFonts w:hint="default" w:ascii="Times New Roman" w:hAnsi="Times New Roman" w:eastAsia="宋体" w:cs="Times New Roman"/>
                <w:color w:val="auto"/>
                <w:sz w:val="24"/>
                <w:szCs w:val="24"/>
              </w:rPr>
              <w:t>效率</w:t>
            </w:r>
            <w:r>
              <w:rPr>
                <w:rFonts w:hint="eastAsia" w:ascii="Times New Roman" w:hAnsi="Times New Roman" w:eastAsia="宋体" w:cs="Times New Roman"/>
                <w:color w:val="auto"/>
                <w:sz w:val="24"/>
                <w:szCs w:val="24"/>
                <w:lang w:val="en-US" w:eastAsia="zh-CN"/>
              </w:rPr>
              <w:t>98</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w:t>
            </w:r>
            <w:r>
              <w:rPr>
                <w:rFonts w:hint="default" w:ascii="Times New Roman" w:hAnsi="Times New Roman" w:eastAsia="宋体" w:cs="Times New Roman"/>
                <w:color w:val="auto"/>
                <w:sz w:val="24"/>
                <w:szCs w:val="24"/>
                <w:highlight w:val="none"/>
                <w:lang w:val="en-US" w:eastAsia="zh-CN"/>
              </w:rPr>
              <w:t>一次搅拌投料过程氯化氢</w:t>
            </w:r>
            <w:r>
              <w:rPr>
                <w:rFonts w:hint="eastAsia" w:cs="Times New Roman"/>
                <w:color w:val="auto"/>
                <w:sz w:val="24"/>
                <w:szCs w:val="24"/>
                <w:highlight w:val="none"/>
                <w:lang w:val="en-US" w:eastAsia="zh-CN"/>
              </w:rPr>
              <w:t>产生量为0.69t/a、</w:t>
            </w:r>
            <w:r>
              <w:rPr>
                <w:rFonts w:hint="default" w:ascii="Times New Roman" w:hAnsi="Times New Roman" w:eastAsia="宋体" w:cs="Times New Roman"/>
                <w:color w:val="auto"/>
                <w:sz w:val="24"/>
                <w:szCs w:val="24"/>
                <w:highlight w:val="none"/>
                <w:lang w:val="en-US" w:eastAsia="zh-CN"/>
              </w:rPr>
              <w:t>颗粒物产生量为4.32t/a，</w:t>
            </w:r>
            <w:r>
              <w:rPr>
                <w:rFonts w:hint="default" w:ascii="Times New Roman" w:hAnsi="Times New Roman" w:eastAsia="宋体" w:cs="Times New Roman"/>
                <w:color w:val="auto"/>
                <w:kern w:val="2"/>
                <w:sz w:val="24"/>
                <w:szCs w:val="24"/>
                <w:highlight w:val="none"/>
                <w:lang w:val="en-US" w:eastAsia="zh-CN" w:bidi="ar-SA"/>
              </w:rPr>
              <w:t>集气效率</w:t>
            </w:r>
            <w:r>
              <w:rPr>
                <w:rFonts w:hint="eastAsia" w:eastAsia="宋体" w:cs="Times New Roman"/>
                <w:color w:val="auto"/>
                <w:kern w:val="2"/>
                <w:sz w:val="24"/>
                <w:szCs w:val="24"/>
                <w:highlight w:val="none"/>
                <w:lang w:val="en-US" w:eastAsia="zh-CN" w:bidi="ar-SA"/>
              </w:rPr>
              <w:t>90</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未收集的</w:t>
            </w:r>
            <w:r>
              <w:rPr>
                <w:rFonts w:hint="eastAsia" w:eastAsia="宋体" w:cs="Times New Roman"/>
                <w:b w:val="0"/>
                <w:bCs w:val="0"/>
                <w:color w:val="auto"/>
                <w:kern w:val="2"/>
                <w:sz w:val="24"/>
                <w:szCs w:val="24"/>
                <w:highlight w:val="none"/>
                <w:lang w:val="en-US" w:eastAsia="zh-CN" w:bidi="ar-SA"/>
              </w:rPr>
              <w:t>氯化氢</w:t>
            </w:r>
            <w:r>
              <w:rPr>
                <w:rFonts w:hint="eastAsia" w:cs="Times New Roman"/>
                <w:color w:val="auto"/>
                <w:sz w:val="24"/>
                <w:szCs w:val="32"/>
                <w:highlight w:val="none"/>
                <w:lang w:val="en-US" w:eastAsia="zh-CN"/>
              </w:rPr>
              <w:t>0.075</w:t>
            </w:r>
            <w:r>
              <w:rPr>
                <w:rFonts w:hint="default" w:ascii="Times New Roman" w:hAnsi="Times New Roman" w:eastAsia="宋体" w:cs="Times New Roman"/>
                <w:b w:val="0"/>
                <w:bCs w:val="0"/>
                <w:color w:val="auto"/>
                <w:kern w:val="2"/>
                <w:sz w:val="24"/>
                <w:szCs w:val="24"/>
                <w:highlight w:val="none"/>
                <w:lang w:val="en-US" w:eastAsia="zh-CN" w:bidi="ar-SA"/>
              </w:rPr>
              <w:t>t/a，</w:t>
            </w:r>
            <w:r>
              <w:rPr>
                <w:rFonts w:hint="default" w:ascii="Times New Roman" w:hAnsi="Times New Roman" w:eastAsia="宋体" w:cs="Times New Roman"/>
                <w:color w:val="auto"/>
                <w:sz w:val="24"/>
                <w:szCs w:val="24"/>
                <w:highlight w:val="none"/>
              </w:rPr>
              <w:t>未收集的</w:t>
            </w:r>
            <w:r>
              <w:rPr>
                <w:rFonts w:hint="default" w:ascii="Times New Roman" w:hAnsi="Times New Roman" w:eastAsia="宋体" w:cs="Times New Roman"/>
                <w:b w:val="0"/>
                <w:bCs w:val="0"/>
                <w:color w:val="auto"/>
                <w:kern w:val="2"/>
                <w:sz w:val="24"/>
                <w:szCs w:val="24"/>
                <w:highlight w:val="none"/>
                <w:lang w:val="en-US" w:eastAsia="zh-CN" w:bidi="ar-SA"/>
              </w:rPr>
              <w:t>颗粒物</w:t>
            </w:r>
            <w:r>
              <w:rPr>
                <w:rFonts w:hint="eastAsia" w:eastAsia="宋体" w:cs="Times New Roman"/>
                <w:b w:val="0"/>
                <w:bCs w:val="0"/>
                <w:color w:val="auto"/>
                <w:kern w:val="2"/>
                <w:sz w:val="24"/>
                <w:szCs w:val="24"/>
                <w:highlight w:val="none"/>
                <w:lang w:val="en-US" w:eastAsia="zh-CN" w:bidi="ar-SA"/>
              </w:rPr>
              <w:t>0.432</w:t>
            </w:r>
            <w:r>
              <w:rPr>
                <w:rFonts w:hint="default" w:ascii="Times New Roman" w:hAnsi="Times New Roman" w:eastAsia="宋体" w:cs="Times New Roman"/>
                <w:b w:val="0"/>
                <w:bCs w:val="0"/>
                <w:color w:val="auto"/>
                <w:kern w:val="2"/>
                <w:sz w:val="24"/>
                <w:szCs w:val="24"/>
                <w:highlight w:val="none"/>
                <w:lang w:val="en-US" w:eastAsia="zh-CN" w:bidi="ar-SA"/>
              </w:rPr>
              <w:t>t/a</w:t>
            </w:r>
            <w:r>
              <w:rPr>
                <w:rFonts w:hint="default" w:ascii="Times New Roman" w:hAnsi="Times New Roman" w:cs="Times New Roman"/>
                <w:bCs/>
                <w:color w:val="auto"/>
                <w:sz w:val="24"/>
                <w:highlight w:val="none"/>
                <w:lang w:val="en-US" w:eastAsia="zh-CN"/>
              </w:rPr>
              <w:t>。</w:t>
            </w:r>
          </w:p>
          <w:p w14:paraId="48AD1B4C">
            <w:pPr>
              <w:keepNext w:val="0"/>
              <w:keepLines w:val="0"/>
              <w:suppressLineNumbers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合计车间无组织排放量：</w:t>
            </w:r>
            <w:r>
              <w:rPr>
                <w:rFonts w:hint="eastAsia" w:ascii="Times New Roman" w:hAnsi="Times New Roman" w:eastAsia="宋体" w:cs="Times New Roman"/>
                <w:b w:val="0"/>
                <w:bCs w:val="0"/>
                <w:color w:val="auto"/>
                <w:kern w:val="2"/>
                <w:sz w:val="24"/>
                <w:szCs w:val="24"/>
                <w:highlight w:val="none"/>
                <w:lang w:val="en-US" w:eastAsia="zh-CN" w:bidi="ar-SA"/>
              </w:rPr>
              <w:t>氯化氢</w:t>
            </w:r>
            <w:r>
              <w:rPr>
                <w:rFonts w:hint="eastAsia" w:cs="Times New Roman"/>
                <w:color w:val="auto"/>
                <w:sz w:val="24"/>
                <w:szCs w:val="32"/>
                <w:highlight w:val="none"/>
                <w:lang w:val="en-US" w:eastAsia="zh-CN"/>
              </w:rPr>
              <w:t>0.075</w:t>
            </w:r>
            <w:r>
              <w:rPr>
                <w:rFonts w:hint="default" w:ascii="Times New Roman" w:hAnsi="Times New Roman" w:eastAsia="宋体" w:cs="Times New Roman"/>
                <w:b w:val="0"/>
                <w:bCs w:val="0"/>
                <w:color w:val="auto"/>
                <w:kern w:val="2"/>
                <w:sz w:val="24"/>
                <w:szCs w:val="24"/>
                <w:highlight w:val="none"/>
                <w:lang w:val="en-US" w:eastAsia="zh-CN" w:bidi="ar-SA"/>
              </w:rPr>
              <w:t>t/a</w:t>
            </w:r>
            <w:r>
              <w:rPr>
                <w:rFonts w:hint="eastAsia"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b w:val="0"/>
                <w:bCs w:val="0"/>
                <w:color w:val="auto"/>
                <w:kern w:val="2"/>
                <w:sz w:val="24"/>
                <w:szCs w:val="24"/>
                <w:highlight w:val="none"/>
                <w:lang w:val="en-US" w:eastAsia="zh-CN" w:bidi="ar-SA"/>
              </w:rPr>
              <w:t>颗粒物</w:t>
            </w:r>
            <w:r>
              <w:rPr>
                <w:rFonts w:hint="eastAsia" w:ascii="Times New Roman" w:hAnsi="Times New Roman" w:eastAsia="宋体" w:cs="Times New Roman"/>
                <w:b w:val="0"/>
                <w:bCs w:val="0"/>
                <w:color w:val="auto"/>
                <w:kern w:val="2"/>
                <w:sz w:val="24"/>
                <w:szCs w:val="24"/>
                <w:highlight w:val="none"/>
                <w:lang w:val="en-US" w:eastAsia="zh-CN" w:bidi="ar-SA"/>
              </w:rPr>
              <w:t>0.432</w:t>
            </w:r>
            <w:r>
              <w:rPr>
                <w:rFonts w:hint="default" w:ascii="Times New Roman" w:hAnsi="Times New Roman" w:eastAsia="宋体" w:cs="Times New Roman"/>
                <w:b w:val="0"/>
                <w:bCs w:val="0"/>
                <w:color w:val="auto"/>
                <w:kern w:val="2"/>
                <w:sz w:val="24"/>
                <w:szCs w:val="24"/>
                <w:highlight w:val="none"/>
                <w:lang w:val="en-US" w:eastAsia="zh-CN" w:bidi="ar-SA"/>
              </w:rPr>
              <w:t>t/a</w:t>
            </w:r>
            <w:r>
              <w:rPr>
                <w:rFonts w:hint="default" w:ascii="Times New Roman" w:hAnsi="Times New Roman" w:eastAsia="宋体" w:cs="Times New Roman"/>
                <w:color w:val="auto"/>
                <w:sz w:val="24"/>
                <w:szCs w:val="24"/>
                <w:u w:val="none"/>
                <w:lang w:val="en-US" w:eastAsia="zh-CN"/>
              </w:rPr>
              <w:t>。</w:t>
            </w:r>
          </w:p>
          <w:p w14:paraId="68D3D1F4">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val="en-US" w:eastAsia="zh-CN"/>
              </w:rPr>
              <w:t>3、</w:t>
            </w:r>
            <w:r>
              <w:rPr>
                <w:rFonts w:hint="default" w:ascii="Times New Roman" w:hAnsi="Times New Roman" w:eastAsia="宋体" w:cs="Times New Roman"/>
                <w:b/>
                <w:bCs w:val="0"/>
                <w:color w:val="auto"/>
                <w:sz w:val="24"/>
                <w:highlight w:val="none"/>
                <w:lang w:eastAsia="zh-CN"/>
              </w:rPr>
              <w:t>非正常工况排放</w:t>
            </w:r>
          </w:p>
          <w:p w14:paraId="113C084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本项目设计采用的生产工艺属于较简单、成熟的生产工艺。根据该项目实际情况，结合国内同类项目的运行情况，确定以下几种非正常状况：</w:t>
            </w:r>
          </w:p>
          <w:p w14:paraId="5F2C530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1</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临时开停车</w:t>
            </w:r>
            <w:r>
              <w:rPr>
                <w:rFonts w:hint="default" w:ascii="Times New Roman" w:hAnsi="Times New Roman" w:cs="Times New Roman"/>
                <w:color w:val="auto"/>
                <w:spacing w:val="-20"/>
                <w:sz w:val="24"/>
                <w:szCs w:val="32"/>
                <w:highlight w:val="none"/>
                <w:lang w:eastAsia="zh-CN"/>
              </w:rPr>
              <w:t>：</w:t>
            </w:r>
            <w:r>
              <w:rPr>
                <w:rFonts w:hint="default" w:ascii="Times New Roman" w:hAnsi="Times New Roman" w:cs="Times New Roman"/>
                <w:color w:val="auto"/>
                <w:sz w:val="24"/>
                <w:szCs w:val="32"/>
                <w:highlight w:val="none"/>
              </w:rPr>
              <w:t>在生产过程中</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停水</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停电或某一设备发生故障</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可导致整个工序临时停工</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在临时停工过程中</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各设备停止运行</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待故障排除后</w:t>
            </w:r>
            <w:r>
              <w:rPr>
                <w:rFonts w:hint="default" w:ascii="Times New Roman" w:hAnsi="Times New Roman" w:cs="Times New Roman"/>
                <w:color w:val="auto"/>
                <w:spacing w:val="-20"/>
                <w:sz w:val="24"/>
                <w:szCs w:val="32"/>
                <w:highlight w:val="none"/>
              </w:rPr>
              <w:t>，</w:t>
            </w:r>
            <w:r>
              <w:rPr>
                <w:rFonts w:hint="default" w:ascii="Times New Roman" w:hAnsi="Times New Roman" w:cs="Times New Roman"/>
                <w:color w:val="auto"/>
                <w:sz w:val="24"/>
                <w:szCs w:val="32"/>
                <w:highlight w:val="none"/>
              </w:rPr>
              <w:t>恢复正常生产</w:t>
            </w:r>
            <w:r>
              <w:rPr>
                <w:rFonts w:hint="default" w:ascii="Times New Roman" w:hAnsi="Times New Roman" w:cs="Times New Roman"/>
                <w:color w:val="auto"/>
                <w:spacing w:val="-20"/>
                <w:sz w:val="24"/>
                <w:szCs w:val="32"/>
                <w:highlight w:val="none"/>
              </w:rPr>
              <w:t>。</w:t>
            </w:r>
          </w:p>
          <w:p w14:paraId="31F2E7D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黑体" w:cs="Times New Roman"/>
                <w:color w:val="auto"/>
                <w:kern w:val="0"/>
                <w:sz w:val="24"/>
                <w:highlight w:val="none"/>
              </w:rPr>
            </w:pP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2</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环保设施发生故障</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布袋除尘器</w:t>
            </w:r>
            <w:r>
              <w:rPr>
                <w:rFonts w:hint="eastAsia" w:ascii="Times New Roman" w:hAnsi="Times New Roman" w:cs="Times New Roman"/>
                <w:color w:val="auto"/>
                <w:sz w:val="24"/>
                <w:szCs w:val="32"/>
                <w:highlight w:val="none"/>
                <w:lang w:val="en-US" w:eastAsia="zh-CN"/>
              </w:rPr>
              <w:t>、二级水喷淋、低氮燃烧器+SNCR脱硝装置</w:t>
            </w:r>
            <w:r>
              <w:rPr>
                <w:rFonts w:hint="default" w:ascii="Times New Roman" w:hAnsi="Times New Roman" w:cs="Times New Roman"/>
                <w:color w:val="auto"/>
                <w:sz w:val="24"/>
                <w:szCs w:val="32"/>
                <w:highlight w:val="none"/>
                <w:lang w:val="en-US" w:eastAsia="zh-CN"/>
              </w:rPr>
              <w:t>出现破损的情况下，</w:t>
            </w:r>
            <w:r>
              <w:rPr>
                <w:rFonts w:hint="default" w:ascii="Times New Roman" w:hAnsi="Times New Roman" w:cs="Times New Roman"/>
                <w:color w:val="auto"/>
                <w:sz w:val="24"/>
                <w:szCs w:val="32"/>
                <w:highlight w:val="none"/>
              </w:rPr>
              <w:t>会使污染物处理效率下降或者根本得不到处理而排入环境中，增加污染物排放量及对外环境的影响。</w:t>
            </w:r>
            <w:r>
              <w:rPr>
                <w:rFonts w:hint="default" w:ascii="Times New Roman" w:hAnsi="Times New Roman" w:cs="Times New Roman"/>
                <w:color w:val="auto"/>
                <w:sz w:val="24"/>
                <w:szCs w:val="32"/>
                <w:highlight w:val="none"/>
                <w:lang w:val="en-US" w:eastAsia="zh-CN"/>
              </w:rPr>
              <w:t>按废气处理效率为0进行计算，</w:t>
            </w:r>
            <w:r>
              <w:rPr>
                <w:rFonts w:hint="default" w:ascii="Times New Roman" w:hAnsi="Times New Roman" w:cs="Times New Roman"/>
                <w:color w:val="auto"/>
                <w:sz w:val="24"/>
                <w:szCs w:val="32"/>
                <w:highlight w:val="none"/>
              </w:rPr>
              <w:t>非正常工况废气污染物排放情况见下表。</w:t>
            </w:r>
          </w:p>
          <w:p w14:paraId="35575E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cs="Times New Roman"/>
                <w:b/>
                <w:color w:val="auto"/>
                <w:szCs w:val="21"/>
                <w:highlight w:val="none"/>
                <w:lang w:val="en-US" w:eastAsia="zh-CN"/>
              </w:rPr>
              <w:t>5</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非正常工况污染物排放情况一览表</w:t>
            </w:r>
          </w:p>
          <w:tbl>
            <w:tblPr>
              <w:tblStyle w:val="32"/>
              <w:tblW w:w="49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772"/>
              <w:gridCol w:w="1170"/>
              <w:gridCol w:w="1164"/>
              <w:gridCol w:w="1131"/>
              <w:gridCol w:w="750"/>
              <w:gridCol w:w="700"/>
              <w:gridCol w:w="1394"/>
              <w:gridCol w:w="721"/>
              <w:gridCol w:w="916"/>
            </w:tblGrid>
            <w:tr w14:paraId="42885C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restart"/>
                  <w:noWrap w:val="0"/>
                  <w:vAlign w:val="center"/>
                </w:tcPr>
                <w:p w14:paraId="2DD9C818">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产污</w:t>
                  </w:r>
                </w:p>
                <w:p w14:paraId="7BFAFCC9">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环节</w:t>
                  </w:r>
                </w:p>
              </w:tc>
              <w:tc>
                <w:tcPr>
                  <w:tcW w:w="671" w:type="pct"/>
                  <w:vMerge w:val="restart"/>
                  <w:noWrap w:val="0"/>
                  <w:vAlign w:val="center"/>
                </w:tcPr>
                <w:p w14:paraId="0D20AAE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w:t>
                  </w:r>
                </w:p>
              </w:tc>
              <w:tc>
                <w:tcPr>
                  <w:tcW w:w="1316" w:type="pct"/>
                  <w:gridSpan w:val="2"/>
                  <w:noWrap w:val="0"/>
                  <w:vAlign w:val="center"/>
                </w:tcPr>
                <w:p w14:paraId="7262E18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故障条件下排放参数</w:t>
                  </w:r>
                </w:p>
              </w:tc>
              <w:tc>
                <w:tcPr>
                  <w:tcW w:w="430" w:type="pct"/>
                  <w:vMerge w:val="restart"/>
                  <w:noWrap w:val="0"/>
                  <w:vAlign w:val="center"/>
                </w:tcPr>
                <w:p w14:paraId="03951DA9">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年发生</w:t>
                  </w:r>
                </w:p>
                <w:p w14:paraId="7F22BD08">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频次</w:t>
                  </w:r>
                </w:p>
              </w:tc>
              <w:tc>
                <w:tcPr>
                  <w:tcW w:w="401" w:type="pct"/>
                  <w:vMerge w:val="restart"/>
                  <w:noWrap w:val="0"/>
                  <w:vAlign w:val="center"/>
                </w:tcPr>
                <w:p w14:paraId="61F41F94">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单次持</w:t>
                  </w:r>
                </w:p>
                <w:p w14:paraId="1FF3C193">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续时间</w:t>
                  </w:r>
                </w:p>
              </w:tc>
              <w:tc>
                <w:tcPr>
                  <w:tcW w:w="799" w:type="pct"/>
                  <w:vMerge w:val="restart"/>
                  <w:noWrap w:val="0"/>
                  <w:vAlign w:val="center"/>
                </w:tcPr>
                <w:p w14:paraId="4A976DF1">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污染物排放</w:t>
                  </w:r>
                </w:p>
                <w:p w14:paraId="1C284C68">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量kg/次</w:t>
                  </w:r>
                </w:p>
              </w:tc>
              <w:tc>
                <w:tcPr>
                  <w:tcW w:w="938" w:type="pct"/>
                  <w:gridSpan w:val="2"/>
                  <w:noWrap w:val="0"/>
                  <w:vAlign w:val="center"/>
                </w:tcPr>
                <w:p w14:paraId="19047040">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执行标准</w:t>
                  </w:r>
                </w:p>
              </w:tc>
            </w:tr>
            <w:tr w14:paraId="460882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continue"/>
                  <w:noWrap w:val="0"/>
                  <w:vAlign w:val="center"/>
                </w:tcPr>
                <w:p w14:paraId="515EF3D2">
                  <w:pPr>
                    <w:pStyle w:val="2"/>
                    <w:keepNext w:val="0"/>
                    <w:keepLines w:val="0"/>
                    <w:suppressLineNumbers w:val="0"/>
                    <w:spacing w:before="0" w:beforeAutospacing="0" w:after="0" w:afterAutospacing="0"/>
                    <w:ind w:left="0" w:leftChars="0" w:right="0" w:firstLine="0" w:firstLineChars="0"/>
                    <w:rPr>
                      <w:rFonts w:hint="default" w:ascii="Times New Roman" w:hAnsi="Times New Roman" w:cs="Times New Roman"/>
                      <w:b/>
                      <w:bCs/>
                      <w:color w:val="auto"/>
                      <w:highlight w:val="none"/>
                    </w:rPr>
                  </w:pPr>
                </w:p>
              </w:tc>
              <w:tc>
                <w:tcPr>
                  <w:tcW w:w="671" w:type="pct"/>
                  <w:vMerge w:val="continue"/>
                  <w:noWrap w:val="0"/>
                  <w:vAlign w:val="center"/>
                </w:tcPr>
                <w:p w14:paraId="223390A5">
                  <w:pPr>
                    <w:pStyle w:val="2"/>
                    <w:keepNext w:val="0"/>
                    <w:keepLines w:val="0"/>
                    <w:suppressLineNumbers w:val="0"/>
                    <w:spacing w:before="0" w:beforeAutospacing="0" w:after="0" w:afterAutospacing="0"/>
                    <w:ind w:left="0" w:leftChars="0" w:right="0" w:firstLine="0" w:firstLineChars="0"/>
                    <w:rPr>
                      <w:rFonts w:hint="default" w:ascii="Times New Roman" w:hAnsi="Times New Roman" w:cs="Times New Roman"/>
                      <w:b/>
                      <w:bCs/>
                      <w:color w:val="auto"/>
                      <w:highlight w:val="none"/>
                    </w:rPr>
                  </w:pPr>
                </w:p>
              </w:tc>
              <w:tc>
                <w:tcPr>
                  <w:tcW w:w="667" w:type="pct"/>
                  <w:noWrap w:val="0"/>
                  <w:vAlign w:val="center"/>
                </w:tcPr>
                <w:p w14:paraId="5D0BDE34">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速率kg/h</w:t>
                  </w:r>
                </w:p>
              </w:tc>
              <w:tc>
                <w:tcPr>
                  <w:tcW w:w="648" w:type="pct"/>
                  <w:noWrap w:val="0"/>
                  <w:vAlign w:val="center"/>
                </w:tcPr>
                <w:p w14:paraId="111D6858">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浓度mg/m</w:t>
                  </w:r>
                  <w:r>
                    <w:rPr>
                      <w:rFonts w:hint="default" w:ascii="Times New Roman" w:hAnsi="Times New Roman" w:cs="Times New Roman"/>
                      <w:b/>
                      <w:bCs/>
                      <w:color w:val="auto"/>
                      <w:highlight w:val="none"/>
                      <w:vertAlign w:val="superscript"/>
                    </w:rPr>
                    <w:t>3</w:t>
                  </w:r>
                </w:p>
              </w:tc>
              <w:tc>
                <w:tcPr>
                  <w:tcW w:w="430" w:type="pct"/>
                  <w:vMerge w:val="continue"/>
                  <w:noWrap w:val="0"/>
                  <w:vAlign w:val="center"/>
                </w:tcPr>
                <w:p w14:paraId="095E4582">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p>
              </w:tc>
              <w:tc>
                <w:tcPr>
                  <w:tcW w:w="401" w:type="pct"/>
                  <w:vMerge w:val="continue"/>
                  <w:noWrap w:val="0"/>
                  <w:vAlign w:val="center"/>
                </w:tcPr>
                <w:p w14:paraId="7818102A">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p>
              </w:tc>
              <w:tc>
                <w:tcPr>
                  <w:tcW w:w="799" w:type="pct"/>
                  <w:vMerge w:val="continue"/>
                  <w:noWrap w:val="0"/>
                  <w:vAlign w:val="center"/>
                </w:tcPr>
                <w:p w14:paraId="06B7FCD3">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p>
              </w:tc>
              <w:tc>
                <w:tcPr>
                  <w:tcW w:w="413" w:type="pct"/>
                  <w:noWrap w:val="0"/>
                  <w:vAlign w:val="center"/>
                </w:tcPr>
                <w:p w14:paraId="49244DCD">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速率kg/h</w:t>
                  </w:r>
                </w:p>
              </w:tc>
              <w:tc>
                <w:tcPr>
                  <w:tcW w:w="525" w:type="pct"/>
                  <w:noWrap w:val="0"/>
                  <w:vAlign w:val="center"/>
                </w:tcPr>
                <w:p w14:paraId="7C74863E">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浓度mg/m</w:t>
                  </w:r>
                  <w:r>
                    <w:rPr>
                      <w:rFonts w:hint="default" w:ascii="Times New Roman" w:hAnsi="Times New Roman" w:cs="Times New Roman"/>
                      <w:b/>
                      <w:bCs/>
                      <w:color w:val="auto"/>
                      <w:highlight w:val="none"/>
                      <w:vertAlign w:val="superscript"/>
                    </w:rPr>
                    <w:t>3</w:t>
                  </w:r>
                </w:p>
              </w:tc>
            </w:tr>
            <w:tr w14:paraId="7471B2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restart"/>
                  <w:noWrap w:val="0"/>
                  <w:vAlign w:val="center"/>
                </w:tcPr>
                <w:p w14:paraId="650A59A7">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DA00</w:t>
                  </w:r>
                  <w:r>
                    <w:rPr>
                      <w:rFonts w:hint="default" w:ascii="Times New Roman" w:hAnsi="Times New Roman" w:cs="Times New Roman"/>
                      <w:color w:val="auto"/>
                      <w:highlight w:val="none"/>
                    </w:rPr>
                    <w:t>1</w:t>
                  </w:r>
                </w:p>
              </w:tc>
              <w:tc>
                <w:tcPr>
                  <w:tcW w:w="671" w:type="pct"/>
                  <w:noWrap w:val="0"/>
                  <w:vAlign w:val="center"/>
                </w:tcPr>
                <w:p w14:paraId="679AC91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lang w:val="en-US" w:eastAsia="zh-CN"/>
                    </w:rPr>
                    <w:t>氯化氢</w:t>
                  </w:r>
                </w:p>
              </w:tc>
              <w:tc>
                <w:tcPr>
                  <w:tcW w:w="667" w:type="pct"/>
                  <w:noWrap w:val="0"/>
                  <w:vAlign w:val="center"/>
                </w:tcPr>
                <w:p w14:paraId="05EAA9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kern w:val="0"/>
                      <w:sz w:val="21"/>
                      <w:szCs w:val="20"/>
                      <w:highlight w:val="none"/>
                      <w:lang w:val="en-US" w:eastAsia="zh-CN" w:bidi="ar-SA"/>
                    </w:rPr>
                    <w:t>1.24</w:t>
                  </w:r>
                </w:p>
              </w:tc>
              <w:tc>
                <w:tcPr>
                  <w:tcW w:w="648" w:type="pct"/>
                  <w:noWrap w:val="0"/>
                  <w:vAlign w:val="center"/>
                </w:tcPr>
                <w:p w14:paraId="6E2262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kern w:val="0"/>
                      <w:sz w:val="21"/>
                      <w:szCs w:val="20"/>
                      <w:highlight w:val="none"/>
                      <w:lang w:val="en-US" w:eastAsia="zh-CN" w:bidi="ar-SA"/>
                    </w:rPr>
                    <w:t>620</w:t>
                  </w:r>
                </w:p>
              </w:tc>
              <w:tc>
                <w:tcPr>
                  <w:tcW w:w="430" w:type="pct"/>
                  <w:noWrap w:val="0"/>
                  <w:vAlign w:val="center"/>
                </w:tcPr>
                <w:p w14:paraId="7300BC7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1</w:t>
                  </w:r>
                </w:p>
              </w:tc>
              <w:tc>
                <w:tcPr>
                  <w:tcW w:w="401" w:type="pct"/>
                  <w:noWrap w:val="0"/>
                  <w:vAlign w:val="center"/>
                </w:tcPr>
                <w:p w14:paraId="3E74FB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h</w:t>
                  </w:r>
                </w:p>
              </w:tc>
              <w:tc>
                <w:tcPr>
                  <w:tcW w:w="799" w:type="pct"/>
                  <w:noWrap w:val="0"/>
                  <w:vAlign w:val="center"/>
                </w:tcPr>
                <w:p w14:paraId="74D4C1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kern w:val="0"/>
                      <w:sz w:val="21"/>
                      <w:szCs w:val="20"/>
                      <w:highlight w:val="none"/>
                      <w:lang w:val="en-US" w:eastAsia="zh-CN" w:bidi="ar-SA"/>
                    </w:rPr>
                    <w:t>1.24</w:t>
                  </w:r>
                </w:p>
              </w:tc>
              <w:tc>
                <w:tcPr>
                  <w:tcW w:w="413" w:type="pct"/>
                  <w:noWrap w:val="0"/>
                  <w:vAlign w:val="center"/>
                </w:tcPr>
                <w:p w14:paraId="0AC435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0.26</w:t>
                  </w:r>
                </w:p>
              </w:tc>
              <w:tc>
                <w:tcPr>
                  <w:tcW w:w="525" w:type="pct"/>
                  <w:noWrap w:val="0"/>
                  <w:vAlign w:val="center"/>
                </w:tcPr>
                <w:p w14:paraId="2BC78D3F">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kern w:val="0"/>
                      <w:sz w:val="21"/>
                      <w:szCs w:val="20"/>
                      <w:highlight w:val="none"/>
                      <w:lang w:val="en-US" w:eastAsia="zh-CN" w:bidi="ar-SA"/>
                    </w:rPr>
                  </w:pPr>
                  <w:r>
                    <w:rPr>
                      <w:rFonts w:hint="eastAsia" w:cs="Times New Roman"/>
                      <w:color w:val="auto"/>
                      <w:kern w:val="0"/>
                      <w:sz w:val="21"/>
                      <w:szCs w:val="20"/>
                      <w:highlight w:val="none"/>
                      <w:lang w:val="en-US" w:eastAsia="zh-CN" w:bidi="ar-SA"/>
                    </w:rPr>
                    <w:t>100</w:t>
                  </w:r>
                </w:p>
              </w:tc>
            </w:tr>
            <w:tr w14:paraId="2B2C2E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continue"/>
                  <w:noWrap w:val="0"/>
                  <w:vAlign w:val="center"/>
                </w:tcPr>
                <w:p w14:paraId="498731DC">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lang w:val="en-US" w:eastAsia="zh-CN"/>
                    </w:rPr>
                  </w:pPr>
                </w:p>
              </w:tc>
              <w:tc>
                <w:tcPr>
                  <w:tcW w:w="671" w:type="pct"/>
                  <w:noWrap w:val="0"/>
                  <w:vAlign w:val="center"/>
                </w:tcPr>
                <w:p w14:paraId="3200BE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颗粒物</w:t>
                  </w:r>
                </w:p>
              </w:tc>
              <w:tc>
                <w:tcPr>
                  <w:tcW w:w="667" w:type="pct"/>
                  <w:noWrap w:val="0"/>
                  <w:vAlign w:val="center"/>
                </w:tcPr>
                <w:p w14:paraId="33D70C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1.6</w:t>
                  </w:r>
                </w:p>
              </w:tc>
              <w:tc>
                <w:tcPr>
                  <w:tcW w:w="648" w:type="pct"/>
                  <w:noWrap w:val="0"/>
                  <w:vAlign w:val="center"/>
                </w:tcPr>
                <w:p w14:paraId="544805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810.42</w:t>
                  </w:r>
                </w:p>
              </w:tc>
              <w:tc>
                <w:tcPr>
                  <w:tcW w:w="430" w:type="pct"/>
                  <w:noWrap w:val="0"/>
                  <w:vAlign w:val="center"/>
                </w:tcPr>
                <w:p w14:paraId="4CD3D02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01" w:type="pct"/>
                  <w:noWrap w:val="0"/>
                  <w:vAlign w:val="center"/>
                </w:tcPr>
                <w:p w14:paraId="3102A5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1h</w:t>
                  </w:r>
                </w:p>
              </w:tc>
              <w:tc>
                <w:tcPr>
                  <w:tcW w:w="799" w:type="pct"/>
                  <w:noWrap w:val="0"/>
                  <w:vAlign w:val="center"/>
                </w:tcPr>
                <w:p w14:paraId="50B44C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1.6</w:t>
                  </w:r>
                </w:p>
              </w:tc>
              <w:tc>
                <w:tcPr>
                  <w:tcW w:w="413" w:type="pct"/>
                  <w:noWrap w:val="0"/>
                  <w:vAlign w:val="center"/>
                </w:tcPr>
                <w:p w14:paraId="73D6644F">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25" w:type="pct"/>
                  <w:noWrap w:val="0"/>
                  <w:vAlign w:val="center"/>
                </w:tcPr>
                <w:p w14:paraId="3889CF4E">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10</w:t>
                  </w:r>
                </w:p>
              </w:tc>
            </w:tr>
            <w:tr w14:paraId="1F9C8F2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restart"/>
                  <w:noWrap w:val="0"/>
                  <w:vAlign w:val="center"/>
                </w:tcPr>
                <w:p w14:paraId="4A3E8AAD">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lang w:val="en-US" w:eastAsia="zh-CN"/>
                    </w:rPr>
                  </w:pPr>
                  <w:r>
                    <w:rPr>
                      <w:rFonts w:hint="eastAsia" w:cs="Times New Roman"/>
                      <w:lang w:val="en-US" w:eastAsia="zh-CN"/>
                    </w:rPr>
                    <w:t>DA002</w:t>
                  </w:r>
                </w:p>
              </w:tc>
              <w:tc>
                <w:tcPr>
                  <w:tcW w:w="671" w:type="pct"/>
                  <w:noWrap w:val="0"/>
                  <w:vAlign w:val="center"/>
                </w:tcPr>
                <w:p w14:paraId="3D05DACE">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颗粒物</w:t>
                  </w:r>
                </w:p>
              </w:tc>
              <w:tc>
                <w:tcPr>
                  <w:tcW w:w="667" w:type="pct"/>
                  <w:noWrap w:val="0"/>
                  <w:vAlign w:val="center"/>
                </w:tcPr>
                <w:p w14:paraId="51EBD6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0.056</w:t>
                  </w:r>
                </w:p>
              </w:tc>
              <w:tc>
                <w:tcPr>
                  <w:tcW w:w="648" w:type="pct"/>
                  <w:noWrap w:val="0"/>
                  <w:vAlign w:val="center"/>
                </w:tcPr>
                <w:p w14:paraId="334E78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17.53</w:t>
                  </w:r>
                </w:p>
              </w:tc>
              <w:tc>
                <w:tcPr>
                  <w:tcW w:w="430" w:type="pct"/>
                  <w:noWrap w:val="0"/>
                  <w:vAlign w:val="center"/>
                </w:tcPr>
                <w:p w14:paraId="1FD23293">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01" w:type="pct"/>
                  <w:noWrap w:val="0"/>
                  <w:vAlign w:val="center"/>
                </w:tcPr>
                <w:p w14:paraId="66ABFD3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1h</w:t>
                  </w:r>
                </w:p>
              </w:tc>
              <w:tc>
                <w:tcPr>
                  <w:tcW w:w="799" w:type="pct"/>
                  <w:noWrap w:val="0"/>
                  <w:vAlign w:val="center"/>
                </w:tcPr>
                <w:p w14:paraId="39C0203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0.056</w:t>
                  </w:r>
                </w:p>
              </w:tc>
              <w:tc>
                <w:tcPr>
                  <w:tcW w:w="413" w:type="pct"/>
                  <w:noWrap w:val="0"/>
                  <w:vAlign w:val="center"/>
                </w:tcPr>
                <w:p w14:paraId="7D6504DE">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25" w:type="pct"/>
                  <w:noWrap w:val="0"/>
                  <w:vAlign w:val="center"/>
                </w:tcPr>
                <w:p w14:paraId="6673FF03">
                  <w:pPr>
                    <w:pStyle w:val="2"/>
                    <w:keepNext w:val="0"/>
                    <w:keepLines w:val="0"/>
                    <w:suppressLineNumbers w:val="0"/>
                    <w:spacing w:before="0" w:beforeAutospacing="0" w:after="0" w:afterAutospacing="0"/>
                    <w:ind w:left="0" w:leftChars="0" w:right="0" w:firstLine="0" w:firstLineChars="0"/>
                    <w:jc w:val="center"/>
                    <w:rPr>
                      <w:rFonts w:hint="default"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10</w:t>
                  </w:r>
                </w:p>
              </w:tc>
            </w:tr>
            <w:tr w14:paraId="4EEFA7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continue"/>
                  <w:noWrap w:val="0"/>
                  <w:vAlign w:val="center"/>
                </w:tcPr>
                <w:p w14:paraId="7758AE58">
                  <w:pPr>
                    <w:pStyle w:val="2"/>
                    <w:keepNext w:val="0"/>
                    <w:keepLines w:val="0"/>
                    <w:suppressLineNumbers w:val="0"/>
                    <w:spacing w:before="0" w:beforeAutospacing="0" w:after="0" w:afterAutospacing="0"/>
                    <w:ind w:left="0" w:leftChars="0" w:right="0" w:firstLine="0" w:firstLineChars="0"/>
                    <w:jc w:val="center"/>
                    <w:rPr>
                      <w:rFonts w:hint="default" w:cs="Times New Roman"/>
                    </w:rPr>
                  </w:pPr>
                </w:p>
              </w:tc>
              <w:tc>
                <w:tcPr>
                  <w:tcW w:w="671" w:type="pct"/>
                  <w:noWrap w:val="0"/>
                  <w:vAlign w:val="center"/>
                </w:tcPr>
                <w:p w14:paraId="4F8CDC9D">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二氧化硫</w:t>
                  </w:r>
                </w:p>
              </w:tc>
              <w:tc>
                <w:tcPr>
                  <w:tcW w:w="667" w:type="pct"/>
                  <w:noWrap w:val="0"/>
                  <w:vAlign w:val="center"/>
                </w:tcPr>
                <w:p w14:paraId="4E75318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0.056</w:t>
                  </w:r>
                </w:p>
              </w:tc>
              <w:tc>
                <w:tcPr>
                  <w:tcW w:w="648" w:type="pct"/>
                  <w:noWrap w:val="0"/>
                  <w:vAlign w:val="center"/>
                </w:tcPr>
                <w:p w14:paraId="43CBF46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17.53</w:t>
                  </w:r>
                </w:p>
              </w:tc>
              <w:tc>
                <w:tcPr>
                  <w:tcW w:w="430" w:type="pct"/>
                  <w:noWrap w:val="0"/>
                  <w:vAlign w:val="center"/>
                </w:tcPr>
                <w:p w14:paraId="5E808E2A">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01" w:type="pct"/>
                  <w:noWrap w:val="0"/>
                  <w:vAlign w:val="center"/>
                </w:tcPr>
                <w:p w14:paraId="3A10B6E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1h</w:t>
                  </w:r>
                </w:p>
              </w:tc>
              <w:tc>
                <w:tcPr>
                  <w:tcW w:w="799" w:type="pct"/>
                  <w:noWrap w:val="0"/>
                  <w:vAlign w:val="center"/>
                </w:tcPr>
                <w:p w14:paraId="4D3CDED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0.056</w:t>
                  </w:r>
                </w:p>
              </w:tc>
              <w:tc>
                <w:tcPr>
                  <w:tcW w:w="413" w:type="pct"/>
                  <w:noWrap w:val="0"/>
                  <w:vAlign w:val="center"/>
                </w:tcPr>
                <w:p w14:paraId="12034205">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25" w:type="pct"/>
                  <w:noWrap w:val="0"/>
                  <w:vAlign w:val="center"/>
                </w:tcPr>
                <w:p w14:paraId="77D83549">
                  <w:pPr>
                    <w:pStyle w:val="2"/>
                    <w:keepNext w:val="0"/>
                    <w:keepLines w:val="0"/>
                    <w:suppressLineNumbers w:val="0"/>
                    <w:spacing w:before="0" w:beforeAutospacing="0" w:after="0" w:afterAutospacing="0"/>
                    <w:ind w:left="0" w:leftChars="0" w:right="0" w:firstLine="0" w:firstLineChars="0"/>
                    <w:jc w:val="center"/>
                    <w:rPr>
                      <w:rFonts w:hint="default"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50</w:t>
                  </w:r>
                </w:p>
              </w:tc>
            </w:tr>
            <w:tr w14:paraId="22F83F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continue"/>
                  <w:noWrap w:val="0"/>
                  <w:vAlign w:val="center"/>
                </w:tcPr>
                <w:p w14:paraId="7735E2F5">
                  <w:pPr>
                    <w:pStyle w:val="2"/>
                    <w:keepNext w:val="0"/>
                    <w:keepLines w:val="0"/>
                    <w:suppressLineNumbers w:val="0"/>
                    <w:spacing w:before="0" w:beforeAutospacing="0" w:after="0" w:afterAutospacing="0"/>
                    <w:ind w:left="0" w:leftChars="0" w:right="0" w:firstLine="0" w:firstLineChars="0"/>
                    <w:jc w:val="center"/>
                    <w:rPr>
                      <w:rFonts w:hint="default" w:cs="Times New Roman"/>
                    </w:rPr>
                  </w:pPr>
                </w:p>
              </w:tc>
              <w:tc>
                <w:tcPr>
                  <w:tcW w:w="671" w:type="pct"/>
                  <w:noWrap w:val="0"/>
                  <w:vAlign w:val="center"/>
                </w:tcPr>
                <w:p w14:paraId="6268B355">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氮氧化物</w:t>
                  </w:r>
                </w:p>
              </w:tc>
              <w:tc>
                <w:tcPr>
                  <w:tcW w:w="667" w:type="pct"/>
                  <w:noWrap w:val="0"/>
                  <w:vAlign w:val="center"/>
                </w:tcPr>
                <w:p w14:paraId="39BCA0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w:t>
                  </w:r>
                </w:p>
              </w:tc>
              <w:tc>
                <w:tcPr>
                  <w:tcW w:w="648" w:type="pct"/>
                  <w:noWrap w:val="0"/>
                  <w:vAlign w:val="center"/>
                </w:tcPr>
                <w:p w14:paraId="2821FF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264.24</w:t>
                  </w:r>
                </w:p>
              </w:tc>
              <w:tc>
                <w:tcPr>
                  <w:tcW w:w="430" w:type="pct"/>
                  <w:noWrap w:val="0"/>
                  <w:vAlign w:val="center"/>
                </w:tcPr>
                <w:p w14:paraId="443DB3F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01" w:type="pct"/>
                  <w:noWrap w:val="0"/>
                  <w:vAlign w:val="center"/>
                </w:tcPr>
                <w:p w14:paraId="2699BB8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1h</w:t>
                  </w:r>
                </w:p>
              </w:tc>
              <w:tc>
                <w:tcPr>
                  <w:tcW w:w="799" w:type="pct"/>
                  <w:noWrap w:val="0"/>
                  <w:vAlign w:val="center"/>
                </w:tcPr>
                <w:p w14:paraId="2E995ED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w:t>
                  </w:r>
                </w:p>
              </w:tc>
              <w:tc>
                <w:tcPr>
                  <w:tcW w:w="413" w:type="pct"/>
                  <w:noWrap w:val="0"/>
                  <w:vAlign w:val="center"/>
                </w:tcPr>
                <w:p w14:paraId="6E2E8749">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25" w:type="pct"/>
                  <w:noWrap w:val="0"/>
                  <w:vAlign w:val="center"/>
                </w:tcPr>
                <w:p w14:paraId="5AB2B250">
                  <w:pPr>
                    <w:pStyle w:val="2"/>
                    <w:keepNext w:val="0"/>
                    <w:keepLines w:val="0"/>
                    <w:suppressLineNumbers w:val="0"/>
                    <w:spacing w:before="0" w:beforeAutospacing="0" w:after="0" w:afterAutospacing="0"/>
                    <w:ind w:left="0" w:leftChars="0" w:right="0" w:firstLine="0" w:firstLineChars="0"/>
                    <w:jc w:val="center"/>
                    <w:rPr>
                      <w:rFonts w:hint="default"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100</w:t>
                  </w:r>
                </w:p>
              </w:tc>
            </w:tr>
            <w:tr w14:paraId="4A4663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42" w:type="pct"/>
                  <w:vMerge w:val="continue"/>
                  <w:tcBorders>
                    <w:bottom w:val="single" w:color="auto" w:sz="4" w:space="0"/>
                  </w:tcBorders>
                  <w:noWrap w:val="0"/>
                  <w:vAlign w:val="center"/>
                </w:tcPr>
                <w:p w14:paraId="73F07870">
                  <w:pPr>
                    <w:pStyle w:val="2"/>
                    <w:keepNext w:val="0"/>
                    <w:keepLines w:val="0"/>
                    <w:suppressLineNumbers w:val="0"/>
                    <w:spacing w:before="0" w:beforeAutospacing="0" w:after="0" w:afterAutospacing="0"/>
                    <w:ind w:left="0" w:leftChars="0" w:right="0" w:firstLine="0" w:firstLineChars="0"/>
                    <w:jc w:val="center"/>
                    <w:rPr>
                      <w:rFonts w:hint="default" w:cs="Times New Roman"/>
                    </w:rPr>
                  </w:pPr>
                </w:p>
              </w:tc>
              <w:tc>
                <w:tcPr>
                  <w:tcW w:w="671" w:type="pct"/>
                  <w:tcBorders>
                    <w:bottom w:val="single" w:color="auto" w:sz="4" w:space="0"/>
                  </w:tcBorders>
                  <w:noWrap w:val="0"/>
                  <w:vAlign w:val="center"/>
                </w:tcPr>
                <w:p w14:paraId="1CB535A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氨</w:t>
                  </w:r>
                </w:p>
              </w:tc>
              <w:tc>
                <w:tcPr>
                  <w:tcW w:w="667" w:type="pct"/>
                  <w:noWrap w:val="0"/>
                  <w:vAlign w:val="center"/>
                </w:tcPr>
                <w:p w14:paraId="62AD09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0.025</w:t>
                  </w:r>
                </w:p>
              </w:tc>
              <w:tc>
                <w:tcPr>
                  <w:tcW w:w="648" w:type="pct"/>
                  <w:noWrap w:val="0"/>
                  <w:vAlign w:val="center"/>
                </w:tcPr>
                <w:p w14:paraId="192B29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w:t>
                  </w:r>
                </w:p>
              </w:tc>
              <w:tc>
                <w:tcPr>
                  <w:tcW w:w="430" w:type="pct"/>
                  <w:noWrap w:val="0"/>
                  <w:vAlign w:val="center"/>
                </w:tcPr>
                <w:p w14:paraId="2C441A6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01" w:type="pct"/>
                  <w:noWrap w:val="0"/>
                  <w:vAlign w:val="center"/>
                </w:tcPr>
                <w:p w14:paraId="13174F58">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1h</w:t>
                  </w:r>
                </w:p>
              </w:tc>
              <w:tc>
                <w:tcPr>
                  <w:tcW w:w="799" w:type="pct"/>
                  <w:noWrap w:val="0"/>
                  <w:vAlign w:val="center"/>
                </w:tcPr>
                <w:p w14:paraId="73FC55F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0.025</w:t>
                  </w:r>
                </w:p>
              </w:tc>
              <w:tc>
                <w:tcPr>
                  <w:tcW w:w="413" w:type="pct"/>
                  <w:noWrap w:val="0"/>
                  <w:vAlign w:val="center"/>
                </w:tcPr>
                <w:p w14:paraId="72AD966A">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25" w:type="pct"/>
                  <w:noWrap w:val="0"/>
                  <w:vAlign w:val="center"/>
                </w:tcPr>
                <w:p w14:paraId="3D52439A">
                  <w:pPr>
                    <w:pStyle w:val="2"/>
                    <w:keepNext w:val="0"/>
                    <w:keepLines w:val="0"/>
                    <w:suppressLineNumbers w:val="0"/>
                    <w:spacing w:before="0" w:beforeAutospacing="0" w:after="0" w:afterAutospacing="0"/>
                    <w:ind w:left="0" w:leftChars="0" w:right="0" w:firstLine="0" w:firstLineChars="0"/>
                    <w:jc w:val="center"/>
                    <w:rPr>
                      <w:rFonts w:hint="default"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8</w:t>
                  </w:r>
                </w:p>
              </w:tc>
            </w:tr>
          </w:tbl>
          <w:p w14:paraId="71693A8B">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为了避免非正常、事故工况的发生，企业应采取以下防控措施：</w:t>
            </w:r>
          </w:p>
          <w:p w14:paraId="20D0C843">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①加强设备维护，避免因为某一设备出现故障，而导致的整套装置临时停工的情况，加强厂区内水、电路的维护，避免临时停水或停电导致临时停工。</w:t>
            </w:r>
          </w:p>
          <w:p w14:paraId="1B4004D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②加强厂区环保设施及配套机泵等的检修工作，分时段对环保设施进行现场检查并做好记录，确保环保设施正常运行，防止非正常工况现象发生。</w:t>
            </w:r>
          </w:p>
          <w:p w14:paraId="53C47416">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val="en-US" w:eastAsia="zh-CN"/>
              </w:rPr>
              <w:t>4、</w:t>
            </w:r>
            <w:r>
              <w:rPr>
                <w:rFonts w:hint="default" w:ascii="Times New Roman" w:hAnsi="Times New Roman" w:eastAsia="宋体" w:cs="Times New Roman"/>
                <w:b/>
                <w:bCs w:val="0"/>
                <w:color w:val="auto"/>
                <w:sz w:val="24"/>
                <w:highlight w:val="none"/>
                <w:lang w:eastAsia="zh-CN"/>
              </w:rPr>
              <w:t>废气污染防治措施的可行性</w:t>
            </w:r>
          </w:p>
          <w:p w14:paraId="553A5F93">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二级水喷淋的工作原理：喷淋塔使用自来水作为喷淋液。氯化氢气体极易溶于水，当含氯化氢的尾气从塔底进入，与从塔顶喷淋而下的自来水逆流接触时，氯化氢溶于水中，从而达到去除氯化氢的目的。</w:t>
            </w:r>
          </w:p>
          <w:p w14:paraId="5E8CFB4B">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除雾器的工作原理：主</w:t>
            </w:r>
            <w:r>
              <w:rPr>
                <w:rFonts w:hint="default" w:ascii="Times New Roman" w:hAnsi="Times New Roman" w:eastAsia="宋体" w:cs="Times New Roman"/>
                <w:color w:val="auto"/>
                <w:sz w:val="24"/>
                <w:highlight w:val="none"/>
                <w:lang w:val="en-US" w:eastAsia="zh-CN"/>
              </w:rPr>
              <w:t>要通过惯性碰撞、拦截效应和扩散沉积三种机制分离废气中的液滴。大液滴（直径＞20μm）因惯性作用偏离气流轨迹，撞击除雾器表面被捕集。中粒径液滴（5-20μm）在气流通过除雾器结构时，被表面直接拦截。微小液滴（＜5μm）通过布朗运动吸附在除雾器表面，逐渐聚集成较大颗粒后脱落。</w:t>
            </w:r>
          </w:p>
          <w:p w14:paraId="648EE43A">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布袋除尘器的工作机理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含尘烟气通过过滤材料，尘粒被过滤下来，过滤材料捕集粗粒粉尘主要靠惯性碰撞作用，捕集细粒粉尘主要靠扩散和筛分作用。滤料的粉尘层也有一定的过滤作用。</w:t>
            </w:r>
          </w:p>
          <w:p w14:paraId="4AF53A5E">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46"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低氮燃烧器</w:t>
            </w:r>
            <w:r>
              <w:rPr>
                <w:rFonts w:hint="default" w:ascii="Times New Roman" w:hAnsi="Times New Roman" w:eastAsia="宋体" w:cs="Times New Roman"/>
                <w:color w:val="auto"/>
                <w:sz w:val="24"/>
                <w:highlight w:val="none"/>
              </w:rPr>
              <w:t>的工作机理</w:t>
            </w:r>
            <w:r>
              <w:rPr>
                <w:rFonts w:hint="eastAsia" w:ascii="Times New Roman" w:hAnsi="Times New Roman" w:eastAsia="宋体" w:cs="Times New Roman"/>
                <w:color w:val="auto"/>
                <w:sz w:val="24"/>
                <w:highlight w:val="none"/>
                <w:lang w:val="en-US" w:eastAsia="zh-CN"/>
              </w:rPr>
              <w:t>：通过优化燃烧过程的关键参数，减少氮氧化物的生成和排放。通过调整燃料与空气的混合比例，使一部分燃料过浓燃烧（缺氧环境），另一部分过淡燃烧（富氧环境），但整体空气量保持恒定。两种方式均偏离化学当量比，显著降低NOx生成。</w:t>
            </w:r>
          </w:p>
          <w:p w14:paraId="48D3EBC6">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46"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SNCR脱硝装置</w:t>
            </w:r>
            <w:r>
              <w:rPr>
                <w:rFonts w:hint="default" w:ascii="Times New Roman" w:hAnsi="Times New Roman" w:eastAsia="宋体" w:cs="Times New Roman"/>
                <w:color w:val="auto"/>
                <w:sz w:val="24"/>
                <w:highlight w:val="none"/>
              </w:rPr>
              <w:t>的工作机理</w:t>
            </w:r>
            <w:r>
              <w:rPr>
                <w:rFonts w:hint="eastAsia" w:ascii="Times New Roman" w:hAnsi="Times New Roman" w:eastAsia="宋体" w:cs="Times New Roman"/>
                <w:color w:val="auto"/>
                <w:sz w:val="24"/>
                <w:highlight w:val="none"/>
                <w:lang w:val="en-US" w:eastAsia="zh-CN"/>
              </w:rPr>
              <w:t>：即选择性非催化还原法，是一种高效且经济的氮氧化物去除技术。其核心原理在于利用尿素作为还原剂，在适宜的温度条件下与NOx进行化学反应，从而减少氮氧化物的排放。</w:t>
            </w:r>
          </w:p>
          <w:p w14:paraId="49B2BE44">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46"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在炉膛内，当温度处于800℃至1100℃的适宜范围内，含有NHx基的还原剂（尿素溶液）被喷入。还原剂在高温环境下迅速热解，生成NH</w:t>
            </w:r>
            <w:r>
              <w:rPr>
                <w:rFonts w:hint="eastAsia" w:ascii="Times New Roman" w:hAnsi="Times New Roman" w:eastAsia="宋体" w:cs="Times New Roman"/>
                <w:color w:val="auto"/>
                <w:sz w:val="24"/>
                <w:highlight w:val="none"/>
                <w:vertAlign w:val="subscript"/>
                <w:lang w:val="en-US" w:eastAsia="zh-CN"/>
              </w:rPr>
              <w:t>3</w:t>
            </w:r>
            <w:r>
              <w:rPr>
                <w:rFonts w:hint="eastAsia" w:ascii="Times New Roman" w:hAnsi="Times New Roman" w:eastAsia="宋体" w:cs="Times New Roman"/>
                <w:color w:val="auto"/>
                <w:sz w:val="24"/>
                <w:highlight w:val="none"/>
                <w:lang w:val="en-US" w:eastAsia="zh-CN"/>
              </w:rPr>
              <w:t>及其他副产物。紧接着，NH</w:t>
            </w:r>
            <w:r>
              <w:rPr>
                <w:rFonts w:hint="eastAsia" w:ascii="Times New Roman" w:hAnsi="Times New Roman" w:eastAsia="宋体" w:cs="Times New Roman"/>
                <w:color w:val="auto"/>
                <w:sz w:val="24"/>
                <w:highlight w:val="none"/>
                <w:vertAlign w:val="subscript"/>
                <w:lang w:val="en-US" w:eastAsia="zh-CN"/>
              </w:rPr>
              <w:t>3</w:t>
            </w:r>
            <w:r>
              <w:rPr>
                <w:rFonts w:hint="eastAsia" w:ascii="Times New Roman" w:hAnsi="Times New Roman" w:eastAsia="宋体" w:cs="Times New Roman"/>
                <w:color w:val="auto"/>
                <w:sz w:val="24"/>
                <w:highlight w:val="none"/>
                <w:lang w:val="en-US" w:eastAsia="zh-CN"/>
              </w:rPr>
              <w:t>与烟气中的NOx发生选择性非催化还原反应，最终生成无害的N</w:t>
            </w:r>
            <w:r>
              <w:rPr>
                <w:rFonts w:hint="eastAsia" w:ascii="Times New Roman" w:hAnsi="Times New Roman" w:eastAsia="宋体" w:cs="Times New Roman"/>
                <w:color w:val="auto"/>
                <w:sz w:val="24"/>
                <w:highlight w:val="none"/>
                <w:vertAlign w:val="subscript"/>
                <w:lang w:val="en-US" w:eastAsia="zh-CN"/>
              </w:rPr>
              <w:t>2</w:t>
            </w:r>
            <w:r>
              <w:rPr>
                <w:rFonts w:hint="eastAsia" w:ascii="Times New Roman" w:hAnsi="Times New Roman" w:eastAsia="宋体" w:cs="Times New Roman"/>
                <w:color w:val="auto"/>
                <w:sz w:val="24"/>
                <w:highlight w:val="none"/>
                <w:lang w:val="en-US" w:eastAsia="zh-CN"/>
              </w:rPr>
              <w:t>。</w:t>
            </w:r>
          </w:p>
          <w:p w14:paraId="7B943AC0">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46"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参照</w:t>
            </w:r>
            <w:r>
              <w:rPr>
                <w:rFonts w:hint="eastAsia" w:ascii="Times New Roman" w:hAnsi="Times New Roman" w:eastAsia="宋体" w:cs="Times New Roman"/>
                <w:color w:val="auto"/>
                <w:sz w:val="24"/>
                <w:highlight w:val="none"/>
                <w:lang w:eastAsia="zh-CN"/>
              </w:rPr>
              <w:t>《排污许可证申请与核发技术规范 石墨及其他非金属矿物制品制造》（HJ1119-2020）</w:t>
            </w:r>
            <w:r>
              <w:rPr>
                <w:rFonts w:hint="default" w:ascii="Times New Roman" w:hAnsi="Times New Roman" w:eastAsia="宋体" w:cs="Times New Roman"/>
                <w:color w:val="auto"/>
                <w:sz w:val="24"/>
                <w:highlight w:val="none"/>
                <w:lang w:val="en-US" w:eastAsia="zh-CN"/>
              </w:rPr>
              <w:t>中</w:t>
            </w:r>
            <w:r>
              <w:rPr>
                <w:rFonts w:hint="eastAsia" w:ascii="Times New Roman" w:hAnsi="Times New Roman" w:eastAsia="宋体" w:cs="Times New Roman"/>
                <w:color w:val="auto"/>
                <w:sz w:val="24"/>
                <w:highlight w:val="none"/>
                <w:lang w:val="en-US" w:eastAsia="zh-CN"/>
              </w:rPr>
              <w:t>附录A废水和废气污染防治可行技术参考表</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本项目为</w:t>
            </w:r>
            <w:r>
              <w:rPr>
                <w:rFonts w:hint="eastAsia" w:ascii="Times New Roman" w:hAnsi="Times New Roman" w:eastAsia="宋体" w:cs="Times New Roman"/>
                <w:color w:val="auto"/>
                <w:sz w:val="24"/>
                <w:highlight w:val="none"/>
                <w:lang w:eastAsia="zh-CN"/>
              </w:rPr>
              <w:t>C3099其他非金属矿物制品制造</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使用布袋除尘器处理粉尘</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使用</w:t>
            </w:r>
            <w:r>
              <w:rPr>
                <w:rFonts w:hint="eastAsia" w:ascii="Times New Roman" w:hAnsi="Times New Roman" w:eastAsia="宋体" w:cs="Times New Roman"/>
                <w:color w:val="auto"/>
                <w:sz w:val="24"/>
                <w:highlight w:val="none"/>
                <w:lang w:val="en-US" w:eastAsia="zh-CN"/>
              </w:rPr>
              <w:t>二级水喷淋处理氯化氢</w:t>
            </w:r>
            <w:r>
              <w:rPr>
                <w:rFonts w:hint="default" w:ascii="Times New Roman" w:hAnsi="Times New Roman" w:eastAsia="宋体" w:cs="Times New Roman"/>
                <w:color w:val="auto"/>
                <w:sz w:val="24"/>
                <w:highlight w:val="none"/>
                <w:lang w:val="en-US" w:eastAsia="zh-CN"/>
              </w:rPr>
              <w:t>，使用低氮燃烧器+SNCR脱硝装置</w:t>
            </w:r>
            <w:r>
              <w:rPr>
                <w:rFonts w:hint="eastAsia" w:ascii="Times New Roman" w:hAnsi="Times New Roman" w:eastAsia="宋体" w:cs="Times New Roman"/>
                <w:color w:val="auto"/>
                <w:sz w:val="24"/>
                <w:highlight w:val="none"/>
                <w:lang w:val="en-US" w:eastAsia="zh-CN"/>
              </w:rPr>
              <w:t>处理氮氧化物</w:t>
            </w:r>
            <w:r>
              <w:rPr>
                <w:rFonts w:hint="default" w:ascii="Times New Roman" w:hAnsi="Times New Roman" w:eastAsia="宋体" w:cs="Times New Roman"/>
                <w:color w:val="auto"/>
                <w:sz w:val="24"/>
                <w:highlight w:val="none"/>
              </w:rPr>
              <w:t>符合要求，属于可行性治理措施</w:t>
            </w:r>
            <w:r>
              <w:rPr>
                <w:rFonts w:hint="default" w:ascii="Times New Roman" w:hAnsi="Times New Roman" w:eastAsia="宋体" w:cs="Times New Roman"/>
                <w:color w:val="auto"/>
                <w:sz w:val="24"/>
                <w:highlight w:val="none"/>
                <w:lang w:val="en-US" w:eastAsia="zh-CN"/>
              </w:rPr>
              <w:t>。</w:t>
            </w:r>
          </w:p>
          <w:p w14:paraId="76E0CA46">
            <w:pPr>
              <w:keepNext w:val="0"/>
              <w:keepLines w:val="0"/>
              <w:suppressLineNumbers w:val="0"/>
              <w:spacing w:before="0" w:beforeAutospacing="0" w:after="0" w:afterAutospacing="0" w:line="360" w:lineRule="auto"/>
              <w:ind w:left="0" w:right="0" w:firstLine="241" w:firstLineChars="100"/>
              <w:rPr>
                <w:rFonts w:hint="eastAsia" w:ascii="Times New Roman" w:hAnsi="Times New Roman" w:cs="Times New Roman"/>
                <w:b/>
                <w:bCs/>
                <w:color w:val="000000"/>
                <w:sz w:val="24"/>
                <w:highlight w:val="none"/>
              </w:rPr>
            </w:pPr>
            <w:r>
              <w:rPr>
                <w:rFonts w:hint="eastAsia" w:ascii="Times New Roman" w:hAnsi="Times New Roman" w:cs="Times New Roman"/>
                <w:b/>
                <w:bCs/>
                <w:color w:val="000000"/>
                <w:sz w:val="24"/>
                <w:highlight w:val="none"/>
                <w:lang w:val="en-US" w:eastAsia="zh-CN"/>
              </w:rPr>
              <w:t>5、</w:t>
            </w:r>
            <w:r>
              <w:rPr>
                <w:rFonts w:hint="eastAsia" w:ascii="Times New Roman" w:hAnsi="Times New Roman" w:cs="Times New Roman"/>
                <w:b/>
                <w:bCs/>
                <w:color w:val="000000"/>
                <w:sz w:val="24"/>
                <w:highlight w:val="none"/>
              </w:rPr>
              <w:t>结论</w:t>
            </w:r>
          </w:p>
          <w:p w14:paraId="1F50A7F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rPr>
            </w:pPr>
            <w:r>
              <w:rPr>
                <w:rFonts w:hint="eastAsia" w:ascii="Times New Roman" w:hAnsi="Times New Roman" w:cs="Times New Roman"/>
                <w:color w:val="000000"/>
                <w:sz w:val="24"/>
                <w:highlight w:val="none"/>
              </w:rPr>
              <w:t>综上，</w:t>
            </w:r>
            <w:r>
              <w:rPr>
                <w:rFonts w:hint="eastAsia" w:ascii="Times New Roman" w:hAnsi="Times New Roman" w:cs="Times New Roman"/>
                <w:color w:val="000000"/>
                <w:sz w:val="24"/>
                <w:highlight w:val="none"/>
                <w:lang w:eastAsia="zh-CN"/>
              </w:rPr>
              <w:t>本项目</w:t>
            </w:r>
            <w:r>
              <w:rPr>
                <w:rFonts w:hint="eastAsia" w:ascii="Times New Roman" w:hAnsi="Times New Roman" w:cs="Times New Roman"/>
                <w:color w:val="000000"/>
                <w:sz w:val="24"/>
                <w:highlight w:val="none"/>
              </w:rPr>
              <w:t>位于环境空气不达标区，污染物治理措施可行，废气排放能够满足当地环保要求；</w:t>
            </w:r>
            <w:r>
              <w:rPr>
                <w:rFonts w:hint="eastAsia" w:ascii="Times New Roman" w:hAnsi="Times New Roman" w:cs="Times New Roman"/>
                <w:color w:val="000000"/>
                <w:sz w:val="24"/>
                <w:highlight w:val="none"/>
                <w:lang w:eastAsia="zh-CN"/>
              </w:rPr>
              <w:t>本项目</w:t>
            </w:r>
            <w:r>
              <w:rPr>
                <w:rFonts w:hint="eastAsia" w:ascii="Times New Roman" w:hAnsi="Times New Roman" w:cs="Times New Roman"/>
                <w:color w:val="000000"/>
                <w:sz w:val="24"/>
                <w:highlight w:val="none"/>
              </w:rPr>
              <w:t>不涉及有毒有害废气排放，污染物排放浓度达标，对周边大气环境敏感目标影响不大。因此，</w:t>
            </w:r>
            <w:r>
              <w:rPr>
                <w:rFonts w:hint="eastAsia" w:ascii="Times New Roman" w:hAnsi="Times New Roman" w:cs="Times New Roman"/>
                <w:color w:val="000000"/>
                <w:sz w:val="24"/>
                <w:highlight w:val="none"/>
                <w:lang w:eastAsia="zh-CN"/>
              </w:rPr>
              <w:t>本项目</w:t>
            </w:r>
            <w:r>
              <w:rPr>
                <w:rFonts w:hint="eastAsia" w:ascii="Times New Roman" w:hAnsi="Times New Roman" w:cs="Times New Roman"/>
                <w:color w:val="000000"/>
                <w:sz w:val="24"/>
                <w:highlight w:val="none"/>
              </w:rPr>
              <w:t>建设后对大气环境影响可以接受。</w:t>
            </w:r>
            <w:r>
              <w:rPr>
                <w:rFonts w:hint="eastAsia" w:ascii="Times New Roman" w:hAnsi="Times New Roman" w:eastAsia="宋体" w:cs="Times New Roman"/>
                <w:color w:val="auto"/>
                <w:sz w:val="24"/>
                <w:highlight w:val="none"/>
                <w:lang w:val="en-US" w:eastAsia="zh-CN"/>
              </w:rPr>
              <w:t xml:space="preserve"> </w:t>
            </w:r>
          </w:p>
          <w:p w14:paraId="20B41E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6"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二、废水</w:t>
            </w:r>
          </w:p>
          <w:p w14:paraId="7F214C0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（1）</w:t>
            </w:r>
            <w:r>
              <w:rPr>
                <w:rFonts w:hint="default" w:ascii="Calibri" w:hAnsi="Calibri" w:cs="Calibri"/>
                <w:color w:val="auto"/>
                <w:sz w:val="24"/>
                <w:szCs w:val="32"/>
                <w:highlight w:val="none"/>
              </w:rPr>
              <w:t>废水产生及排放情况</w:t>
            </w:r>
          </w:p>
          <w:p w14:paraId="55AAC977">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46" w:lineRule="auto"/>
              <w:ind w:left="0" w:right="0" w:firstLine="480" w:firstLineChars="200"/>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本项目废水主要为为生活污水</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压滤废水、</w:t>
            </w:r>
            <w:r>
              <w:rPr>
                <w:rFonts w:hint="eastAsia" w:ascii="Times New Roman" w:hAnsi="Times New Roman" w:cs="Times New Roman"/>
                <w:color w:val="auto"/>
                <w:sz w:val="24"/>
                <w:highlight w:val="none"/>
                <w:lang w:val="en-US" w:eastAsia="zh-CN"/>
              </w:rPr>
              <w:t>水喷淋废水</w:t>
            </w:r>
            <w:r>
              <w:rPr>
                <w:rFonts w:hint="default" w:ascii="Times New Roman" w:hAnsi="Times New Roman" w:cs="Times New Roman"/>
                <w:color w:val="auto"/>
                <w:sz w:val="24"/>
                <w:highlight w:val="none"/>
                <w:lang w:val="en-US" w:eastAsia="zh-CN"/>
              </w:rPr>
              <w:t>。</w:t>
            </w:r>
          </w:p>
          <w:p w14:paraId="2C11AC5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32"/>
                <w:highlight w:val="none"/>
                <w:lang w:eastAsia="zh-CN"/>
              </w:rPr>
            </w:pPr>
            <w:r>
              <w:rPr>
                <w:rFonts w:hint="default" w:ascii="Times New Roman" w:hAnsi="Times New Roman" w:cs="Times New Roman"/>
                <w:color w:val="auto"/>
                <w:sz w:val="24"/>
                <w:szCs w:val="32"/>
                <w:highlight w:val="none"/>
              </w:rPr>
              <w:t>生活污水</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生活污水产生量按生活用水量的80%计算，即</w:t>
            </w:r>
            <w:r>
              <w:rPr>
                <w:rFonts w:hint="eastAsia" w:ascii="Times New Roman" w:hAnsi="Times New Roman" w:cs="Times New Roman"/>
                <w:color w:val="auto"/>
                <w:sz w:val="24"/>
                <w:szCs w:val="32"/>
                <w:highlight w:val="none"/>
                <w:lang w:val="en-US" w:eastAsia="zh-CN"/>
              </w:rPr>
              <w:t>144</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eastAsia" w:ascii="Times New Roman" w:hAnsi="Times New Roman" w:cs="Times New Roman"/>
                <w:color w:val="auto"/>
                <w:sz w:val="24"/>
                <w:szCs w:val="32"/>
                <w:highlight w:val="none"/>
                <w:lang w:eastAsia="zh-CN"/>
              </w:rPr>
              <w:t>，</w:t>
            </w:r>
            <w:r>
              <w:rPr>
                <w:rFonts w:hint="eastAsia" w:ascii="Times New Roman" w:hAnsi="Times New Roman" w:eastAsia="宋体" w:cs="Times New Roman"/>
                <w:color w:val="auto"/>
                <w:sz w:val="24"/>
                <w:szCs w:val="32"/>
                <w:highlight w:val="none"/>
                <w:lang w:val="en-US" w:eastAsia="zh-CN"/>
              </w:rPr>
              <w:t>污染物</w:t>
            </w:r>
            <w:r>
              <w:rPr>
                <w:rFonts w:hint="eastAsia" w:ascii="Times New Roman" w:hAnsi="Times New Roman" w:eastAsia="宋体" w:cs="Times New Roman"/>
                <w:color w:val="auto"/>
                <w:sz w:val="24"/>
                <w:szCs w:val="32"/>
                <w:highlight w:val="none"/>
              </w:rPr>
              <w:t>产生浓度：</w:t>
            </w:r>
            <w:r>
              <w:rPr>
                <w:rFonts w:hint="default" w:ascii="Times New Roman" w:hAnsi="Times New Roman" w:eastAsia="宋体" w:cs="Times New Roman"/>
                <w:color w:val="auto"/>
                <w:sz w:val="24"/>
                <w:szCs w:val="32"/>
                <w:highlight w:val="none"/>
              </w:rPr>
              <w:t>COD</w:t>
            </w:r>
            <w:r>
              <w:rPr>
                <w:rFonts w:hint="eastAsia"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rPr>
              <w:t>350mg/L</w:t>
            </w:r>
            <w:r>
              <w:rPr>
                <w:rFonts w:hint="eastAsia"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rPr>
              <w:t>NH</w:t>
            </w:r>
            <w:r>
              <w:rPr>
                <w:rFonts w:hint="default" w:ascii="Times New Roman" w:hAnsi="Times New Roman" w:eastAsia="宋体" w:cs="Times New Roman"/>
                <w:color w:val="auto"/>
                <w:sz w:val="24"/>
                <w:szCs w:val="32"/>
                <w:highlight w:val="none"/>
                <w:vertAlign w:val="subscript"/>
              </w:rPr>
              <w:t>3</w:t>
            </w:r>
            <w:r>
              <w:rPr>
                <w:rFonts w:hint="default" w:ascii="Times New Roman" w:hAnsi="Times New Roman" w:eastAsia="宋体" w:cs="Times New Roman"/>
                <w:color w:val="auto"/>
                <w:sz w:val="24"/>
                <w:szCs w:val="32"/>
                <w:highlight w:val="none"/>
              </w:rPr>
              <w:t>-N</w:t>
            </w:r>
            <w:r>
              <w:rPr>
                <w:rFonts w:hint="eastAsia"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rPr>
              <w:t>25mg/L</w:t>
            </w:r>
            <w:r>
              <w:rPr>
                <w:rFonts w:hint="eastAsia" w:ascii="Times New Roman" w:hAnsi="Times New Roman" w:eastAsia="宋体" w:cs="Times New Roman"/>
                <w:color w:val="auto"/>
                <w:sz w:val="24"/>
                <w:szCs w:val="32"/>
                <w:highlight w:val="none"/>
              </w:rPr>
              <w:t>，则</w:t>
            </w:r>
            <w:r>
              <w:rPr>
                <w:rFonts w:hint="default" w:ascii="Times New Roman" w:hAnsi="Times New Roman" w:eastAsia="宋体" w:cs="Times New Roman"/>
                <w:color w:val="auto"/>
                <w:sz w:val="24"/>
                <w:szCs w:val="32"/>
                <w:highlight w:val="none"/>
              </w:rPr>
              <w:t>COD</w:t>
            </w:r>
            <w:r>
              <w:rPr>
                <w:rFonts w:hint="eastAsia" w:ascii="Times New Roman" w:hAnsi="Times New Roman" w:eastAsia="宋体" w:cs="Times New Roman"/>
                <w:color w:val="auto"/>
                <w:sz w:val="24"/>
                <w:szCs w:val="32"/>
                <w:highlight w:val="none"/>
              </w:rPr>
              <w:t>产生量为</w:t>
            </w:r>
            <w:r>
              <w:rPr>
                <w:rFonts w:hint="eastAsia" w:ascii="Times New Roman" w:hAnsi="Times New Roman" w:eastAsia="宋体" w:cs="Times New Roman"/>
                <w:color w:val="auto"/>
                <w:sz w:val="24"/>
                <w:szCs w:val="32"/>
                <w:highlight w:val="none"/>
                <w:lang w:val="en-US" w:eastAsia="zh-CN"/>
              </w:rPr>
              <w:t>0.05t</w:t>
            </w:r>
            <w:r>
              <w:rPr>
                <w:rFonts w:hint="default" w:ascii="Times New Roman" w:hAnsi="Times New Roman" w:eastAsia="宋体" w:cs="Times New Roman"/>
                <w:color w:val="auto"/>
                <w:sz w:val="24"/>
                <w:szCs w:val="32"/>
                <w:highlight w:val="none"/>
              </w:rPr>
              <w:t>/a</w:t>
            </w:r>
            <w:r>
              <w:rPr>
                <w:rFonts w:hint="eastAsia"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rPr>
              <w:t>NH</w:t>
            </w:r>
            <w:r>
              <w:rPr>
                <w:rFonts w:hint="default" w:ascii="Times New Roman" w:hAnsi="Times New Roman" w:eastAsia="宋体" w:cs="Times New Roman"/>
                <w:color w:val="auto"/>
                <w:sz w:val="24"/>
                <w:szCs w:val="32"/>
                <w:highlight w:val="none"/>
                <w:vertAlign w:val="subscript"/>
              </w:rPr>
              <w:t>3</w:t>
            </w:r>
            <w:r>
              <w:rPr>
                <w:rFonts w:hint="default" w:ascii="Times New Roman" w:hAnsi="Times New Roman" w:eastAsia="宋体" w:cs="Times New Roman"/>
                <w:color w:val="auto"/>
                <w:sz w:val="24"/>
                <w:szCs w:val="32"/>
                <w:highlight w:val="none"/>
              </w:rPr>
              <w:t>-N</w:t>
            </w:r>
            <w:r>
              <w:rPr>
                <w:rFonts w:hint="eastAsia" w:ascii="Times New Roman" w:hAnsi="Times New Roman" w:eastAsia="宋体" w:cs="Times New Roman"/>
                <w:color w:val="auto"/>
                <w:sz w:val="24"/>
                <w:szCs w:val="32"/>
                <w:highlight w:val="none"/>
              </w:rPr>
              <w:t>产生量为</w:t>
            </w:r>
            <w:r>
              <w:rPr>
                <w:rFonts w:hint="eastAsia" w:ascii="Times New Roman" w:hAnsi="Times New Roman" w:eastAsia="宋体" w:cs="Times New Roman"/>
                <w:color w:val="auto"/>
                <w:sz w:val="24"/>
                <w:szCs w:val="32"/>
                <w:highlight w:val="none"/>
                <w:lang w:val="en-US" w:eastAsia="zh-CN"/>
              </w:rPr>
              <w:t>0.004</w:t>
            </w:r>
            <w:r>
              <w:rPr>
                <w:rFonts w:hint="default" w:ascii="Times New Roman" w:hAnsi="Times New Roman" w:eastAsia="宋体" w:cs="Times New Roman"/>
                <w:color w:val="auto"/>
                <w:sz w:val="24"/>
                <w:szCs w:val="32"/>
                <w:highlight w:val="none"/>
              </w:rPr>
              <w:t>t/a</w:t>
            </w:r>
            <w:r>
              <w:rPr>
                <w:rFonts w:hint="eastAsia" w:ascii="Times New Roman" w:hAnsi="Times New Roman" w:eastAsia="宋体" w:cs="Times New Roman"/>
                <w:color w:val="auto"/>
                <w:sz w:val="24"/>
                <w:szCs w:val="32"/>
                <w:highlight w:val="none"/>
                <w:lang w:eastAsia="zh-CN"/>
              </w:rPr>
              <w:t>。</w:t>
            </w:r>
          </w:p>
          <w:p w14:paraId="6545A93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压滤废水：压滤废水产生量按搅拌用水</w:t>
            </w:r>
            <w:r>
              <w:rPr>
                <w:rFonts w:hint="default" w:ascii="Times New Roman" w:hAnsi="Times New Roman" w:cs="Times New Roman"/>
                <w:color w:val="auto"/>
                <w:sz w:val="24"/>
                <w:szCs w:val="32"/>
                <w:highlight w:val="none"/>
              </w:rPr>
              <w:t>量的80%计算，即</w:t>
            </w:r>
            <w:r>
              <w:rPr>
                <w:rFonts w:hint="eastAsia" w:ascii="Times New Roman" w:hAnsi="Times New Roman" w:cs="Times New Roman"/>
                <w:color w:val="auto"/>
                <w:sz w:val="24"/>
                <w:szCs w:val="32"/>
                <w:highlight w:val="none"/>
                <w:lang w:val="en-US" w:eastAsia="zh-CN"/>
              </w:rPr>
              <w:t>24000</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eastAsia" w:ascii="Times New Roman" w:hAnsi="Times New Roman" w:cs="Times New Roman"/>
                <w:color w:val="auto"/>
                <w:sz w:val="24"/>
                <w:szCs w:val="32"/>
                <w:highlight w:val="none"/>
                <w:lang w:eastAsia="zh-CN"/>
              </w:rPr>
              <w:t>根据企业提供</w:t>
            </w:r>
            <w:r>
              <w:rPr>
                <w:rFonts w:hint="eastAsia" w:ascii="Times New Roman" w:hAnsi="Times New Roman" w:cs="Times New Roman"/>
                <w:color w:val="auto"/>
                <w:sz w:val="24"/>
                <w:szCs w:val="32"/>
                <w:highlight w:val="none"/>
                <w:lang w:val="en-US" w:eastAsia="zh-CN"/>
              </w:rPr>
              <w:t>的实验</w:t>
            </w:r>
            <w:r>
              <w:rPr>
                <w:rFonts w:hint="eastAsia" w:ascii="Times New Roman" w:hAnsi="Times New Roman" w:cs="Times New Roman"/>
                <w:color w:val="auto"/>
                <w:sz w:val="24"/>
                <w:szCs w:val="32"/>
                <w:highlight w:val="none"/>
                <w:lang w:eastAsia="zh-CN"/>
              </w:rPr>
              <w:t>资料，</w:t>
            </w:r>
            <w:r>
              <w:rPr>
                <w:rFonts w:hint="eastAsia" w:ascii="Times New Roman" w:hAnsi="Times New Roman" w:eastAsia="宋体" w:cs="Times New Roman"/>
                <w:color w:val="auto"/>
                <w:sz w:val="24"/>
                <w:szCs w:val="32"/>
                <w:highlight w:val="none"/>
                <w:lang w:val="en-US" w:eastAsia="zh-CN"/>
              </w:rPr>
              <w:t>污染物</w:t>
            </w:r>
            <w:r>
              <w:rPr>
                <w:rFonts w:hint="eastAsia" w:ascii="Times New Roman" w:hAnsi="Times New Roman" w:eastAsia="宋体" w:cs="Times New Roman"/>
                <w:color w:val="auto"/>
                <w:sz w:val="24"/>
                <w:szCs w:val="32"/>
                <w:highlight w:val="none"/>
              </w:rPr>
              <w:t>产生浓度：</w:t>
            </w:r>
            <w:r>
              <w:rPr>
                <w:rFonts w:hint="eastAsia" w:ascii="Times New Roman" w:hAnsi="Times New Roman" w:eastAsia="宋体" w:cs="Times New Roman"/>
                <w:color w:val="auto"/>
                <w:sz w:val="24"/>
                <w:szCs w:val="32"/>
                <w:highlight w:val="none"/>
                <w:lang w:val="en-US" w:eastAsia="zh-CN"/>
              </w:rPr>
              <w:t>pH：</w:t>
            </w:r>
            <w:r>
              <w:rPr>
                <w:rFonts w:hint="eastAsia" w:cs="Times New Roman"/>
                <w:color w:val="auto"/>
                <w:sz w:val="24"/>
                <w:szCs w:val="32"/>
                <w:highlight w:val="none"/>
                <w:lang w:val="en-US" w:eastAsia="zh-CN"/>
              </w:rPr>
              <w:t>7</w:t>
            </w:r>
            <w:r>
              <w:rPr>
                <w:rFonts w:hint="eastAsia" w:ascii="Times New Roman" w:hAnsi="Times New Roman" w:eastAsia="宋体" w:cs="Times New Roman"/>
                <w:color w:val="auto"/>
                <w:sz w:val="24"/>
                <w:szCs w:val="32"/>
                <w:highlight w:val="none"/>
                <w:lang w:val="en-US" w:eastAsia="zh-CN"/>
              </w:rPr>
              <w:t>（无量纲），SS</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800</w:t>
            </w:r>
            <w:r>
              <w:rPr>
                <w:rFonts w:hint="default" w:ascii="Times New Roman" w:hAnsi="Times New Roman" w:eastAsia="宋体" w:cs="Times New Roman"/>
                <w:color w:val="auto"/>
                <w:sz w:val="24"/>
                <w:szCs w:val="32"/>
                <w:highlight w:val="none"/>
              </w:rPr>
              <w:t>mg/L</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全盐量</w:t>
            </w:r>
            <w:r>
              <w:rPr>
                <w:rFonts w:hint="eastAsia" w:ascii="Times New Roman" w:hAnsi="Times New Roman" w:eastAsia="宋体" w:cs="Times New Roman"/>
                <w:color w:val="auto"/>
                <w:sz w:val="24"/>
                <w:szCs w:val="32"/>
                <w:highlight w:val="none"/>
              </w:rPr>
              <w:t>：</w:t>
            </w:r>
            <w:r>
              <w:rPr>
                <w:rFonts w:hint="eastAsia" w:cs="Times New Roman"/>
                <w:color w:val="auto"/>
                <w:sz w:val="24"/>
                <w:szCs w:val="32"/>
                <w:highlight w:val="none"/>
                <w:lang w:val="en-US" w:eastAsia="zh-CN"/>
              </w:rPr>
              <w:t>9229.17</w:t>
            </w:r>
            <w:r>
              <w:rPr>
                <w:rFonts w:hint="default" w:ascii="Times New Roman" w:hAnsi="Times New Roman" w:eastAsia="宋体" w:cs="Times New Roman"/>
                <w:color w:val="auto"/>
                <w:sz w:val="24"/>
                <w:szCs w:val="32"/>
                <w:highlight w:val="none"/>
              </w:rPr>
              <w:t>mg/L</w:t>
            </w:r>
            <w:r>
              <w:rPr>
                <w:rFonts w:hint="eastAsia" w:ascii="Times New Roman" w:hAnsi="Times New Roman" w:eastAsia="宋体" w:cs="Times New Roman"/>
                <w:color w:val="auto"/>
                <w:sz w:val="24"/>
                <w:szCs w:val="32"/>
                <w:highlight w:val="none"/>
              </w:rPr>
              <w:t>，则</w:t>
            </w:r>
            <w:r>
              <w:rPr>
                <w:rFonts w:hint="eastAsia" w:ascii="Times New Roman" w:hAnsi="Times New Roman" w:eastAsia="宋体" w:cs="Times New Roman"/>
                <w:color w:val="auto"/>
                <w:sz w:val="24"/>
                <w:szCs w:val="32"/>
                <w:highlight w:val="none"/>
                <w:lang w:val="en-US" w:eastAsia="zh-CN"/>
              </w:rPr>
              <w:t>SS</w:t>
            </w:r>
            <w:r>
              <w:rPr>
                <w:rFonts w:hint="eastAsia" w:ascii="Times New Roman" w:hAnsi="Times New Roman" w:eastAsia="宋体" w:cs="Times New Roman"/>
                <w:color w:val="auto"/>
                <w:sz w:val="24"/>
                <w:szCs w:val="32"/>
                <w:highlight w:val="none"/>
              </w:rPr>
              <w:t>产生量为</w:t>
            </w:r>
            <w:r>
              <w:rPr>
                <w:rFonts w:hint="eastAsia" w:ascii="Times New Roman" w:hAnsi="Times New Roman" w:eastAsia="宋体" w:cs="Times New Roman"/>
                <w:color w:val="auto"/>
                <w:sz w:val="24"/>
                <w:szCs w:val="32"/>
                <w:highlight w:val="none"/>
                <w:lang w:val="en-US" w:eastAsia="zh-CN"/>
              </w:rPr>
              <w:t>19.2t</w:t>
            </w:r>
            <w:r>
              <w:rPr>
                <w:rFonts w:hint="default" w:ascii="Times New Roman" w:hAnsi="Times New Roman" w:eastAsia="宋体" w:cs="Times New Roman"/>
                <w:color w:val="auto"/>
                <w:sz w:val="24"/>
                <w:szCs w:val="32"/>
                <w:highlight w:val="none"/>
              </w:rPr>
              <w:t>/a</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全盐量</w:t>
            </w:r>
            <w:r>
              <w:rPr>
                <w:rFonts w:hint="eastAsia" w:ascii="Times New Roman" w:hAnsi="Times New Roman" w:eastAsia="宋体" w:cs="Times New Roman"/>
                <w:color w:val="auto"/>
                <w:sz w:val="24"/>
                <w:szCs w:val="32"/>
                <w:highlight w:val="none"/>
              </w:rPr>
              <w:t>产生量为</w:t>
            </w:r>
            <w:r>
              <w:rPr>
                <w:rFonts w:hint="eastAsia" w:cs="Times New Roman"/>
                <w:color w:val="auto"/>
                <w:sz w:val="24"/>
                <w:szCs w:val="32"/>
                <w:highlight w:val="none"/>
                <w:lang w:val="en-US" w:eastAsia="zh-CN"/>
              </w:rPr>
              <w:t>221.5</w:t>
            </w:r>
            <w:r>
              <w:rPr>
                <w:rFonts w:hint="default" w:ascii="Times New Roman" w:hAnsi="Times New Roman" w:eastAsia="宋体" w:cs="Times New Roman"/>
                <w:color w:val="auto"/>
                <w:sz w:val="24"/>
                <w:szCs w:val="32"/>
                <w:highlight w:val="none"/>
              </w:rPr>
              <w:t>t/a</w:t>
            </w:r>
            <w:r>
              <w:rPr>
                <w:rFonts w:hint="eastAsia" w:ascii="Times New Roman" w:hAnsi="Times New Roman" w:eastAsia="宋体" w:cs="Times New Roman"/>
                <w:color w:val="auto"/>
                <w:sz w:val="24"/>
                <w:szCs w:val="32"/>
                <w:highlight w:val="none"/>
                <w:lang w:eastAsia="zh-CN"/>
              </w:rPr>
              <w:t>。</w:t>
            </w:r>
          </w:p>
          <w:p w14:paraId="19F551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6" w:lineRule="auto"/>
              <w:ind w:left="0" w:right="0" w:firstLine="480" w:firstLineChars="200"/>
              <w:rPr>
                <w:rFonts w:hint="eastAsia"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水喷淋废水：二级水喷淋</w:t>
            </w:r>
            <w:r>
              <w:rPr>
                <w:rFonts w:hint="eastAsia" w:ascii="Times New Roman" w:hAnsi="Times New Roman" w:eastAsia="宋体" w:cs="Times New Roman"/>
                <w:color w:val="000000"/>
                <w:sz w:val="24"/>
                <w:szCs w:val="24"/>
                <w:highlight w:val="none"/>
                <w:lang w:val="en-US" w:eastAsia="zh-CN"/>
              </w:rPr>
              <w:t>配套循环水池容积为3m</w:t>
            </w:r>
            <w:r>
              <w:rPr>
                <w:rFonts w:hint="eastAsia" w:ascii="Times New Roman" w:hAnsi="Times New Roman" w:eastAsia="宋体" w:cs="Times New Roman"/>
                <w:color w:val="000000"/>
                <w:sz w:val="24"/>
                <w:szCs w:val="24"/>
                <w:highlight w:val="none"/>
                <w:vertAlign w:val="superscript"/>
                <w:lang w:val="en-US" w:eastAsia="zh-CN"/>
              </w:rPr>
              <w:t>3</w:t>
            </w:r>
            <w:r>
              <w:rPr>
                <w:rFonts w:hint="eastAsia" w:ascii="Times New Roman" w:hAnsi="Times New Roman" w:eastAsia="宋体" w:cs="Times New Roman"/>
                <w:color w:val="000000"/>
                <w:sz w:val="24"/>
                <w:szCs w:val="24"/>
                <w:highlight w:val="none"/>
                <w:lang w:val="en-US" w:eastAsia="zh-CN"/>
              </w:rPr>
              <w:t>，每月更换一次，</w:t>
            </w:r>
            <w:r>
              <w:rPr>
                <w:rFonts w:hint="eastAsia" w:ascii="Times New Roman" w:hAnsi="Times New Roman" w:eastAsia="宋体" w:cs="Times New Roman"/>
                <w:color w:val="auto"/>
                <w:sz w:val="24"/>
                <w:szCs w:val="32"/>
                <w:highlight w:val="none"/>
                <w:lang w:val="en-US" w:eastAsia="zh-CN"/>
              </w:rPr>
              <w:t>喷淋废水产生量为36</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/a，</w:t>
            </w:r>
            <w:r>
              <w:rPr>
                <w:rFonts w:hint="default" w:ascii="Times New Roman" w:hAnsi="Times New Roman" w:cs="Times New Roman"/>
                <w:color w:val="auto"/>
                <w:sz w:val="24"/>
                <w:szCs w:val="32"/>
                <w:highlight w:val="none"/>
                <w:lang w:eastAsia="zh-CN"/>
              </w:rPr>
              <w:t>根据企业提供</w:t>
            </w:r>
            <w:r>
              <w:rPr>
                <w:rFonts w:hint="default" w:ascii="Times New Roman" w:hAnsi="Times New Roman" w:cs="Times New Roman"/>
                <w:color w:val="auto"/>
                <w:sz w:val="24"/>
                <w:szCs w:val="32"/>
                <w:highlight w:val="none"/>
                <w:lang w:val="en-US" w:eastAsia="zh-CN"/>
              </w:rPr>
              <w:t>的实验</w:t>
            </w:r>
            <w:r>
              <w:rPr>
                <w:rFonts w:hint="default" w:ascii="Times New Roman" w:hAnsi="Times New Roman" w:cs="Times New Roman"/>
                <w:color w:val="auto"/>
                <w:sz w:val="24"/>
                <w:szCs w:val="32"/>
                <w:highlight w:val="none"/>
                <w:lang w:eastAsia="zh-CN"/>
              </w:rPr>
              <w:t>资料，</w:t>
            </w:r>
            <w:r>
              <w:rPr>
                <w:rFonts w:hint="eastAsia" w:ascii="Times New Roman" w:hAnsi="Times New Roman" w:eastAsia="宋体" w:cs="Times New Roman"/>
                <w:color w:val="auto"/>
                <w:sz w:val="24"/>
                <w:szCs w:val="32"/>
                <w:highlight w:val="none"/>
                <w:lang w:val="en-US" w:eastAsia="zh-CN"/>
              </w:rPr>
              <w:t>污染物</w:t>
            </w:r>
            <w:r>
              <w:rPr>
                <w:rFonts w:hint="eastAsia" w:ascii="Times New Roman" w:hAnsi="Times New Roman" w:eastAsia="宋体" w:cs="Times New Roman"/>
                <w:color w:val="auto"/>
                <w:sz w:val="24"/>
                <w:szCs w:val="32"/>
                <w:highlight w:val="none"/>
              </w:rPr>
              <w:t>产生浓度：</w:t>
            </w:r>
            <w:r>
              <w:rPr>
                <w:rFonts w:hint="eastAsia" w:ascii="Times New Roman" w:hAnsi="Times New Roman" w:eastAsia="宋体" w:cs="Times New Roman"/>
                <w:color w:val="auto"/>
                <w:sz w:val="24"/>
                <w:szCs w:val="32"/>
                <w:highlight w:val="none"/>
                <w:lang w:val="en-US" w:eastAsia="zh-CN"/>
              </w:rPr>
              <w:t>pH：4（无量纲），SS</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500</w:t>
            </w:r>
            <w:r>
              <w:rPr>
                <w:rFonts w:hint="default" w:ascii="Times New Roman" w:hAnsi="Times New Roman" w:eastAsia="宋体" w:cs="Times New Roman"/>
                <w:color w:val="auto"/>
                <w:sz w:val="24"/>
                <w:szCs w:val="32"/>
                <w:highlight w:val="none"/>
              </w:rPr>
              <w:t>mg/L</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全盐量</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400</w:t>
            </w:r>
            <w:r>
              <w:rPr>
                <w:rFonts w:hint="default" w:ascii="Times New Roman" w:hAnsi="Times New Roman" w:eastAsia="宋体" w:cs="Times New Roman"/>
                <w:color w:val="auto"/>
                <w:sz w:val="24"/>
                <w:szCs w:val="32"/>
                <w:highlight w:val="none"/>
              </w:rPr>
              <w:t>mg/L</w:t>
            </w:r>
            <w:r>
              <w:rPr>
                <w:rFonts w:hint="eastAsia" w:ascii="Times New Roman" w:hAnsi="Times New Roman" w:eastAsia="宋体" w:cs="Times New Roman"/>
                <w:color w:val="auto"/>
                <w:sz w:val="24"/>
                <w:szCs w:val="32"/>
                <w:highlight w:val="none"/>
              </w:rPr>
              <w:t>，则</w:t>
            </w:r>
            <w:r>
              <w:rPr>
                <w:rFonts w:hint="eastAsia" w:ascii="Times New Roman" w:hAnsi="Times New Roman" w:eastAsia="宋体" w:cs="Times New Roman"/>
                <w:color w:val="auto"/>
                <w:sz w:val="24"/>
                <w:szCs w:val="32"/>
                <w:highlight w:val="none"/>
                <w:lang w:val="en-US" w:eastAsia="zh-CN"/>
              </w:rPr>
              <w:t>SS</w:t>
            </w:r>
            <w:r>
              <w:rPr>
                <w:rFonts w:hint="eastAsia" w:ascii="Times New Roman" w:hAnsi="Times New Roman" w:eastAsia="宋体" w:cs="Times New Roman"/>
                <w:color w:val="auto"/>
                <w:sz w:val="24"/>
                <w:szCs w:val="32"/>
                <w:highlight w:val="none"/>
              </w:rPr>
              <w:t>产生量为</w:t>
            </w:r>
            <w:r>
              <w:rPr>
                <w:rFonts w:hint="eastAsia" w:ascii="Times New Roman" w:hAnsi="Times New Roman" w:eastAsia="宋体" w:cs="Times New Roman"/>
                <w:color w:val="auto"/>
                <w:sz w:val="24"/>
                <w:szCs w:val="32"/>
                <w:highlight w:val="none"/>
                <w:lang w:val="en-US" w:eastAsia="zh-CN"/>
              </w:rPr>
              <w:t>0.018t</w:t>
            </w:r>
            <w:r>
              <w:rPr>
                <w:rFonts w:hint="default" w:ascii="Times New Roman" w:hAnsi="Times New Roman" w:eastAsia="宋体" w:cs="Times New Roman"/>
                <w:color w:val="auto"/>
                <w:sz w:val="24"/>
                <w:szCs w:val="32"/>
                <w:highlight w:val="none"/>
              </w:rPr>
              <w:t>/a</w:t>
            </w:r>
            <w:r>
              <w:rPr>
                <w:rFonts w:hint="eastAsia" w:ascii="Times New Roman" w:hAnsi="Times New Roman" w:eastAsia="宋体" w:cs="Times New Roman"/>
                <w:color w:val="auto"/>
                <w:sz w:val="24"/>
                <w:szCs w:val="32"/>
                <w:highlight w:val="none"/>
              </w:rPr>
              <w:t>，</w:t>
            </w:r>
            <w:r>
              <w:rPr>
                <w:rFonts w:hint="eastAsia" w:ascii="Times New Roman" w:hAnsi="Times New Roman" w:eastAsia="宋体" w:cs="Times New Roman"/>
                <w:color w:val="auto"/>
                <w:sz w:val="24"/>
                <w:szCs w:val="32"/>
                <w:highlight w:val="none"/>
                <w:lang w:val="en-US" w:eastAsia="zh-CN"/>
              </w:rPr>
              <w:t>全盐量</w:t>
            </w:r>
            <w:r>
              <w:rPr>
                <w:rFonts w:hint="eastAsia" w:ascii="Times New Roman" w:hAnsi="Times New Roman" w:eastAsia="宋体" w:cs="Times New Roman"/>
                <w:color w:val="auto"/>
                <w:sz w:val="24"/>
                <w:szCs w:val="32"/>
                <w:highlight w:val="none"/>
              </w:rPr>
              <w:t>产生量为</w:t>
            </w:r>
            <w:r>
              <w:rPr>
                <w:rFonts w:hint="eastAsia" w:ascii="Times New Roman" w:hAnsi="Times New Roman" w:eastAsia="宋体" w:cs="Times New Roman"/>
                <w:color w:val="auto"/>
                <w:sz w:val="24"/>
                <w:szCs w:val="32"/>
                <w:highlight w:val="none"/>
                <w:lang w:val="en-US" w:eastAsia="zh-CN"/>
              </w:rPr>
              <w:t>0.014</w:t>
            </w:r>
            <w:r>
              <w:rPr>
                <w:rFonts w:hint="default" w:ascii="Times New Roman" w:hAnsi="Times New Roman" w:eastAsia="宋体" w:cs="Times New Roman"/>
                <w:color w:val="auto"/>
                <w:sz w:val="24"/>
                <w:szCs w:val="32"/>
                <w:highlight w:val="none"/>
              </w:rPr>
              <w:t>t/a</w:t>
            </w:r>
            <w:r>
              <w:rPr>
                <w:rFonts w:hint="eastAsia" w:ascii="Times New Roman" w:hAnsi="Times New Roman" w:cs="Times New Roman"/>
                <w:color w:val="auto"/>
                <w:sz w:val="24"/>
                <w:szCs w:val="32"/>
                <w:highlight w:val="none"/>
                <w:lang w:val="en-US" w:eastAsia="zh-CN"/>
              </w:rPr>
              <w:t>。</w:t>
            </w:r>
          </w:p>
          <w:p w14:paraId="6516D8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6" w:lineRule="auto"/>
              <w:ind w:left="0" w:right="0" w:firstLine="480" w:firstLineChars="200"/>
              <w:rPr>
                <w:rFonts w:hint="eastAsia"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生活污水经化粪池处理，压滤废水、水喷淋废水通过厂区污水设备处理达标后，与生活污水一同经污水管网排入至葛洲坝水务淄博淄川有限公司。</w:t>
            </w:r>
          </w:p>
          <w:p w14:paraId="196BB0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6" w:lineRule="auto"/>
              <w:ind w:left="0" w:right="0" w:firstLine="480" w:firstLineChars="200"/>
              <w:rPr>
                <w:rFonts w:hint="default"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厂区污水处理设备工艺为：</w:t>
            </w:r>
            <w:r>
              <w:rPr>
                <w:rFonts w:hint="eastAsia" w:cs="Times New Roman"/>
                <w:color w:val="auto"/>
                <w:sz w:val="24"/>
                <w:szCs w:val="32"/>
                <w:highlight w:val="none"/>
                <w:lang w:val="en-US" w:eastAsia="zh-CN"/>
              </w:rPr>
              <w:t>调节池+絮凝沉淀池+澄清池+普通快滤池+离子交换树脂过滤</w:t>
            </w:r>
            <w:r>
              <w:rPr>
                <w:rFonts w:hint="eastAsia" w:ascii="Times New Roman" w:hAnsi="Times New Roman" w:cs="Times New Roman"/>
                <w:color w:val="auto"/>
                <w:sz w:val="24"/>
                <w:szCs w:val="32"/>
                <w:highlight w:val="none"/>
                <w:lang w:val="en-US" w:eastAsia="zh-CN"/>
              </w:rPr>
              <w:t>。</w:t>
            </w:r>
          </w:p>
          <w:p w14:paraId="15EE26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cs="Times New Roman"/>
                <w:b/>
                <w:color w:val="auto"/>
                <w:szCs w:val="21"/>
                <w:highlight w:val="none"/>
                <w:lang w:val="en-US" w:eastAsia="zh-CN"/>
              </w:rPr>
              <w:t>6</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污染物产排污汇总表</w:t>
            </w:r>
          </w:p>
          <w:tbl>
            <w:tblPr>
              <w:tblStyle w:val="32"/>
              <w:tblW w:w="498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81"/>
              <w:gridCol w:w="1189"/>
              <w:gridCol w:w="774"/>
              <w:gridCol w:w="1009"/>
              <w:gridCol w:w="1317"/>
              <w:gridCol w:w="1104"/>
              <w:gridCol w:w="1200"/>
              <w:gridCol w:w="1236"/>
            </w:tblGrid>
            <w:tr w14:paraId="4F6E00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77" w:hRule="atLeast"/>
                <w:jc w:val="center"/>
              </w:trPr>
              <w:tc>
                <w:tcPr>
                  <w:tcW w:w="881" w:type="dxa"/>
                  <w:tcBorders>
                    <w:tl2br w:val="nil"/>
                    <w:tr2bl w:val="nil"/>
                  </w:tcBorders>
                  <w:noWrap w:val="0"/>
                  <w:vAlign w:val="center"/>
                </w:tcPr>
                <w:p w14:paraId="3DC53599">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产排污环节</w:t>
                  </w:r>
                </w:p>
              </w:tc>
              <w:tc>
                <w:tcPr>
                  <w:tcW w:w="1189" w:type="dxa"/>
                  <w:tcBorders>
                    <w:tl2br w:val="nil"/>
                    <w:tr2bl w:val="nil"/>
                  </w:tcBorders>
                  <w:noWrap w:val="0"/>
                  <w:vAlign w:val="center"/>
                </w:tcPr>
                <w:p w14:paraId="3D7952BD">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类别</w:t>
                  </w:r>
                </w:p>
              </w:tc>
              <w:tc>
                <w:tcPr>
                  <w:tcW w:w="774" w:type="dxa"/>
                  <w:tcBorders>
                    <w:tl2br w:val="nil"/>
                    <w:tr2bl w:val="nil"/>
                  </w:tcBorders>
                  <w:noWrap w:val="0"/>
                  <w:vAlign w:val="center"/>
                </w:tcPr>
                <w:p w14:paraId="432389E4">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废水产生量t</w:t>
                  </w:r>
                  <w:r>
                    <w:rPr>
                      <w:rFonts w:hint="default" w:ascii="Times New Roman" w:hAnsi="Times New Roman" w:cs="Times New Roman"/>
                      <w:b/>
                      <w:bCs/>
                      <w:color w:val="auto"/>
                      <w:sz w:val="21"/>
                      <w:szCs w:val="21"/>
                      <w:highlight w:val="none"/>
                    </w:rPr>
                    <w:t>/a</w:t>
                  </w:r>
                </w:p>
              </w:tc>
              <w:tc>
                <w:tcPr>
                  <w:tcW w:w="1009" w:type="dxa"/>
                  <w:tcBorders>
                    <w:tl2br w:val="nil"/>
                    <w:tr2bl w:val="nil"/>
                  </w:tcBorders>
                  <w:noWrap w:val="0"/>
                  <w:vAlign w:val="center"/>
                </w:tcPr>
                <w:p w14:paraId="4E929096">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污染物种类</w:t>
                  </w:r>
                </w:p>
              </w:tc>
              <w:tc>
                <w:tcPr>
                  <w:tcW w:w="1317" w:type="dxa"/>
                  <w:tcBorders>
                    <w:tl2br w:val="nil"/>
                    <w:tr2bl w:val="nil"/>
                  </w:tcBorders>
                  <w:noWrap w:val="0"/>
                  <w:vAlign w:val="center"/>
                </w:tcPr>
                <w:p w14:paraId="07C4DC1D">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产生量</w:t>
                  </w:r>
                </w:p>
              </w:tc>
              <w:tc>
                <w:tcPr>
                  <w:tcW w:w="1104" w:type="dxa"/>
                  <w:tcBorders>
                    <w:tl2br w:val="nil"/>
                    <w:tr2bl w:val="nil"/>
                  </w:tcBorders>
                  <w:noWrap w:val="0"/>
                  <w:vAlign w:val="center"/>
                </w:tcPr>
                <w:p w14:paraId="6A9FEB82">
                  <w:pPr>
                    <w:keepNext w:val="0"/>
                    <w:keepLines w:val="0"/>
                    <w:widowControl/>
                    <w:suppressLineNumbers w:val="0"/>
                    <w:spacing w:before="0" w:beforeAutospacing="0" w:after="0" w:afterAutospacing="0"/>
                    <w:ind w:left="0" w:right="0"/>
                    <w:jc w:val="center"/>
                    <w:rPr>
                      <w:rFonts w:hint="eastAsia"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产生浓度</w:t>
                  </w:r>
                </w:p>
              </w:tc>
              <w:tc>
                <w:tcPr>
                  <w:tcW w:w="1200" w:type="dxa"/>
                  <w:tcBorders>
                    <w:tl2br w:val="nil"/>
                    <w:tr2bl w:val="nil"/>
                  </w:tcBorders>
                  <w:noWrap w:val="0"/>
                  <w:vAlign w:val="center"/>
                </w:tcPr>
                <w:p w14:paraId="2EB723FC">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排放量</w:t>
                  </w:r>
                </w:p>
              </w:tc>
              <w:tc>
                <w:tcPr>
                  <w:tcW w:w="1236" w:type="dxa"/>
                  <w:tcBorders>
                    <w:tl2br w:val="nil"/>
                    <w:tr2bl w:val="nil"/>
                  </w:tcBorders>
                  <w:noWrap w:val="0"/>
                  <w:vAlign w:val="center"/>
                </w:tcPr>
                <w:p w14:paraId="18EB6E47">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eastAsia="zh-CN"/>
                    </w:rPr>
                    <w:t>排放</w:t>
                  </w:r>
                  <w:r>
                    <w:rPr>
                      <w:rFonts w:hint="eastAsia" w:ascii="Times New Roman" w:hAnsi="Times New Roman" w:cs="Times New Roman"/>
                      <w:b/>
                      <w:bCs/>
                      <w:color w:val="auto"/>
                      <w:sz w:val="21"/>
                      <w:szCs w:val="21"/>
                      <w:highlight w:val="none"/>
                    </w:rPr>
                    <w:t>浓度</w:t>
                  </w:r>
                </w:p>
              </w:tc>
            </w:tr>
            <w:tr w14:paraId="0DB58E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vMerge w:val="restart"/>
                  <w:tcBorders>
                    <w:tl2br w:val="nil"/>
                    <w:tr2bl w:val="nil"/>
                  </w:tcBorders>
                  <w:noWrap w:val="0"/>
                  <w:vAlign w:val="center"/>
                </w:tcPr>
                <w:p w14:paraId="0F00B05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职工生活</w:t>
                  </w:r>
                </w:p>
              </w:tc>
              <w:tc>
                <w:tcPr>
                  <w:tcW w:w="1189" w:type="dxa"/>
                  <w:vMerge w:val="restart"/>
                  <w:tcBorders>
                    <w:tl2br w:val="nil"/>
                    <w:tr2bl w:val="nil"/>
                  </w:tcBorders>
                  <w:noWrap w:val="0"/>
                  <w:vAlign w:val="center"/>
                </w:tcPr>
                <w:p w14:paraId="77F5BD9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生活污水</w:t>
                  </w:r>
                </w:p>
              </w:tc>
              <w:tc>
                <w:tcPr>
                  <w:tcW w:w="774" w:type="dxa"/>
                  <w:vMerge w:val="restart"/>
                  <w:tcBorders>
                    <w:tl2br w:val="nil"/>
                    <w:tr2bl w:val="nil"/>
                  </w:tcBorders>
                  <w:noWrap w:val="0"/>
                  <w:vAlign w:val="center"/>
                </w:tcPr>
                <w:p w14:paraId="080FECF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144</w:t>
                  </w:r>
                </w:p>
              </w:tc>
              <w:tc>
                <w:tcPr>
                  <w:tcW w:w="1009" w:type="dxa"/>
                  <w:tcBorders>
                    <w:tl2br w:val="nil"/>
                    <w:tr2bl w:val="nil"/>
                  </w:tcBorders>
                  <w:noWrap w:val="0"/>
                  <w:vAlign w:val="center"/>
                </w:tcPr>
                <w:p w14:paraId="79E27E4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tc>
              <w:tc>
                <w:tcPr>
                  <w:tcW w:w="1317" w:type="dxa"/>
                  <w:tcBorders>
                    <w:tl2br w:val="nil"/>
                    <w:tr2bl w:val="nil"/>
                  </w:tcBorders>
                  <w:noWrap w:val="0"/>
                  <w:vAlign w:val="center"/>
                </w:tcPr>
                <w:p w14:paraId="2CADF8C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0.05</w:t>
                  </w:r>
                  <w:r>
                    <w:rPr>
                      <w:rFonts w:hint="default" w:ascii="Times New Roman" w:hAnsi="Times New Roman" w:cs="Times New Roman"/>
                      <w:color w:val="auto"/>
                      <w:sz w:val="21"/>
                      <w:szCs w:val="21"/>
                      <w:highlight w:val="none"/>
                    </w:rPr>
                    <w:t>t/a</w:t>
                  </w:r>
                </w:p>
              </w:tc>
              <w:tc>
                <w:tcPr>
                  <w:tcW w:w="1104" w:type="dxa"/>
                  <w:tcBorders>
                    <w:tl2br w:val="nil"/>
                    <w:tr2bl w:val="nil"/>
                  </w:tcBorders>
                  <w:noWrap w:val="0"/>
                  <w:vAlign w:val="center"/>
                </w:tcPr>
                <w:p w14:paraId="156A829F">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350</w:t>
                  </w:r>
                  <w:r>
                    <w:rPr>
                      <w:rFonts w:hint="default" w:ascii="Times New Roman" w:hAnsi="Times New Roman" w:cs="Times New Roman"/>
                      <w:color w:val="auto"/>
                      <w:sz w:val="21"/>
                      <w:szCs w:val="21"/>
                      <w:highlight w:val="none"/>
                    </w:rPr>
                    <w:t>mg/L</w:t>
                  </w:r>
                </w:p>
              </w:tc>
              <w:tc>
                <w:tcPr>
                  <w:tcW w:w="1200" w:type="dxa"/>
                  <w:tcBorders>
                    <w:tl2br w:val="nil"/>
                    <w:tr2bl w:val="nil"/>
                  </w:tcBorders>
                  <w:noWrap w:val="0"/>
                  <w:vAlign w:val="center"/>
                </w:tcPr>
                <w:p w14:paraId="770D7C3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0.035</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25F031B5">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245</w:t>
                  </w:r>
                  <w:r>
                    <w:rPr>
                      <w:rFonts w:hint="default" w:ascii="Times New Roman" w:hAnsi="Times New Roman" w:cs="Times New Roman"/>
                      <w:color w:val="auto"/>
                      <w:sz w:val="21"/>
                      <w:szCs w:val="21"/>
                      <w:highlight w:val="none"/>
                    </w:rPr>
                    <w:t>mg/L</w:t>
                  </w:r>
                </w:p>
              </w:tc>
            </w:tr>
            <w:tr w14:paraId="4BBB41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vMerge w:val="continue"/>
                  <w:tcBorders>
                    <w:tl2br w:val="nil"/>
                    <w:tr2bl w:val="nil"/>
                  </w:tcBorders>
                  <w:noWrap w:val="0"/>
                  <w:vAlign w:val="center"/>
                </w:tcPr>
                <w:p w14:paraId="0AA1AB2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189" w:type="dxa"/>
                  <w:vMerge w:val="continue"/>
                  <w:tcBorders>
                    <w:tl2br w:val="nil"/>
                    <w:tr2bl w:val="nil"/>
                  </w:tcBorders>
                  <w:noWrap w:val="0"/>
                  <w:vAlign w:val="center"/>
                </w:tcPr>
                <w:p w14:paraId="585B3C0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774" w:type="dxa"/>
                  <w:vMerge w:val="continue"/>
                  <w:tcBorders>
                    <w:tl2br w:val="nil"/>
                    <w:tr2bl w:val="nil"/>
                  </w:tcBorders>
                  <w:noWrap w:val="0"/>
                  <w:vAlign w:val="center"/>
                </w:tcPr>
                <w:p w14:paraId="1D390BB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09" w:type="dxa"/>
                  <w:tcBorders>
                    <w:tl2br w:val="nil"/>
                    <w:tr2bl w:val="nil"/>
                  </w:tcBorders>
                  <w:noWrap w:val="0"/>
                  <w:vAlign w:val="center"/>
                </w:tcPr>
                <w:p w14:paraId="7A4D51E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317" w:type="dxa"/>
                  <w:tcBorders>
                    <w:tl2br w:val="nil"/>
                    <w:tr2bl w:val="nil"/>
                  </w:tcBorders>
                  <w:noWrap w:val="0"/>
                  <w:vAlign w:val="center"/>
                </w:tcPr>
                <w:p w14:paraId="2D7187CD">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0.004</w:t>
                  </w:r>
                  <w:r>
                    <w:rPr>
                      <w:rFonts w:hint="default" w:ascii="Times New Roman" w:hAnsi="Times New Roman" w:cs="Times New Roman"/>
                      <w:color w:val="auto"/>
                      <w:sz w:val="21"/>
                      <w:szCs w:val="21"/>
                      <w:highlight w:val="none"/>
                    </w:rPr>
                    <w:t>t/a</w:t>
                  </w:r>
                </w:p>
              </w:tc>
              <w:tc>
                <w:tcPr>
                  <w:tcW w:w="1104" w:type="dxa"/>
                  <w:tcBorders>
                    <w:tl2br w:val="nil"/>
                    <w:tr2bl w:val="nil"/>
                  </w:tcBorders>
                  <w:noWrap w:val="0"/>
                  <w:vAlign w:val="center"/>
                </w:tcPr>
                <w:p w14:paraId="329A82F0">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mg/L</w:t>
                  </w:r>
                </w:p>
              </w:tc>
              <w:tc>
                <w:tcPr>
                  <w:tcW w:w="1200" w:type="dxa"/>
                  <w:tcBorders>
                    <w:tl2br w:val="nil"/>
                    <w:tr2bl w:val="nil"/>
                  </w:tcBorders>
                  <w:noWrap w:val="0"/>
                  <w:vAlign w:val="center"/>
                </w:tcPr>
                <w:p w14:paraId="6A8C868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0.003</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771BC543">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w:t>
                  </w:r>
                  <w:r>
                    <w:rPr>
                      <w:rFonts w:hint="default" w:ascii="Times New Roman" w:hAnsi="Times New Roman" w:cs="Times New Roman"/>
                      <w:color w:val="auto"/>
                      <w:sz w:val="21"/>
                      <w:szCs w:val="21"/>
                      <w:highlight w:val="none"/>
                    </w:rPr>
                    <w:t>mg/L</w:t>
                  </w:r>
                </w:p>
              </w:tc>
            </w:tr>
            <w:tr w14:paraId="5E501B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881" w:type="dxa"/>
                  <w:vMerge w:val="restart"/>
                  <w:tcBorders>
                    <w:tl2br w:val="nil"/>
                    <w:tr2bl w:val="nil"/>
                  </w:tcBorders>
                  <w:noWrap w:val="0"/>
                  <w:vAlign w:val="center"/>
                </w:tcPr>
                <w:p w14:paraId="6D5AB34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压滤过程</w:t>
                  </w:r>
                </w:p>
              </w:tc>
              <w:tc>
                <w:tcPr>
                  <w:tcW w:w="1189" w:type="dxa"/>
                  <w:vMerge w:val="restart"/>
                  <w:tcBorders>
                    <w:tl2br w:val="nil"/>
                    <w:tr2bl w:val="nil"/>
                  </w:tcBorders>
                  <w:noWrap w:val="0"/>
                  <w:vAlign w:val="center"/>
                </w:tcPr>
                <w:p w14:paraId="0138BD65">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压滤废水</w:t>
                  </w:r>
                </w:p>
              </w:tc>
              <w:tc>
                <w:tcPr>
                  <w:tcW w:w="774" w:type="dxa"/>
                  <w:vMerge w:val="restart"/>
                  <w:tcBorders>
                    <w:tl2br w:val="nil"/>
                    <w:tr2bl w:val="nil"/>
                  </w:tcBorders>
                  <w:noWrap w:val="0"/>
                  <w:vAlign w:val="center"/>
                </w:tcPr>
                <w:p w14:paraId="24DA013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24000</w:t>
                  </w:r>
                </w:p>
              </w:tc>
              <w:tc>
                <w:tcPr>
                  <w:tcW w:w="1009" w:type="dxa"/>
                  <w:tcBorders>
                    <w:tl2br w:val="nil"/>
                    <w:tr2bl w:val="nil"/>
                  </w:tcBorders>
                  <w:noWrap w:val="0"/>
                  <w:vAlign w:val="center"/>
                </w:tcPr>
                <w:p w14:paraId="423EEB6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pH</w:t>
                  </w:r>
                </w:p>
              </w:tc>
              <w:tc>
                <w:tcPr>
                  <w:tcW w:w="1317" w:type="dxa"/>
                  <w:tcBorders>
                    <w:tl2br w:val="nil"/>
                    <w:tr2bl w:val="nil"/>
                  </w:tcBorders>
                  <w:noWrap w:val="0"/>
                  <w:vAlign w:val="center"/>
                </w:tcPr>
                <w:p w14:paraId="06FF9261">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104" w:type="dxa"/>
                  <w:tcBorders>
                    <w:tl2br w:val="nil"/>
                    <w:tr2bl w:val="nil"/>
                  </w:tcBorders>
                  <w:noWrap w:val="0"/>
                  <w:vAlign w:val="center"/>
                </w:tcPr>
                <w:p w14:paraId="7EF1EED3">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w:t>
                  </w:r>
                  <w:r>
                    <w:rPr>
                      <w:rFonts w:hint="eastAsia" w:ascii="Times New Roman" w:hAnsi="Times New Roman" w:cs="Times New Roman"/>
                      <w:color w:val="auto"/>
                      <w:sz w:val="21"/>
                      <w:szCs w:val="21"/>
                      <w:highlight w:val="none"/>
                      <w:lang w:val="en-US" w:eastAsia="zh-CN"/>
                    </w:rPr>
                    <w:t>（无量纲）</w:t>
                  </w:r>
                </w:p>
              </w:tc>
              <w:tc>
                <w:tcPr>
                  <w:tcW w:w="1200" w:type="dxa"/>
                  <w:tcBorders>
                    <w:tl2br w:val="nil"/>
                    <w:tr2bl w:val="nil"/>
                  </w:tcBorders>
                  <w:noWrap w:val="0"/>
                  <w:vAlign w:val="center"/>
                </w:tcPr>
                <w:p w14:paraId="0057C834">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236" w:type="dxa"/>
                  <w:tcBorders>
                    <w:tl2br w:val="nil"/>
                    <w:tr2bl w:val="nil"/>
                  </w:tcBorders>
                  <w:noWrap w:val="0"/>
                  <w:vAlign w:val="center"/>
                </w:tcPr>
                <w:p w14:paraId="482478B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6-9（无量纲）</w:t>
                  </w:r>
                </w:p>
              </w:tc>
            </w:tr>
            <w:tr w14:paraId="40F5B2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vMerge w:val="continue"/>
                  <w:tcBorders>
                    <w:tl2br w:val="nil"/>
                    <w:tr2bl w:val="nil"/>
                  </w:tcBorders>
                  <w:noWrap w:val="0"/>
                  <w:vAlign w:val="center"/>
                </w:tcPr>
                <w:p w14:paraId="49F18C2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189" w:type="dxa"/>
                  <w:vMerge w:val="continue"/>
                  <w:tcBorders>
                    <w:tl2br w:val="nil"/>
                    <w:tr2bl w:val="nil"/>
                  </w:tcBorders>
                  <w:noWrap w:val="0"/>
                  <w:vAlign w:val="center"/>
                </w:tcPr>
                <w:p w14:paraId="1DB0C10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774" w:type="dxa"/>
                  <w:vMerge w:val="continue"/>
                  <w:tcBorders>
                    <w:tl2br w:val="nil"/>
                    <w:tr2bl w:val="nil"/>
                  </w:tcBorders>
                  <w:noWrap w:val="0"/>
                  <w:vAlign w:val="center"/>
                </w:tcPr>
                <w:p w14:paraId="00F4EF0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09" w:type="dxa"/>
                  <w:tcBorders>
                    <w:tl2br w:val="nil"/>
                    <w:tr2bl w:val="nil"/>
                  </w:tcBorders>
                  <w:noWrap w:val="0"/>
                  <w:vAlign w:val="center"/>
                </w:tcPr>
                <w:p w14:paraId="645E96F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SS</w:t>
                  </w:r>
                </w:p>
              </w:tc>
              <w:tc>
                <w:tcPr>
                  <w:tcW w:w="1317" w:type="dxa"/>
                  <w:tcBorders>
                    <w:tl2br w:val="nil"/>
                    <w:tr2bl w:val="nil"/>
                  </w:tcBorders>
                  <w:noWrap w:val="0"/>
                  <w:vAlign w:val="center"/>
                </w:tcPr>
                <w:p w14:paraId="7D5DC5B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19.2</w:t>
                  </w:r>
                  <w:r>
                    <w:rPr>
                      <w:rFonts w:hint="default" w:ascii="Times New Roman" w:hAnsi="Times New Roman" w:cs="Times New Roman"/>
                      <w:color w:val="auto"/>
                      <w:sz w:val="21"/>
                      <w:szCs w:val="21"/>
                      <w:highlight w:val="none"/>
                    </w:rPr>
                    <w:t>t/a</w:t>
                  </w:r>
                </w:p>
              </w:tc>
              <w:tc>
                <w:tcPr>
                  <w:tcW w:w="1104" w:type="dxa"/>
                  <w:tcBorders>
                    <w:tl2br w:val="nil"/>
                    <w:tr2bl w:val="nil"/>
                  </w:tcBorders>
                  <w:noWrap w:val="0"/>
                  <w:vAlign w:val="center"/>
                </w:tcPr>
                <w:p w14:paraId="1DCFBF55">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800</w:t>
                  </w:r>
                  <w:r>
                    <w:rPr>
                      <w:rFonts w:hint="default" w:ascii="Times New Roman" w:hAnsi="Times New Roman" w:cs="Times New Roman"/>
                      <w:color w:val="auto"/>
                      <w:sz w:val="21"/>
                      <w:szCs w:val="21"/>
                      <w:highlight w:val="none"/>
                    </w:rPr>
                    <w:t>mg/L</w:t>
                  </w:r>
                </w:p>
              </w:tc>
              <w:tc>
                <w:tcPr>
                  <w:tcW w:w="1200" w:type="dxa"/>
                  <w:tcBorders>
                    <w:tl2br w:val="nil"/>
                    <w:tr2bl w:val="nil"/>
                  </w:tcBorders>
                  <w:noWrap w:val="0"/>
                  <w:vAlign w:val="center"/>
                </w:tcPr>
                <w:p w14:paraId="28992693">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3.46</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457D928B">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144</w:t>
                  </w:r>
                  <w:r>
                    <w:rPr>
                      <w:rFonts w:hint="default" w:ascii="Times New Roman" w:hAnsi="Times New Roman" w:cs="Times New Roman"/>
                      <w:color w:val="auto"/>
                      <w:sz w:val="21"/>
                      <w:szCs w:val="21"/>
                      <w:highlight w:val="none"/>
                    </w:rPr>
                    <w:t>mg/L</w:t>
                  </w:r>
                </w:p>
              </w:tc>
            </w:tr>
            <w:tr w14:paraId="7E606A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vMerge w:val="continue"/>
                  <w:tcBorders>
                    <w:tl2br w:val="nil"/>
                    <w:tr2bl w:val="nil"/>
                  </w:tcBorders>
                  <w:noWrap w:val="0"/>
                  <w:vAlign w:val="center"/>
                </w:tcPr>
                <w:p w14:paraId="0F943FE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189" w:type="dxa"/>
                  <w:vMerge w:val="continue"/>
                  <w:tcBorders>
                    <w:tl2br w:val="nil"/>
                    <w:tr2bl w:val="nil"/>
                  </w:tcBorders>
                  <w:noWrap w:val="0"/>
                  <w:vAlign w:val="center"/>
                </w:tcPr>
                <w:p w14:paraId="072830B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774" w:type="dxa"/>
                  <w:vMerge w:val="continue"/>
                  <w:tcBorders>
                    <w:tl2br w:val="nil"/>
                    <w:tr2bl w:val="nil"/>
                  </w:tcBorders>
                  <w:noWrap w:val="0"/>
                  <w:vAlign w:val="center"/>
                </w:tcPr>
                <w:p w14:paraId="303536F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09" w:type="dxa"/>
                  <w:tcBorders>
                    <w:tl2br w:val="nil"/>
                    <w:tr2bl w:val="nil"/>
                  </w:tcBorders>
                  <w:noWrap w:val="0"/>
                  <w:vAlign w:val="center"/>
                </w:tcPr>
                <w:p w14:paraId="35BE940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全盐量</w:t>
                  </w:r>
                </w:p>
              </w:tc>
              <w:tc>
                <w:tcPr>
                  <w:tcW w:w="1317" w:type="dxa"/>
                  <w:tcBorders>
                    <w:tl2br w:val="nil"/>
                    <w:tr2bl w:val="nil"/>
                  </w:tcBorders>
                  <w:noWrap w:val="0"/>
                  <w:vAlign w:val="center"/>
                </w:tcPr>
                <w:p w14:paraId="038CADB9">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221.5</w:t>
                  </w:r>
                  <w:r>
                    <w:rPr>
                      <w:rFonts w:hint="default" w:ascii="Times New Roman" w:hAnsi="Times New Roman" w:cs="Times New Roman"/>
                      <w:color w:val="auto"/>
                      <w:sz w:val="21"/>
                      <w:szCs w:val="21"/>
                      <w:highlight w:val="none"/>
                    </w:rPr>
                    <w:t>t/a</w:t>
                  </w:r>
                </w:p>
              </w:tc>
              <w:tc>
                <w:tcPr>
                  <w:tcW w:w="1104" w:type="dxa"/>
                  <w:tcBorders>
                    <w:tl2br w:val="nil"/>
                    <w:tr2bl w:val="nil"/>
                  </w:tcBorders>
                  <w:noWrap w:val="0"/>
                  <w:vAlign w:val="center"/>
                </w:tcPr>
                <w:p w14:paraId="317CE19A">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9229.17</w:t>
                  </w:r>
                  <w:r>
                    <w:rPr>
                      <w:rFonts w:hint="default" w:ascii="Times New Roman" w:hAnsi="Times New Roman" w:cs="Times New Roman"/>
                      <w:color w:val="auto"/>
                      <w:sz w:val="21"/>
                      <w:szCs w:val="21"/>
                      <w:highlight w:val="none"/>
                    </w:rPr>
                    <w:t>mg/L</w:t>
                  </w:r>
                </w:p>
              </w:tc>
              <w:tc>
                <w:tcPr>
                  <w:tcW w:w="1200" w:type="dxa"/>
                  <w:tcBorders>
                    <w:tl2br w:val="nil"/>
                    <w:tr2bl w:val="nil"/>
                  </w:tcBorders>
                  <w:noWrap w:val="0"/>
                  <w:vAlign w:val="center"/>
                </w:tcPr>
                <w:p w14:paraId="45C4133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66.45</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71EBD7B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2768.75</w:t>
                  </w:r>
                  <w:r>
                    <w:rPr>
                      <w:rFonts w:hint="default" w:ascii="Times New Roman" w:hAnsi="Times New Roman" w:cs="Times New Roman"/>
                      <w:color w:val="auto"/>
                      <w:sz w:val="21"/>
                      <w:szCs w:val="21"/>
                      <w:highlight w:val="none"/>
                    </w:rPr>
                    <w:t>mg/L</w:t>
                  </w:r>
                </w:p>
              </w:tc>
            </w:tr>
            <w:tr w14:paraId="2A3FE9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2" w:hRule="atLeast"/>
                <w:jc w:val="center"/>
              </w:trPr>
              <w:tc>
                <w:tcPr>
                  <w:tcW w:w="881" w:type="dxa"/>
                  <w:vMerge w:val="restart"/>
                  <w:tcBorders>
                    <w:tl2br w:val="nil"/>
                    <w:tr2bl w:val="nil"/>
                  </w:tcBorders>
                  <w:noWrap w:val="0"/>
                  <w:vAlign w:val="center"/>
                </w:tcPr>
                <w:p w14:paraId="5E693E3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废气处理过程</w:t>
                  </w:r>
                </w:p>
              </w:tc>
              <w:tc>
                <w:tcPr>
                  <w:tcW w:w="1189" w:type="dxa"/>
                  <w:vMerge w:val="restart"/>
                  <w:tcBorders>
                    <w:tl2br w:val="nil"/>
                    <w:tr2bl w:val="nil"/>
                  </w:tcBorders>
                  <w:noWrap w:val="0"/>
                  <w:vAlign w:val="center"/>
                </w:tcPr>
                <w:p w14:paraId="0346581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水喷淋废水</w:t>
                  </w:r>
                </w:p>
              </w:tc>
              <w:tc>
                <w:tcPr>
                  <w:tcW w:w="774" w:type="dxa"/>
                  <w:vMerge w:val="restart"/>
                  <w:tcBorders>
                    <w:tl2br w:val="nil"/>
                    <w:tr2bl w:val="nil"/>
                  </w:tcBorders>
                  <w:noWrap w:val="0"/>
                  <w:vAlign w:val="center"/>
                </w:tcPr>
                <w:p w14:paraId="7A2513B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36</w:t>
                  </w:r>
                </w:p>
              </w:tc>
              <w:tc>
                <w:tcPr>
                  <w:tcW w:w="1009" w:type="dxa"/>
                  <w:tcBorders>
                    <w:tl2br w:val="nil"/>
                    <w:tr2bl w:val="nil"/>
                  </w:tcBorders>
                  <w:noWrap w:val="0"/>
                  <w:vAlign w:val="center"/>
                </w:tcPr>
                <w:p w14:paraId="12030BE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pH</w:t>
                  </w:r>
                </w:p>
              </w:tc>
              <w:tc>
                <w:tcPr>
                  <w:tcW w:w="1317" w:type="dxa"/>
                  <w:tcBorders>
                    <w:tl2br w:val="nil"/>
                    <w:tr2bl w:val="nil"/>
                  </w:tcBorders>
                  <w:noWrap w:val="0"/>
                  <w:vAlign w:val="center"/>
                </w:tcPr>
                <w:p w14:paraId="43B6B619">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1104" w:type="dxa"/>
                  <w:tcBorders>
                    <w:tl2br w:val="nil"/>
                    <w:tr2bl w:val="nil"/>
                  </w:tcBorders>
                  <w:noWrap w:val="0"/>
                  <w:vAlign w:val="center"/>
                </w:tcPr>
                <w:p w14:paraId="734E3276">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4（无量纲）</w:t>
                  </w:r>
                </w:p>
              </w:tc>
              <w:tc>
                <w:tcPr>
                  <w:tcW w:w="1200" w:type="dxa"/>
                  <w:tcBorders>
                    <w:tl2br w:val="nil"/>
                    <w:tr2bl w:val="nil"/>
                  </w:tcBorders>
                  <w:noWrap w:val="0"/>
                  <w:vAlign w:val="center"/>
                </w:tcPr>
                <w:p w14:paraId="779352C3">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1236" w:type="dxa"/>
                  <w:tcBorders>
                    <w:tl2br w:val="nil"/>
                    <w:tr2bl w:val="nil"/>
                  </w:tcBorders>
                  <w:noWrap w:val="0"/>
                  <w:vAlign w:val="center"/>
                </w:tcPr>
                <w:p w14:paraId="12A04D3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6-9（无量纲）</w:t>
                  </w:r>
                </w:p>
              </w:tc>
            </w:tr>
            <w:tr w14:paraId="4CF33A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vMerge w:val="continue"/>
                  <w:tcBorders>
                    <w:tl2br w:val="nil"/>
                    <w:tr2bl w:val="nil"/>
                  </w:tcBorders>
                  <w:noWrap w:val="0"/>
                  <w:vAlign w:val="center"/>
                </w:tcPr>
                <w:p w14:paraId="006AF87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189" w:type="dxa"/>
                  <w:vMerge w:val="continue"/>
                  <w:tcBorders>
                    <w:tl2br w:val="nil"/>
                    <w:tr2bl w:val="nil"/>
                  </w:tcBorders>
                  <w:noWrap w:val="0"/>
                  <w:vAlign w:val="center"/>
                </w:tcPr>
                <w:p w14:paraId="3F6CCDA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774" w:type="dxa"/>
                  <w:vMerge w:val="continue"/>
                  <w:tcBorders>
                    <w:tl2br w:val="nil"/>
                    <w:tr2bl w:val="nil"/>
                  </w:tcBorders>
                  <w:noWrap w:val="0"/>
                  <w:vAlign w:val="center"/>
                </w:tcPr>
                <w:p w14:paraId="1D5282D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09" w:type="dxa"/>
                  <w:tcBorders>
                    <w:tl2br w:val="nil"/>
                    <w:tr2bl w:val="nil"/>
                  </w:tcBorders>
                  <w:noWrap w:val="0"/>
                  <w:vAlign w:val="center"/>
                </w:tcPr>
                <w:p w14:paraId="27228E3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SS</w:t>
                  </w:r>
                </w:p>
              </w:tc>
              <w:tc>
                <w:tcPr>
                  <w:tcW w:w="1317" w:type="dxa"/>
                  <w:tcBorders>
                    <w:tl2br w:val="nil"/>
                    <w:tr2bl w:val="nil"/>
                  </w:tcBorders>
                  <w:noWrap w:val="0"/>
                  <w:vAlign w:val="center"/>
                </w:tcPr>
                <w:p w14:paraId="6FE3D1A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0.018</w:t>
                  </w:r>
                  <w:r>
                    <w:rPr>
                      <w:rFonts w:hint="default" w:ascii="Times New Roman" w:hAnsi="Times New Roman" w:cs="Times New Roman"/>
                      <w:color w:val="auto"/>
                      <w:sz w:val="21"/>
                      <w:szCs w:val="21"/>
                      <w:highlight w:val="none"/>
                    </w:rPr>
                    <w:t>t/a</w:t>
                  </w:r>
                </w:p>
              </w:tc>
              <w:tc>
                <w:tcPr>
                  <w:tcW w:w="1104" w:type="dxa"/>
                  <w:tcBorders>
                    <w:tl2br w:val="nil"/>
                    <w:tr2bl w:val="nil"/>
                  </w:tcBorders>
                  <w:noWrap w:val="0"/>
                  <w:vAlign w:val="center"/>
                </w:tcPr>
                <w:p w14:paraId="331B6745">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mg/L</w:t>
                  </w:r>
                </w:p>
              </w:tc>
              <w:tc>
                <w:tcPr>
                  <w:tcW w:w="1200" w:type="dxa"/>
                  <w:tcBorders>
                    <w:tl2br w:val="nil"/>
                    <w:tr2bl w:val="nil"/>
                  </w:tcBorders>
                  <w:noWrap w:val="0"/>
                  <w:vAlign w:val="center"/>
                </w:tcPr>
                <w:p w14:paraId="2CA3E6A9">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0.003</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6ABCBC0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90</w:t>
                  </w:r>
                  <w:r>
                    <w:rPr>
                      <w:rFonts w:hint="default" w:ascii="Times New Roman" w:hAnsi="Times New Roman" w:cs="Times New Roman"/>
                      <w:color w:val="auto"/>
                      <w:sz w:val="21"/>
                      <w:szCs w:val="21"/>
                      <w:highlight w:val="none"/>
                    </w:rPr>
                    <w:t>mg/L</w:t>
                  </w:r>
                </w:p>
              </w:tc>
            </w:tr>
            <w:tr w14:paraId="0C323C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vMerge w:val="continue"/>
                  <w:tcBorders>
                    <w:tl2br w:val="nil"/>
                    <w:tr2bl w:val="nil"/>
                  </w:tcBorders>
                  <w:noWrap w:val="0"/>
                  <w:vAlign w:val="center"/>
                </w:tcPr>
                <w:p w14:paraId="3ADAFB0C">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189" w:type="dxa"/>
                  <w:vMerge w:val="continue"/>
                  <w:tcBorders>
                    <w:tl2br w:val="nil"/>
                    <w:tr2bl w:val="nil"/>
                  </w:tcBorders>
                  <w:noWrap w:val="0"/>
                  <w:vAlign w:val="center"/>
                </w:tcPr>
                <w:p w14:paraId="5E2828D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774" w:type="dxa"/>
                  <w:vMerge w:val="continue"/>
                  <w:tcBorders>
                    <w:tl2br w:val="nil"/>
                    <w:tr2bl w:val="nil"/>
                  </w:tcBorders>
                  <w:noWrap w:val="0"/>
                  <w:vAlign w:val="center"/>
                </w:tcPr>
                <w:p w14:paraId="05D1A1E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09" w:type="dxa"/>
                  <w:tcBorders>
                    <w:tl2br w:val="nil"/>
                    <w:tr2bl w:val="nil"/>
                  </w:tcBorders>
                  <w:noWrap w:val="0"/>
                  <w:vAlign w:val="center"/>
                </w:tcPr>
                <w:p w14:paraId="5E0C9797">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全盐量</w:t>
                  </w:r>
                </w:p>
              </w:tc>
              <w:tc>
                <w:tcPr>
                  <w:tcW w:w="1317" w:type="dxa"/>
                  <w:tcBorders>
                    <w:tl2br w:val="nil"/>
                    <w:tr2bl w:val="nil"/>
                  </w:tcBorders>
                  <w:noWrap w:val="0"/>
                  <w:vAlign w:val="center"/>
                </w:tcPr>
                <w:p w14:paraId="3925B24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0.014</w:t>
                  </w:r>
                  <w:r>
                    <w:rPr>
                      <w:rFonts w:hint="default" w:ascii="Times New Roman" w:hAnsi="Times New Roman" w:cs="Times New Roman"/>
                      <w:color w:val="auto"/>
                      <w:sz w:val="21"/>
                      <w:szCs w:val="21"/>
                      <w:highlight w:val="none"/>
                    </w:rPr>
                    <w:t>t/a</w:t>
                  </w:r>
                </w:p>
              </w:tc>
              <w:tc>
                <w:tcPr>
                  <w:tcW w:w="1104" w:type="dxa"/>
                  <w:tcBorders>
                    <w:tl2br w:val="nil"/>
                    <w:tr2bl w:val="nil"/>
                  </w:tcBorders>
                  <w:noWrap w:val="0"/>
                  <w:vAlign w:val="center"/>
                </w:tcPr>
                <w:p w14:paraId="3BBBB41F">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400</w:t>
                  </w:r>
                  <w:r>
                    <w:rPr>
                      <w:rFonts w:hint="default" w:ascii="Times New Roman" w:hAnsi="Times New Roman" w:cs="Times New Roman"/>
                      <w:color w:val="auto"/>
                      <w:sz w:val="21"/>
                      <w:szCs w:val="21"/>
                      <w:highlight w:val="none"/>
                    </w:rPr>
                    <w:t>mg/L</w:t>
                  </w:r>
                </w:p>
              </w:tc>
              <w:tc>
                <w:tcPr>
                  <w:tcW w:w="1200" w:type="dxa"/>
                  <w:tcBorders>
                    <w:tl2br w:val="nil"/>
                    <w:tr2bl w:val="nil"/>
                  </w:tcBorders>
                  <w:noWrap w:val="0"/>
                  <w:vAlign w:val="center"/>
                </w:tcPr>
                <w:p w14:paraId="1562AD43">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0.00576</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17991CC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160</w:t>
                  </w:r>
                  <w:r>
                    <w:rPr>
                      <w:rFonts w:hint="default" w:ascii="Times New Roman" w:hAnsi="Times New Roman" w:cs="Times New Roman"/>
                      <w:color w:val="auto"/>
                      <w:sz w:val="21"/>
                      <w:szCs w:val="21"/>
                      <w:highlight w:val="none"/>
                    </w:rPr>
                    <w:t>mg/L</w:t>
                  </w:r>
                </w:p>
              </w:tc>
            </w:tr>
            <w:tr w14:paraId="2523E1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881" w:type="dxa"/>
                  <w:tcBorders>
                    <w:tl2br w:val="nil"/>
                    <w:tr2bl w:val="nil"/>
                  </w:tcBorders>
                  <w:noWrap w:val="0"/>
                  <w:vAlign w:val="center"/>
                </w:tcPr>
                <w:p w14:paraId="09795F22">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废水处理过程</w:t>
                  </w:r>
                </w:p>
              </w:tc>
              <w:tc>
                <w:tcPr>
                  <w:tcW w:w="1189" w:type="dxa"/>
                  <w:tcBorders>
                    <w:tl2br w:val="nil"/>
                    <w:tr2bl w:val="nil"/>
                  </w:tcBorders>
                  <w:noWrap w:val="0"/>
                  <w:vAlign w:val="center"/>
                </w:tcPr>
                <w:p w14:paraId="545B912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片碱中和水中盐酸</w:t>
                  </w:r>
                </w:p>
              </w:tc>
              <w:tc>
                <w:tcPr>
                  <w:tcW w:w="774" w:type="dxa"/>
                  <w:tcBorders>
                    <w:tl2br w:val="nil"/>
                    <w:tr2bl w:val="nil"/>
                  </w:tcBorders>
                  <w:noWrap w:val="0"/>
                  <w:vAlign w:val="center"/>
                </w:tcPr>
                <w:p w14:paraId="42057D2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09" w:type="dxa"/>
                  <w:tcBorders>
                    <w:tl2br w:val="nil"/>
                    <w:tr2bl w:val="nil"/>
                  </w:tcBorders>
                  <w:noWrap w:val="0"/>
                  <w:vAlign w:val="center"/>
                </w:tcPr>
                <w:p w14:paraId="200528F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全盐量</w:t>
                  </w:r>
                </w:p>
              </w:tc>
              <w:tc>
                <w:tcPr>
                  <w:tcW w:w="2421" w:type="dxa"/>
                  <w:gridSpan w:val="2"/>
                  <w:tcBorders>
                    <w:tl2br w:val="nil"/>
                    <w:tr2bl w:val="nil"/>
                  </w:tcBorders>
                  <w:noWrap w:val="0"/>
                  <w:vAlign w:val="center"/>
                </w:tcPr>
                <w:p w14:paraId="236705F5">
                  <w:pPr>
                    <w:keepNext w:val="0"/>
                    <w:keepLines w:val="0"/>
                    <w:widowControl/>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1.32</w:t>
                  </w:r>
                  <w:r>
                    <w:rPr>
                      <w:rFonts w:hint="default" w:ascii="Times New Roman" w:hAnsi="Times New Roman" w:cs="Times New Roman"/>
                      <w:color w:val="auto"/>
                      <w:sz w:val="21"/>
                      <w:szCs w:val="21"/>
                      <w:highlight w:val="none"/>
                    </w:rPr>
                    <w:t>t/a</w:t>
                  </w:r>
                </w:p>
              </w:tc>
              <w:tc>
                <w:tcPr>
                  <w:tcW w:w="2436" w:type="dxa"/>
                  <w:gridSpan w:val="2"/>
                  <w:tcBorders>
                    <w:tl2br w:val="nil"/>
                    <w:tr2bl w:val="nil"/>
                  </w:tcBorders>
                  <w:noWrap w:val="0"/>
                  <w:vAlign w:val="center"/>
                </w:tcPr>
                <w:p w14:paraId="5F82D262">
                  <w:pPr>
                    <w:keepNext w:val="0"/>
                    <w:keepLines w:val="0"/>
                    <w:widowControl/>
                    <w:suppressLineNumbers w:val="0"/>
                    <w:spacing w:before="0" w:beforeAutospacing="0" w:after="0" w:afterAutospacing="0"/>
                    <w:ind w:left="0" w:right="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0.396</w:t>
                  </w:r>
                  <w:r>
                    <w:rPr>
                      <w:rFonts w:hint="default" w:ascii="Times New Roman" w:hAnsi="Times New Roman" w:cs="Times New Roman"/>
                      <w:color w:val="auto"/>
                      <w:sz w:val="21"/>
                      <w:szCs w:val="21"/>
                      <w:highlight w:val="none"/>
                    </w:rPr>
                    <w:t>t/a</w:t>
                  </w:r>
                </w:p>
              </w:tc>
            </w:tr>
            <w:tr w14:paraId="7233E9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2070" w:type="dxa"/>
                  <w:gridSpan w:val="2"/>
                  <w:vMerge w:val="restart"/>
                  <w:tcBorders>
                    <w:tl2br w:val="nil"/>
                    <w:tr2bl w:val="nil"/>
                  </w:tcBorders>
                  <w:noWrap w:val="0"/>
                  <w:vAlign w:val="center"/>
                </w:tcPr>
                <w:p w14:paraId="6C85028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总出口</w:t>
                  </w:r>
                </w:p>
              </w:tc>
              <w:tc>
                <w:tcPr>
                  <w:tcW w:w="774" w:type="dxa"/>
                  <w:vMerge w:val="restart"/>
                  <w:tcBorders>
                    <w:tl2br w:val="nil"/>
                    <w:tr2bl w:val="nil"/>
                  </w:tcBorders>
                  <w:noWrap w:val="0"/>
                  <w:vAlign w:val="center"/>
                </w:tcPr>
                <w:p w14:paraId="34AA2A3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24180</w:t>
                  </w:r>
                </w:p>
              </w:tc>
              <w:tc>
                <w:tcPr>
                  <w:tcW w:w="1009" w:type="dxa"/>
                  <w:tcBorders>
                    <w:tl2br w:val="nil"/>
                    <w:tr2bl w:val="nil"/>
                  </w:tcBorders>
                  <w:noWrap w:val="0"/>
                  <w:vAlign w:val="center"/>
                </w:tcPr>
                <w:p w14:paraId="631AF61B">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COD</w:t>
                  </w:r>
                </w:p>
              </w:tc>
              <w:tc>
                <w:tcPr>
                  <w:tcW w:w="1317" w:type="dxa"/>
                  <w:tcBorders>
                    <w:tl2br w:val="nil"/>
                    <w:tr2bl w:val="nil"/>
                  </w:tcBorders>
                  <w:noWrap w:val="0"/>
                  <w:vAlign w:val="center"/>
                </w:tcPr>
                <w:p w14:paraId="054C87D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104" w:type="dxa"/>
                  <w:tcBorders>
                    <w:tl2br w:val="nil"/>
                    <w:tr2bl w:val="nil"/>
                  </w:tcBorders>
                  <w:noWrap w:val="0"/>
                  <w:vAlign w:val="center"/>
                </w:tcPr>
                <w:p w14:paraId="0A593EB9">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1200" w:type="dxa"/>
                  <w:tcBorders>
                    <w:tl2br w:val="nil"/>
                    <w:tr2bl w:val="nil"/>
                  </w:tcBorders>
                  <w:noWrap w:val="0"/>
                  <w:vAlign w:val="center"/>
                </w:tcPr>
                <w:p w14:paraId="7B489E3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0.035</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4C4D2C0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1.45</w:t>
                  </w:r>
                  <w:r>
                    <w:rPr>
                      <w:rFonts w:hint="default" w:ascii="Times New Roman" w:hAnsi="Times New Roman" w:cs="Times New Roman"/>
                      <w:color w:val="auto"/>
                      <w:sz w:val="21"/>
                      <w:szCs w:val="21"/>
                      <w:highlight w:val="none"/>
                    </w:rPr>
                    <w:t>mg/L</w:t>
                  </w:r>
                </w:p>
              </w:tc>
            </w:tr>
            <w:tr w14:paraId="48B695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1" w:hRule="atLeast"/>
                <w:jc w:val="center"/>
              </w:trPr>
              <w:tc>
                <w:tcPr>
                  <w:tcW w:w="2070" w:type="dxa"/>
                  <w:gridSpan w:val="2"/>
                  <w:vMerge w:val="continue"/>
                  <w:tcBorders>
                    <w:tl2br w:val="nil"/>
                    <w:tr2bl w:val="nil"/>
                  </w:tcBorders>
                  <w:noWrap w:val="0"/>
                  <w:vAlign w:val="center"/>
                </w:tcPr>
                <w:p w14:paraId="0226FF9C">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eastAsia="zh-CN"/>
                    </w:rPr>
                  </w:pPr>
                </w:p>
              </w:tc>
              <w:tc>
                <w:tcPr>
                  <w:tcW w:w="774" w:type="dxa"/>
                  <w:vMerge w:val="continue"/>
                  <w:tcBorders>
                    <w:tl2br w:val="nil"/>
                    <w:tr2bl w:val="nil"/>
                  </w:tcBorders>
                  <w:noWrap w:val="0"/>
                  <w:vAlign w:val="center"/>
                </w:tcPr>
                <w:p w14:paraId="4C50358B">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p>
              </w:tc>
              <w:tc>
                <w:tcPr>
                  <w:tcW w:w="1009" w:type="dxa"/>
                  <w:tcBorders>
                    <w:tl2br w:val="nil"/>
                    <w:tr2bl w:val="nil"/>
                  </w:tcBorders>
                  <w:noWrap w:val="0"/>
                  <w:vAlign w:val="center"/>
                </w:tcPr>
                <w:p w14:paraId="0CD6886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317" w:type="dxa"/>
                  <w:tcBorders>
                    <w:tl2br w:val="nil"/>
                    <w:tr2bl w:val="nil"/>
                  </w:tcBorders>
                  <w:noWrap w:val="0"/>
                  <w:vAlign w:val="center"/>
                </w:tcPr>
                <w:p w14:paraId="2647D69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104" w:type="dxa"/>
                  <w:tcBorders>
                    <w:tl2br w:val="nil"/>
                    <w:tr2bl w:val="nil"/>
                  </w:tcBorders>
                  <w:noWrap w:val="0"/>
                  <w:vAlign w:val="center"/>
                </w:tcPr>
                <w:p w14:paraId="296CA250">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1200" w:type="dxa"/>
                  <w:tcBorders>
                    <w:tl2br w:val="nil"/>
                    <w:tr2bl w:val="nil"/>
                  </w:tcBorders>
                  <w:noWrap w:val="0"/>
                  <w:vAlign w:val="center"/>
                </w:tcPr>
                <w:p w14:paraId="5C441823">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0.003</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1B41DFFF">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0.12</w:t>
                  </w:r>
                  <w:r>
                    <w:rPr>
                      <w:rFonts w:hint="default" w:ascii="Times New Roman" w:hAnsi="Times New Roman" w:cs="Times New Roman"/>
                      <w:color w:val="auto"/>
                      <w:sz w:val="21"/>
                      <w:szCs w:val="21"/>
                      <w:highlight w:val="none"/>
                    </w:rPr>
                    <w:t>mg/L</w:t>
                  </w:r>
                </w:p>
              </w:tc>
            </w:tr>
            <w:tr w14:paraId="5BC97D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1" w:hRule="atLeast"/>
                <w:jc w:val="center"/>
              </w:trPr>
              <w:tc>
                <w:tcPr>
                  <w:tcW w:w="2070" w:type="dxa"/>
                  <w:gridSpan w:val="2"/>
                  <w:vMerge w:val="continue"/>
                  <w:tcBorders>
                    <w:tl2br w:val="nil"/>
                    <w:tr2bl w:val="nil"/>
                  </w:tcBorders>
                  <w:noWrap w:val="0"/>
                  <w:vAlign w:val="center"/>
                </w:tcPr>
                <w:p w14:paraId="6A58D932">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eastAsia="zh-CN"/>
                    </w:rPr>
                  </w:pPr>
                </w:p>
              </w:tc>
              <w:tc>
                <w:tcPr>
                  <w:tcW w:w="774" w:type="dxa"/>
                  <w:vMerge w:val="continue"/>
                  <w:tcBorders>
                    <w:tl2br w:val="nil"/>
                    <w:tr2bl w:val="nil"/>
                  </w:tcBorders>
                  <w:noWrap w:val="0"/>
                  <w:vAlign w:val="center"/>
                </w:tcPr>
                <w:p w14:paraId="418318DD">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p>
              </w:tc>
              <w:tc>
                <w:tcPr>
                  <w:tcW w:w="1009" w:type="dxa"/>
                  <w:tcBorders>
                    <w:tl2br w:val="nil"/>
                    <w:tr2bl w:val="nil"/>
                  </w:tcBorders>
                  <w:noWrap w:val="0"/>
                  <w:vAlign w:val="center"/>
                </w:tcPr>
                <w:p w14:paraId="683F70E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SS</w:t>
                  </w:r>
                </w:p>
              </w:tc>
              <w:tc>
                <w:tcPr>
                  <w:tcW w:w="1317" w:type="dxa"/>
                  <w:tcBorders>
                    <w:tl2br w:val="nil"/>
                    <w:tr2bl w:val="nil"/>
                  </w:tcBorders>
                  <w:noWrap w:val="0"/>
                  <w:vAlign w:val="center"/>
                </w:tcPr>
                <w:p w14:paraId="7993A76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104" w:type="dxa"/>
                  <w:tcBorders>
                    <w:tl2br w:val="nil"/>
                    <w:tr2bl w:val="nil"/>
                  </w:tcBorders>
                  <w:noWrap w:val="0"/>
                  <w:vAlign w:val="center"/>
                </w:tcPr>
                <w:p w14:paraId="077F5DC1">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1200" w:type="dxa"/>
                  <w:tcBorders>
                    <w:tl2br w:val="nil"/>
                    <w:tr2bl w:val="nil"/>
                  </w:tcBorders>
                  <w:noWrap w:val="0"/>
                  <w:vAlign w:val="center"/>
                </w:tcPr>
                <w:p w14:paraId="51A1173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3.463</w:t>
                  </w:r>
                  <w:r>
                    <w:rPr>
                      <w:rFonts w:hint="default" w:ascii="Times New Roman" w:hAnsi="Times New Roman" w:cs="Times New Roman"/>
                      <w:color w:val="auto"/>
                      <w:sz w:val="21"/>
                      <w:szCs w:val="21"/>
                      <w:highlight w:val="none"/>
                    </w:rPr>
                    <w:t>t/a</w:t>
                  </w:r>
                </w:p>
              </w:tc>
              <w:tc>
                <w:tcPr>
                  <w:tcW w:w="1236" w:type="dxa"/>
                  <w:tcBorders>
                    <w:tl2br w:val="nil"/>
                    <w:tr2bl w:val="nil"/>
                  </w:tcBorders>
                  <w:noWrap w:val="0"/>
                  <w:vAlign w:val="center"/>
                </w:tcPr>
                <w:p w14:paraId="5AA6AEE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143.22</w:t>
                  </w:r>
                  <w:r>
                    <w:rPr>
                      <w:rFonts w:hint="default" w:ascii="Times New Roman" w:hAnsi="Times New Roman" w:cs="Times New Roman"/>
                      <w:color w:val="auto"/>
                      <w:sz w:val="21"/>
                      <w:szCs w:val="21"/>
                      <w:highlight w:val="none"/>
                    </w:rPr>
                    <w:t>mg/L</w:t>
                  </w:r>
                </w:p>
              </w:tc>
            </w:tr>
            <w:tr w14:paraId="358E0F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5" w:hRule="atLeast"/>
                <w:jc w:val="center"/>
              </w:trPr>
              <w:tc>
                <w:tcPr>
                  <w:tcW w:w="2070" w:type="dxa"/>
                  <w:gridSpan w:val="2"/>
                  <w:vMerge w:val="continue"/>
                  <w:noWrap w:val="0"/>
                  <w:vAlign w:val="top"/>
                </w:tcPr>
                <w:p w14:paraId="6BE80D30">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eastAsia="zh-CN"/>
                    </w:rPr>
                  </w:pPr>
                </w:p>
              </w:tc>
              <w:tc>
                <w:tcPr>
                  <w:tcW w:w="774" w:type="dxa"/>
                  <w:vMerge w:val="continue"/>
                  <w:noWrap w:val="0"/>
                  <w:vAlign w:val="top"/>
                </w:tcPr>
                <w:p w14:paraId="4B075BDD">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p>
              </w:tc>
              <w:tc>
                <w:tcPr>
                  <w:tcW w:w="0" w:type="auto"/>
                  <w:noWrap w:val="0"/>
                  <w:vAlign w:val="center"/>
                </w:tcPr>
                <w:p w14:paraId="107DDB8B">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全盐量</w:t>
                  </w:r>
                </w:p>
              </w:tc>
              <w:tc>
                <w:tcPr>
                  <w:tcW w:w="0" w:type="auto"/>
                  <w:noWrap w:val="0"/>
                  <w:vAlign w:val="center"/>
                </w:tcPr>
                <w:p w14:paraId="7D5394B2">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0" w:type="auto"/>
                  <w:noWrap w:val="0"/>
                  <w:vAlign w:val="center"/>
                </w:tcPr>
                <w:p w14:paraId="3D874DC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0" w:type="auto"/>
                  <w:noWrap w:val="0"/>
                  <w:vAlign w:val="center"/>
                </w:tcPr>
                <w:p w14:paraId="520806F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66.846</w:t>
                  </w:r>
                  <w:r>
                    <w:rPr>
                      <w:rFonts w:hint="default" w:ascii="Times New Roman" w:hAnsi="Times New Roman" w:cs="Times New Roman"/>
                      <w:color w:val="auto"/>
                      <w:sz w:val="21"/>
                      <w:szCs w:val="21"/>
                      <w:highlight w:val="none"/>
                    </w:rPr>
                    <w:t>t/a</w:t>
                  </w:r>
                </w:p>
              </w:tc>
              <w:tc>
                <w:tcPr>
                  <w:tcW w:w="0" w:type="auto"/>
                  <w:noWrap w:val="0"/>
                  <w:vAlign w:val="center"/>
                </w:tcPr>
                <w:p w14:paraId="2A324C7F">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2764.52</w:t>
                  </w:r>
                  <w:r>
                    <w:rPr>
                      <w:rFonts w:hint="default" w:ascii="Times New Roman" w:hAnsi="Times New Roman" w:cs="Times New Roman"/>
                      <w:color w:val="auto"/>
                      <w:sz w:val="21"/>
                      <w:szCs w:val="21"/>
                      <w:highlight w:val="none"/>
                    </w:rPr>
                    <w:t>mg/L</w:t>
                  </w:r>
                </w:p>
              </w:tc>
            </w:tr>
          </w:tbl>
          <w:p w14:paraId="2EE40421">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szCs w:val="32"/>
                <w:highlight w:val="none"/>
                <w:lang w:val="en-US" w:eastAsia="zh-CN"/>
              </w:rPr>
              <w:t>*备注：全盐量已考虑调节池中片碱与废水中盐酸生产的钠盐；SS已考虑絮凝沉淀池添加的PAC絮凝剂。</w:t>
            </w:r>
          </w:p>
          <w:p w14:paraId="62F25A45">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lang w:val="en-US" w:eastAsia="zh-CN"/>
              </w:rPr>
              <w:t>2</w:t>
            </w:r>
            <w:r>
              <w:rPr>
                <w:rFonts w:hint="eastAsia" w:ascii="Times New Roman" w:hAnsi="Times New Roman" w:cs="Times New Roman"/>
                <w:color w:val="auto"/>
                <w:sz w:val="24"/>
                <w:szCs w:val="32"/>
                <w:highlight w:val="none"/>
                <w:lang w:eastAsia="zh-CN"/>
              </w:rPr>
              <w:t>）</w:t>
            </w:r>
            <w:r>
              <w:rPr>
                <w:rFonts w:hint="eastAsia" w:ascii="Times New Roman" w:hAnsi="Times New Roman" w:cs="Times New Roman"/>
                <w:color w:val="auto"/>
                <w:sz w:val="24"/>
                <w:szCs w:val="32"/>
                <w:highlight w:val="none"/>
              </w:rPr>
              <w:t>污染物治理设施</w:t>
            </w:r>
          </w:p>
          <w:p w14:paraId="3E55D9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cs="Times New Roman"/>
                <w:b/>
                <w:color w:val="auto"/>
                <w:szCs w:val="21"/>
                <w:highlight w:val="none"/>
                <w:lang w:val="en-US" w:eastAsia="zh-CN"/>
              </w:rPr>
              <w:t>7</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污染物治理设施一览表</w:t>
            </w:r>
          </w:p>
          <w:tbl>
            <w:tblPr>
              <w:tblStyle w:val="32"/>
              <w:tblW w:w="49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23"/>
              <w:gridCol w:w="1341"/>
              <w:gridCol w:w="1487"/>
              <w:gridCol w:w="1393"/>
              <w:gridCol w:w="1575"/>
              <w:gridCol w:w="1500"/>
            </w:tblGrid>
            <w:tr w14:paraId="0E5E4A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3" w:hRule="atLeast"/>
                <w:jc w:val="center"/>
              </w:trPr>
              <w:tc>
                <w:tcPr>
                  <w:tcW w:w="1423" w:type="dxa"/>
                  <w:tcBorders>
                    <w:tl2br w:val="nil"/>
                    <w:tr2bl w:val="nil"/>
                  </w:tcBorders>
                  <w:noWrap w:val="0"/>
                  <w:vAlign w:val="center"/>
                </w:tcPr>
                <w:p w14:paraId="7C65541B">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治理设施</w:t>
                  </w:r>
                </w:p>
              </w:tc>
              <w:tc>
                <w:tcPr>
                  <w:tcW w:w="1341" w:type="dxa"/>
                  <w:tcBorders>
                    <w:tl2br w:val="nil"/>
                    <w:tr2bl w:val="nil"/>
                  </w:tcBorders>
                  <w:noWrap w:val="0"/>
                  <w:vAlign w:val="center"/>
                </w:tcPr>
                <w:p w14:paraId="0D34B5CC">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处理能力</w:t>
                  </w:r>
                </w:p>
              </w:tc>
              <w:tc>
                <w:tcPr>
                  <w:tcW w:w="2880" w:type="dxa"/>
                  <w:gridSpan w:val="2"/>
                  <w:tcBorders>
                    <w:tl2br w:val="nil"/>
                    <w:tr2bl w:val="nil"/>
                  </w:tcBorders>
                  <w:noWrap w:val="0"/>
                  <w:vAlign w:val="center"/>
                </w:tcPr>
                <w:p w14:paraId="2F0125BB">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治理工艺</w:t>
                  </w:r>
                </w:p>
              </w:tc>
              <w:tc>
                <w:tcPr>
                  <w:tcW w:w="1575" w:type="dxa"/>
                  <w:tcBorders>
                    <w:tl2br w:val="nil"/>
                    <w:tr2bl w:val="nil"/>
                  </w:tcBorders>
                  <w:noWrap w:val="0"/>
                  <w:vAlign w:val="center"/>
                </w:tcPr>
                <w:p w14:paraId="678241D3">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治理效率</w:t>
                  </w:r>
                </w:p>
              </w:tc>
              <w:tc>
                <w:tcPr>
                  <w:tcW w:w="1500" w:type="dxa"/>
                  <w:tcBorders>
                    <w:tl2br w:val="nil"/>
                    <w:tr2bl w:val="nil"/>
                  </w:tcBorders>
                  <w:noWrap w:val="0"/>
                  <w:vAlign w:val="center"/>
                </w:tcPr>
                <w:p w14:paraId="575B4181">
                  <w:pPr>
                    <w:keepNext w:val="0"/>
                    <w:keepLines w:val="0"/>
                    <w:widowControl/>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是否为可行技术</w:t>
                  </w:r>
                </w:p>
              </w:tc>
            </w:tr>
            <w:tr w14:paraId="680E25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5" w:hRule="atLeast"/>
                <w:jc w:val="center"/>
              </w:trPr>
              <w:tc>
                <w:tcPr>
                  <w:tcW w:w="1423" w:type="dxa"/>
                  <w:vMerge w:val="restart"/>
                  <w:tcBorders>
                    <w:tl2br w:val="nil"/>
                    <w:tr2bl w:val="nil"/>
                  </w:tcBorders>
                  <w:noWrap w:val="0"/>
                  <w:vAlign w:val="center"/>
                </w:tcPr>
                <w:p w14:paraId="7452780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化粪池</w:t>
                  </w:r>
                </w:p>
              </w:tc>
              <w:tc>
                <w:tcPr>
                  <w:tcW w:w="1341" w:type="dxa"/>
                  <w:vMerge w:val="restart"/>
                  <w:tcBorders>
                    <w:tl2br w:val="nil"/>
                    <w:tr2bl w:val="nil"/>
                  </w:tcBorders>
                  <w:noWrap w:val="0"/>
                  <w:vAlign w:val="center"/>
                </w:tcPr>
                <w:p w14:paraId="258E573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t/d</w:t>
                  </w:r>
                </w:p>
              </w:tc>
              <w:tc>
                <w:tcPr>
                  <w:tcW w:w="1487" w:type="dxa"/>
                  <w:vMerge w:val="restart"/>
                  <w:tcBorders>
                    <w:tl2br w:val="nil"/>
                    <w:tr2bl w:val="nil"/>
                  </w:tcBorders>
                  <w:noWrap w:val="0"/>
                  <w:vAlign w:val="center"/>
                </w:tcPr>
                <w:p w14:paraId="435BE64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化粪池</w:t>
                  </w:r>
                </w:p>
              </w:tc>
              <w:tc>
                <w:tcPr>
                  <w:tcW w:w="1393" w:type="dxa"/>
                  <w:tcBorders>
                    <w:tl2br w:val="nil"/>
                    <w:tr2bl w:val="nil"/>
                  </w:tcBorders>
                  <w:noWrap w:val="0"/>
                  <w:vAlign w:val="center"/>
                </w:tcPr>
                <w:p w14:paraId="23DABC4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tc>
              <w:tc>
                <w:tcPr>
                  <w:tcW w:w="1575" w:type="dxa"/>
                  <w:tcBorders>
                    <w:tl2br w:val="nil"/>
                    <w:tr2bl w:val="nil"/>
                  </w:tcBorders>
                  <w:noWrap w:val="0"/>
                  <w:vAlign w:val="center"/>
                </w:tcPr>
                <w:p w14:paraId="79EB7880">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30%</w:t>
                  </w:r>
                </w:p>
              </w:tc>
              <w:tc>
                <w:tcPr>
                  <w:tcW w:w="1500" w:type="dxa"/>
                  <w:vMerge w:val="restart"/>
                  <w:tcBorders>
                    <w:tl2br w:val="nil"/>
                    <w:tr2bl w:val="nil"/>
                  </w:tcBorders>
                  <w:noWrap w:val="0"/>
                  <w:vAlign w:val="center"/>
                </w:tcPr>
                <w:p w14:paraId="7870695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r>
            <w:tr w14:paraId="3BE0E6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5" w:hRule="atLeast"/>
                <w:jc w:val="center"/>
              </w:trPr>
              <w:tc>
                <w:tcPr>
                  <w:tcW w:w="1423" w:type="dxa"/>
                  <w:vMerge w:val="continue"/>
                  <w:tcBorders>
                    <w:tl2br w:val="nil"/>
                    <w:tr2bl w:val="nil"/>
                  </w:tcBorders>
                  <w:noWrap w:val="0"/>
                  <w:vAlign w:val="center"/>
                </w:tcPr>
                <w:p w14:paraId="481D5AC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341" w:type="dxa"/>
                  <w:vMerge w:val="continue"/>
                  <w:tcBorders>
                    <w:tl2br w:val="nil"/>
                    <w:tr2bl w:val="nil"/>
                  </w:tcBorders>
                  <w:noWrap w:val="0"/>
                  <w:vAlign w:val="center"/>
                </w:tcPr>
                <w:p w14:paraId="0E4523B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487" w:type="dxa"/>
                  <w:vMerge w:val="continue"/>
                  <w:tcBorders>
                    <w:tl2br w:val="nil"/>
                    <w:tr2bl w:val="nil"/>
                  </w:tcBorders>
                  <w:noWrap w:val="0"/>
                  <w:vAlign w:val="center"/>
                </w:tcPr>
                <w:p w14:paraId="4D8F0E7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393" w:type="dxa"/>
                  <w:tcBorders>
                    <w:tl2br w:val="nil"/>
                    <w:tr2bl w:val="nil"/>
                  </w:tcBorders>
                  <w:noWrap w:val="0"/>
                  <w:vAlign w:val="center"/>
                </w:tcPr>
                <w:p w14:paraId="42C6297B">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575" w:type="dxa"/>
                  <w:tcBorders>
                    <w:tl2br w:val="nil"/>
                    <w:tr2bl w:val="nil"/>
                  </w:tcBorders>
                  <w:noWrap w:val="0"/>
                  <w:vAlign w:val="center"/>
                </w:tcPr>
                <w:p w14:paraId="05BB5C4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1500" w:type="dxa"/>
                  <w:vMerge w:val="continue"/>
                  <w:tcBorders>
                    <w:tl2br w:val="nil"/>
                    <w:tr2bl w:val="nil"/>
                  </w:tcBorders>
                  <w:noWrap w:val="0"/>
                  <w:vAlign w:val="center"/>
                </w:tcPr>
                <w:p w14:paraId="154EC7E9">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2AEE69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5" w:hRule="atLeast"/>
                <w:jc w:val="center"/>
              </w:trPr>
              <w:tc>
                <w:tcPr>
                  <w:tcW w:w="1423" w:type="dxa"/>
                  <w:vMerge w:val="restart"/>
                  <w:tcBorders>
                    <w:tl2br w:val="nil"/>
                    <w:tr2bl w:val="nil"/>
                  </w:tcBorders>
                  <w:noWrap w:val="0"/>
                  <w:vAlign w:val="center"/>
                </w:tcPr>
                <w:p w14:paraId="69F1F81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调节池+絮凝沉淀池+澄清池+普通快滤池+离子交换树脂过滤</w:t>
                  </w:r>
                </w:p>
              </w:tc>
              <w:tc>
                <w:tcPr>
                  <w:tcW w:w="1341" w:type="dxa"/>
                  <w:vMerge w:val="restart"/>
                  <w:tcBorders>
                    <w:tl2br w:val="nil"/>
                    <w:tr2bl w:val="nil"/>
                  </w:tcBorders>
                  <w:noWrap w:val="0"/>
                  <w:vAlign w:val="center"/>
                </w:tcPr>
                <w:p w14:paraId="420A9FD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r>
                    <w:rPr>
                      <w:rFonts w:hint="default" w:ascii="Times New Roman" w:hAnsi="Times New Roman" w:cs="Times New Roman"/>
                      <w:color w:val="auto"/>
                      <w:sz w:val="21"/>
                      <w:szCs w:val="21"/>
                      <w:highlight w:val="none"/>
                    </w:rPr>
                    <w:t>t/d</w:t>
                  </w:r>
                </w:p>
              </w:tc>
              <w:tc>
                <w:tcPr>
                  <w:tcW w:w="1487" w:type="dxa"/>
                  <w:vMerge w:val="restart"/>
                  <w:tcBorders>
                    <w:tl2br w:val="nil"/>
                    <w:tr2bl w:val="nil"/>
                  </w:tcBorders>
                  <w:noWrap w:val="0"/>
                  <w:vAlign w:val="center"/>
                </w:tcPr>
                <w:p w14:paraId="49A604B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中和+絮凝沉淀+过滤</w:t>
                  </w:r>
                </w:p>
              </w:tc>
              <w:tc>
                <w:tcPr>
                  <w:tcW w:w="1393" w:type="dxa"/>
                  <w:tcBorders>
                    <w:tl2br w:val="nil"/>
                    <w:tr2bl w:val="nil"/>
                  </w:tcBorders>
                  <w:noWrap w:val="0"/>
                  <w:vAlign w:val="center"/>
                </w:tcPr>
                <w:p w14:paraId="1795BA3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pH</w:t>
                  </w:r>
                </w:p>
              </w:tc>
              <w:tc>
                <w:tcPr>
                  <w:tcW w:w="1575" w:type="dxa"/>
                  <w:tcBorders>
                    <w:tl2br w:val="nil"/>
                    <w:tr2bl w:val="nil"/>
                  </w:tcBorders>
                  <w:noWrap w:val="0"/>
                  <w:vAlign w:val="center"/>
                </w:tcPr>
                <w:p w14:paraId="5D25BA59">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500" w:type="dxa"/>
                  <w:vMerge w:val="restart"/>
                  <w:tcBorders>
                    <w:tl2br w:val="nil"/>
                    <w:tr2bl w:val="nil"/>
                  </w:tcBorders>
                  <w:noWrap w:val="0"/>
                  <w:vAlign w:val="center"/>
                </w:tcPr>
                <w:p w14:paraId="5FB13C30">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是</w:t>
                  </w:r>
                </w:p>
              </w:tc>
            </w:tr>
            <w:tr w14:paraId="199665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5" w:hRule="atLeast"/>
                <w:jc w:val="center"/>
              </w:trPr>
              <w:tc>
                <w:tcPr>
                  <w:tcW w:w="1423" w:type="dxa"/>
                  <w:vMerge w:val="continue"/>
                  <w:tcBorders>
                    <w:tl2br w:val="nil"/>
                    <w:tr2bl w:val="nil"/>
                  </w:tcBorders>
                  <w:noWrap w:val="0"/>
                  <w:vAlign w:val="center"/>
                </w:tcPr>
                <w:p w14:paraId="7D0EF843">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341" w:type="dxa"/>
                  <w:vMerge w:val="continue"/>
                  <w:tcBorders>
                    <w:tl2br w:val="nil"/>
                    <w:tr2bl w:val="nil"/>
                  </w:tcBorders>
                  <w:noWrap w:val="0"/>
                  <w:vAlign w:val="center"/>
                </w:tcPr>
                <w:p w14:paraId="7818BC0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487" w:type="dxa"/>
                  <w:vMerge w:val="continue"/>
                  <w:tcBorders>
                    <w:tl2br w:val="nil"/>
                    <w:tr2bl w:val="nil"/>
                  </w:tcBorders>
                  <w:noWrap w:val="0"/>
                  <w:vAlign w:val="center"/>
                </w:tcPr>
                <w:p w14:paraId="7D9DA352">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393" w:type="dxa"/>
                  <w:tcBorders>
                    <w:tl2br w:val="nil"/>
                    <w:tr2bl w:val="nil"/>
                  </w:tcBorders>
                  <w:noWrap w:val="0"/>
                  <w:vAlign w:val="center"/>
                </w:tcPr>
                <w:p w14:paraId="004E917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SS</w:t>
                  </w:r>
                </w:p>
              </w:tc>
              <w:tc>
                <w:tcPr>
                  <w:tcW w:w="1575" w:type="dxa"/>
                  <w:tcBorders>
                    <w:tl2br w:val="nil"/>
                    <w:tr2bl w:val="nil"/>
                  </w:tcBorders>
                  <w:noWrap w:val="0"/>
                  <w:vAlign w:val="center"/>
                </w:tcPr>
                <w:p w14:paraId="443A787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82%</w:t>
                  </w:r>
                </w:p>
              </w:tc>
              <w:tc>
                <w:tcPr>
                  <w:tcW w:w="1500" w:type="dxa"/>
                  <w:vMerge w:val="continue"/>
                  <w:tcBorders>
                    <w:tl2br w:val="nil"/>
                    <w:tr2bl w:val="nil"/>
                  </w:tcBorders>
                  <w:noWrap w:val="0"/>
                  <w:vAlign w:val="center"/>
                </w:tcPr>
                <w:p w14:paraId="133B00E5">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58F99A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9" w:hRule="atLeast"/>
                <w:jc w:val="center"/>
              </w:trPr>
              <w:tc>
                <w:tcPr>
                  <w:tcW w:w="1423" w:type="dxa"/>
                  <w:vMerge w:val="continue"/>
                  <w:tcBorders>
                    <w:tl2br w:val="nil"/>
                    <w:tr2bl w:val="nil"/>
                  </w:tcBorders>
                  <w:noWrap w:val="0"/>
                  <w:vAlign w:val="center"/>
                </w:tcPr>
                <w:p w14:paraId="4482177F">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341" w:type="dxa"/>
                  <w:vMerge w:val="continue"/>
                  <w:tcBorders>
                    <w:tl2br w:val="nil"/>
                    <w:tr2bl w:val="nil"/>
                  </w:tcBorders>
                  <w:noWrap w:val="0"/>
                  <w:vAlign w:val="center"/>
                </w:tcPr>
                <w:p w14:paraId="2DA4098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487" w:type="dxa"/>
                  <w:vMerge w:val="continue"/>
                  <w:tcBorders>
                    <w:tl2br w:val="nil"/>
                    <w:tr2bl w:val="nil"/>
                  </w:tcBorders>
                  <w:noWrap w:val="0"/>
                  <w:vAlign w:val="center"/>
                </w:tcPr>
                <w:p w14:paraId="53BF2423">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393" w:type="dxa"/>
                  <w:tcBorders>
                    <w:tl2br w:val="nil"/>
                    <w:tr2bl w:val="nil"/>
                  </w:tcBorders>
                  <w:noWrap w:val="0"/>
                  <w:vAlign w:val="center"/>
                </w:tcPr>
                <w:p w14:paraId="14E5239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全盐量</w:t>
                  </w:r>
                </w:p>
              </w:tc>
              <w:tc>
                <w:tcPr>
                  <w:tcW w:w="1575" w:type="dxa"/>
                  <w:tcBorders>
                    <w:tl2br w:val="nil"/>
                    <w:tr2bl w:val="nil"/>
                  </w:tcBorders>
                  <w:noWrap w:val="0"/>
                  <w:vAlign w:val="center"/>
                </w:tcPr>
                <w:p w14:paraId="05FA1ACD">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1500" w:type="dxa"/>
                  <w:vMerge w:val="continue"/>
                  <w:tcBorders>
                    <w:tl2br w:val="nil"/>
                    <w:tr2bl w:val="nil"/>
                  </w:tcBorders>
                  <w:noWrap w:val="0"/>
                  <w:vAlign w:val="center"/>
                </w:tcPr>
                <w:p w14:paraId="3EE16A1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r>
          </w:tbl>
          <w:p w14:paraId="10FC4B5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40" w:firstLineChars="200"/>
              <w:jc w:val="left"/>
              <w:textAlignment w:val="auto"/>
              <w:rPr>
                <w:rFonts w:hint="eastAsia" w:ascii="Times New Roman" w:hAnsi="Times New Roman" w:cs="Times New Roman"/>
                <w:color w:val="auto"/>
                <w:sz w:val="24"/>
                <w:highlight w:val="none"/>
                <w:lang w:eastAsia="zh-CN"/>
              </w:rPr>
            </w:pPr>
            <w:r>
              <w:rPr>
                <w:rFonts w:hint="eastAsia" w:ascii="Times New Roman" w:hAnsi="Times New Roman" w:cs="Times New Roman"/>
                <w:bCs/>
                <w:color w:val="auto"/>
                <w:spacing w:val="-10"/>
                <w:sz w:val="24"/>
                <w:highlight w:val="none"/>
                <w:lang w:eastAsia="zh-CN"/>
              </w:rPr>
              <w:t>（</w:t>
            </w:r>
            <w:r>
              <w:rPr>
                <w:rFonts w:hint="eastAsia" w:ascii="Times New Roman" w:hAnsi="Times New Roman" w:cs="Times New Roman"/>
                <w:bCs/>
                <w:color w:val="auto"/>
                <w:spacing w:val="-10"/>
                <w:sz w:val="24"/>
                <w:highlight w:val="none"/>
                <w:lang w:val="en-US" w:eastAsia="zh-CN"/>
              </w:rPr>
              <w:t>3</w:t>
            </w:r>
            <w:r>
              <w:rPr>
                <w:rFonts w:hint="eastAsia" w:ascii="Times New Roman" w:hAnsi="Times New Roman" w:cs="Times New Roman"/>
                <w:bCs/>
                <w:color w:val="auto"/>
                <w:spacing w:val="-10"/>
                <w:sz w:val="24"/>
                <w:highlight w:val="none"/>
                <w:lang w:eastAsia="zh-CN"/>
              </w:rPr>
              <w:t>）废水治理措施可行性分析</w:t>
            </w:r>
          </w:p>
          <w:p w14:paraId="674D0C8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调节池：由于清洗废水中含有一定量的氯化氢，废水呈酸性，在密闭的调节池内加入一定量的片碱，调节pH至6-9范围。调节池尺寸为3m</w:t>
            </w:r>
            <w:r>
              <w:rPr>
                <w:rFonts w:hint="default" w:ascii="Times New Roman" w:hAnsi="Times New Roman" w:eastAsia="宋体" w:cs="Times New Roman"/>
                <w:sz w:val="24"/>
                <w:szCs w:val="24"/>
              </w:rPr>
              <w:t>×</w:t>
            </w:r>
            <w:r>
              <w:rPr>
                <w:rFonts w:hint="eastAsia" w:ascii="Times New Roman" w:hAnsi="Times New Roman" w:cs="Times New Roman"/>
                <w:color w:val="auto"/>
                <w:sz w:val="24"/>
                <w:highlight w:val="none"/>
                <w:lang w:val="en-US" w:eastAsia="zh-CN"/>
              </w:rPr>
              <w:t>3m</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4m。</w:t>
            </w:r>
          </w:p>
          <w:p w14:paraId="02629AC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zh-CN" w:eastAsia="zh-CN"/>
              </w:rPr>
            </w:pPr>
            <w:r>
              <w:rPr>
                <w:rFonts w:hint="eastAsia" w:ascii="Times New Roman" w:hAnsi="Times New Roman" w:cs="Times New Roman"/>
                <w:color w:val="auto"/>
                <w:sz w:val="24"/>
                <w:highlight w:val="none"/>
                <w:lang w:val="en-US" w:eastAsia="zh-CN"/>
              </w:rPr>
              <w:t>絮凝沉淀</w:t>
            </w:r>
            <w:r>
              <w:rPr>
                <w:rFonts w:hint="eastAsia" w:ascii="Times New Roman" w:hAnsi="Times New Roman" w:cs="Times New Roman"/>
                <w:color w:val="auto"/>
                <w:sz w:val="24"/>
                <w:highlight w:val="none"/>
                <w:lang w:eastAsia="zh-CN"/>
              </w:rPr>
              <w:t>池：</w:t>
            </w:r>
            <w:r>
              <w:rPr>
                <w:rFonts w:hint="eastAsia" w:ascii="Times New Roman" w:hAnsi="Times New Roman" w:cs="Times New Roman"/>
                <w:color w:val="auto"/>
                <w:sz w:val="24"/>
                <w:highlight w:val="none"/>
                <w:lang w:val="en-US" w:eastAsia="zh-CN"/>
              </w:rPr>
              <w:t>絮凝</w:t>
            </w:r>
            <w:r>
              <w:rPr>
                <w:rFonts w:hint="eastAsia" w:ascii="Times New Roman" w:hAnsi="Times New Roman" w:cs="Times New Roman"/>
                <w:color w:val="auto"/>
                <w:sz w:val="24"/>
                <w:highlight w:val="none"/>
                <w:lang w:eastAsia="zh-CN"/>
              </w:rPr>
              <w:t>沉淀是通过投加化学药剂（</w:t>
            </w:r>
            <w:r>
              <w:rPr>
                <w:rFonts w:hint="eastAsia" w:ascii="Times New Roman" w:hAnsi="Times New Roman" w:cs="Times New Roman"/>
                <w:color w:val="auto"/>
                <w:sz w:val="24"/>
                <w:highlight w:val="none"/>
                <w:lang w:val="en-US" w:eastAsia="zh-CN"/>
              </w:rPr>
              <w:t>PAC</w:t>
            </w:r>
            <w:r>
              <w:rPr>
                <w:rFonts w:hint="eastAsia" w:ascii="Times New Roman" w:hAnsi="Times New Roman" w:cs="Times New Roman"/>
                <w:color w:val="auto"/>
                <w:sz w:val="24"/>
                <w:highlight w:val="none"/>
                <w:lang w:eastAsia="zh-CN"/>
              </w:rPr>
              <w:t>），使其产生吸附、中和微粒间电荷、压缩双电层等作用而发生凝聚（</w:t>
            </w:r>
            <w:r>
              <w:rPr>
                <w:rFonts w:hint="eastAsia" w:ascii="Times New Roman" w:hAnsi="Times New Roman" w:cs="Times New Roman"/>
                <w:color w:val="auto"/>
                <w:sz w:val="24"/>
                <w:highlight w:val="none"/>
                <w:lang w:val="en-US" w:eastAsia="zh-CN"/>
              </w:rPr>
              <w:t>主要去除废水中</w:t>
            </w:r>
            <w:r>
              <w:rPr>
                <w:rFonts w:hint="eastAsia" w:ascii="Times New Roman" w:hAnsi="Times New Roman" w:cs="Times New Roman"/>
                <w:color w:val="auto"/>
                <w:sz w:val="24"/>
                <w:highlight w:val="none"/>
                <w:lang w:eastAsia="zh-CN"/>
              </w:rPr>
              <w:t>微小的颗粒(如悬浮物、胶体等)），破坏废水中胶体的稳定性使胶体微粒聚合、集结而形成絮体，在重力的作用下沉降，并在此过程中吸附捕集周围颗粒，从而去除有机物等有害物质，使水中的絮凝体沉淀到底部，从而实现水中固体物质的分离和去除。</w:t>
            </w:r>
            <w:r>
              <w:rPr>
                <w:rFonts w:hint="eastAsia" w:ascii="Times New Roman" w:hAnsi="Times New Roman" w:cs="Times New Roman"/>
                <w:color w:val="auto"/>
                <w:sz w:val="24"/>
                <w:highlight w:val="none"/>
                <w:lang w:val="en-US" w:eastAsia="zh-CN"/>
              </w:rPr>
              <w:t>絮凝沉淀</w:t>
            </w:r>
            <w:r>
              <w:rPr>
                <w:rFonts w:hint="eastAsia" w:ascii="Times New Roman" w:hAnsi="Times New Roman" w:cs="Times New Roman"/>
                <w:color w:val="auto"/>
                <w:sz w:val="24"/>
                <w:highlight w:val="none"/>
                <w:lang w:eastAsia="zh-CN"/>
              </w:rPr>
              <w:t>池</w:t>
            </w:r>
            <w:r>
              <w:rPr>
                <w:rFonts w:hint="eastAsia" w:ascii="Times New Roman" w:hAnsi="Times New Roman" w:cs="Times New Roman"/>
                <w:color w:val="auto"/>
                <w:sz w:val="24"/>
                <w:highlight w:val="none"/>
                <w:lang w:val="en-US" w:eastAsia="zh-CN"/>
              </w:rPr>
              <w:t>尺寸为4m</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3</w:t>
            </w:r>
            <w:r>
              <w:rPr>
                <w:rFonts w:hint="eastAsia" w:ascii="Times New Roman" w:hAnsi="Times New Roman" w:cs="Times New Roman"/>
                <w:color w:val="auto"/>
                <w:sz w:val="24"/>
                <w:highlight w:val="none"/>
                <w:lang w:val="en-US" w:eastAsia="zh-CN"/>
              </w:rPr>
              <w:t>m</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4m，对悬浮物处理效率约为40%。</w:t>
            </w:r>
          </w:p>
          <w:p w14:paraId="3F7A5CC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zh-CN" w:eastAsia="zh-CN"/>
              </w:rPr>
            </w:pPr>
            <w:r>
              <w:rPr>
                <w:rFonts w:hint="eastAsia" w:ascii="Times New Roman" w:hAnsi="Times New Roman" w:cs="Times New Roman"/>
                <w:color w:val="auto"/>
                <w:sz w:val="24"/>
                <w:highlight w:val="none"/>
                <w:lang w:val="zh-CN" w:eastAsia="zh-CN"/>
              </w:rPr>
              <w:t>澄清池：澄清池中起到截留分离杂质颗粒作用的介质是呈悬浮状的泥渣。在澄清池中，沉泥被提升起来并使之处于均匀分布的悬浮状态，在池中形成高浓度的稳定活性泥渣层，该层悬浮物浓度约在3～10g/L。原水在澄清池中由下向上流动，泥渣层由于重力作用可在上升水流中处于动态平衡状态。当原水通过泥渣悬浮层时，利用接触絮凝原理，原水中的悬浮物便被泥渣悬浮层阻留下来，使水获得澄清。清水在澄清池上部被收集。澄清池</w:t>
            </w:r>
            <w:r>
              <w:rPr>
                <w:rFonts w:hint="eastAsia" w:ascii="Times New Roman" w:hAnsi="Times New Roman" w:cs="Times New Roman"/>
                <w:color w:val="auto"/>
                <w:sz w:val="24"/>
                <w:highlight w:val="none"/>
                <w:lang w:val="en-US" w:eastAsia="zh-CN"/>
              </w:rPr>
              <w:t>尺寸为3m</w:t>
            </w:r>
            <w:r>
              <w:rPr>
                <w:rFonts w:hint="default" w:ascii="Times New Roman" w:hAnsi="Times New Roman" w:eastAsia="宋体" w:cs="Times New Roman"/>
                <w:sz w:val="24"/>
                <w:szCs w:val="24"/>
              </w:rPr>
              <w:t>×</w:t>
            </w:r>
            <w:r>
              <w:rPr>
                <w:rFonts w:hint="eastAsia" w:ascii="Times New Roman" w:hAnsi="Times New Roman" w:cs="Times New Roman"/>
                <w:color w:val="auto"/>
                <w:sz w:val="24"/>
                <w:highlight w:val="none"/>
                <w:lang w:val="en-US" w:eastAsia="zh-CN"/>
              </w:rPr>
              <w:t>2m</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4m，对悬浮物处理效率约为40%。</w:t>
            </w:r>
          </w:p>
          <w:p w14:paraId="3876AB2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zh-CN" w:eastAsia="zh-CN"/>
              </w:rPr>
            </w:pPr>
            <w:r>
              <w:rPr>
                <w:rFonts w:hint="eastAsia" w:ascii="Times New Roman" w:hAnsi="Times New Roman" w:cs="Times New Roman"/>
                <w:color w:val="auto"/>
                <w:sz w:val="24"/>
                <w:highlight w:val="none"/>
                <w:lang w:val="zh-CN" w:eastAsia="zh-CN"/>
              </w:rPr>
              <w:t>普通快滤池：利用石英砂颗粒的筛分作用，‌将水中的悬浮物、‌大颗粒物阻隔在滤层外部，‌保证水质清洁。‌这种物理过滤作用能够有效地去除水中的悬浮物、‌固体颗粒和溶解性有机物，‌提高水的透明度和清洁度</w:t>
            </w:r>
            <w:r>
              <w:rPr>
                <w:rFonts w:hint="eastAsia" w:ascii="Times New Roman" w:hAnsi="Times New Roman" w:cs="Times New Roman"/>
                <w:color w:val="auto"/>
                <w:sz w:val="24"/>
                <w:highlight w:val="none"/>
                <w:lang w:eastAsia="zh-CN"/>
              </w:rPr>
              <w:t>。石英砂表面的负电荷与水中带正电荷的离子相互作用，‌使这些离子被吸附在石英砂表面，‌从而降低水中的离子浓度。‌此外，‌石英砂还具有良好的吸附性能，‌其表面带有一定的电荷，‌能够吸附水中的‌有机物等污染物，‌进一步净化水质。</w:t>
            </w:r>
            <w:r>
              <w:rPr>
                <w:rFonts w:hint="eastAsia" w:ascii="Times New Roman" w:hAnsi="Times New Roman" w:cs="Times New Roman"/>
                <w:color w:val="auto"/>
                <w:sz w:val="24"/>
                <w:highlight w:val="none"/>
                <w:lang w:val="zh-CN" w:eastAsia="zh-CN"/>
              </w:rPr>
              <w:t>普通快滤池</w:t>
            </w:r>
            <w:r>
              <w:rPr>
                <w:rFonts w:hint="eastAsia" w:ascii="Times New Roman" w:hAnsi="Times New Roman" w:cs="Times New Roman"/>
                <w:color w:val="auto"/>
                <w:sz w:val="24"/>
                <w:highlight w:val="none"/>
                <w:lang w:val="en-US" w:eastAsia="zh-CN"/>
              </w:rPr>
              <w:t>尺寸为3m</w:t>
            </w:r>
            <w:r>
              <w:rPr>
                <w:rFonts w:hint="default" w:ascii="Times New Roman" w:hAnsi="Times New Roman" w:eastAsia="宋体" w:cs="Times New Roman"/>
                <w:sz w:val="24"/>
                <w:szCs w:val="24"/>
              </w:rPr>
              <w:t>×</w:t>
            </w:r>
            <w:r>
              <w:rPr>
                <w:rFonts w:hint="eastAsia" w:ascii="Times New Roman" w:hAnsi="Times New Roman" w:cs="Times New Roman"/>
                <w:color w:val="auto"/>
                <w:sz w:val="24"/>
                <w:highlight w:val="none"/>
                <w:lang w:val="en-US" w:eastAsia="zh-CN"/>
              </w:rPr>
              <w:t>3m</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4m，对悬浮物处理效率约为50%</w:t>
            </w:r>
            <w:r>
              <w:rPr>
                <w:rFonts w:hint="eastAsia" w:cs="Times New Roman"/>
                <w:sz w:val="24"/>
                <w:szCs w:val="24"/>
                <w:lang w:val="en-US" w:eastAsia="zh-CN"/>
              </w:rPr>
              <w:t>。</w:t>
            </w:r>
          </w:p>
          <w:p w14:paraId="1A95458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val="en-US" w:eastAsia="zh-CN"/>
              </w:rPr>
              <w:t>离子交换树脂过滤：通过离子交换树脂的吸附和交换作用，去除水中的阴离子表面活性剂、全盐量，从而达到净化水质的目的。 离子交换树脂是一类带有活性基团的高分子化合物，具有网状结构和不溶性，能够与水中的离子进行交换</w:t>
            </w:r>
            <w:r>
              <w:rPr>
                <w:rFonts w:hint="eastAsia" w:ascii="Times New Roman" w:hAnsi="Times New Roman" w:eastAsia="宋体" w:cs="Times New Roman"/>
                <w:sz w:val="24"/>
                <w:szCs w:val="24"/>
                <w:lang w:val="en-US" w:eastAsia="zh-CN"/>
              </w:rPr>
              <w:t>，对全盐量处理效率约为</w:t>
            </w:r>
            <w:r>
              <w:rPr>
                <w:rFonts w:hint="eastAsia" w:cs="Times New Roman"/>
                <w:sz w:val="24"/>
                <w:szCs w:val="24"/>
                <w:lang w:val="en-US" w:eastAsia="zh-CN"/>
              </w:rPr>
              <w:t>7</w:t>
            </w:r>
            <w:r>
              <w:rPr>
                <w:rFonts w:hint="eastAsia" w:ascii="Times New Roman" w:hAnsi="Times New Roman" w:eastAsia="宋体" w:cs="Times New Roman"/>
                <w:sz w:val="24"/>
                <w:szCs w:val="24"/>
                <w:lang w:val="en-US" w:eastAsia="zh-CN"/>
              </w:rPr>
              <w:t>0%</w:t>
            </w:r>
            <w:r>
              <w:rPr>
                <w:rFonts w:hint="eastAsia" w:cs="Times New Roman"/>
                <w:color w:val="auto"/>
                <w:sz w:val="24"/>
                <w:highlight w:val="none"/>
                <w:lang w:val="en-US" w:eastAsia="zh-CN"/>
              </w:rPr>
              <w:t>。</w:t>
            </w:r>
          </w:p>
          <w:p w14:paraId="3E35332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szCs w:val="32"/>
                <w:highlight w:val="none"/>
                <w:lang w:val="en-US" w:eastAsia="zh-CN"/>
              </w:rPr>
            </w:pPr>
            <w:r>
              <w:rPr>
                <w:rFonts w:hint="eastAsia" w:ascii="Times New Roman" w:hAnsi="Times New Roman" w:cs="Times New Roman"/>
                <w:color w:val="auto"/>
                <w:sz w:val="24"/>
                <w:highlight w:val="none"/>
                <w:lang w:eastAsia="zh-CN"/>
              </w:rPr>
              <w:t>根据《排污许可证申请与核发技术规范 石墨及其他非金属矿物制品制造》（HJ1119-2020）</w:t>
            </w:r>
            <w:r>
              <w:rPr>
                <w:rFonts w:hint="eastAsia" w:ascii="Times New Roman" w:hAnsi="Times New Roman" w:cs="Times New Roman"/>
                <w:bCs/>
                <w:color w:val="auto"/>
                <w:spacing w:val="-10"/>
                <w:sz w:val="24"/>
                <w:highlight w:val="none"/>
                <w:lang w:eastAsia="zh-CN"/>
              </w:rPr>
              <w:t>，本项目使用的</w:t>
            </w:r>
            <w:r>
              <w:rPr>
                <w:rFonts w:hint="eastAsia" w:ascii="Times New Roman" w:hAnsi="Times New Roman" w:cs="Times New Roman"/>
                <w:bCs/>
                <w:color w:val="auto"/>
                <w:spacing w:val="-10"/>
                <w:sz w:val="24"/>
                <w:highlight w:val="none"/>
                <w:lang w:val="en-US" w:eastAsia="zh-CN"/>
              </w:rPr>
              <w:t>污水</w:t>
            </w:r>
            <w:r>
              <w:rPr>
                <w:rFonts w:hint="eastAsia" w:ascii="Times New Roman" w:hAnsi="Times New Roman" w:cs="Times New Roman"/>
                <w:bCs/>
                <w:color w:val="auto"/>
                <w:spacing w:val="-10"/>
                <w:sz w:val="24"/>
                <w:highlight w:val="none"/>
                <w:lang w:eastAsia="zh-CN"/>
              </w:rPr>
              <w:t>治理工艺“</w:t>
            </w:r>
            <w:r>
              <w:rPr>
                <w:rFonts w:hint="eastAsia" w:cs="Times New Roman"/>
                <w:bCs/>
                <w:color w:val="auto"/>
                <w:spacing w:val="-10"/>
                <w:sz w:val="24"/>
                <w:highlight w:val="none"/>
                <w:lang w:val="en-US" w:eastAsia="zh-CN"/>
              </w:rPr>
              <w:t>调节池+絮凝沉淀池+澄清池+普通快滤池+离子交换树脂过滤</w:t>
            </w:r>
            <w:r>
              <w:rPr>
                <w:rFonts w:hint="eastAsia" w:ascii="Times New Roman" w:hAnsi="Times New Roman" w:cs="Times New Roman"/>
                <w:bCs/>
                <w:color w:val="auto"/>
                <w:spacing w:val="-10"/>
                <w:sz w:val="24"/>
                <w:highlight w:val="none"/>
                <w:lang w:eastAsia="zh-CN"/>
              </w:rPr>
              <w:t>”属于可行性技术。</w:t>
            </w:r>
            <w:r>
              <w:rPr>
                <w:rFonts w:hint="eastAsia" w:ascii="Times New Roman" w:hAnsi="Times New Roman" w:cs="Times New Roman"/>
                <w:color w:val="auto"/>
                <w:sz w:val="24"/>
                <w:highlight w:val="none"/>
              </w:rPr>
              <w:t>对周边地表水环境影响较小。</w:t>
            </w:r>
          </w:p>
          <w:p w14:paraId="5EAE9D2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（4）依托污水处理厂可行性分析</w:t>
            </w:r>
          </w:p>
          <w:p w14:paraId="0690CD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本项目生活污水经化粪池处理，压滤废水、水喷淋废水通过厂区污水设备处理</w:t>
            </w:r>
            <w:r>
              <w:rPr>
                <w:rFonts w:hint="default" w:ascii="Times New Roman" w:hAnsi="Times New Roman" w:cs="Times New Roman"/>
                <w:color w:val="auto"/>
                <w:sz w:val="24"/>
              </w:rPr>
              <w:t>达到《污水综合排放标准》（GB 8978-1996）表4三级标准及</w:t>
            </w:r>
            <w:r>
              <w:rPr>
                <w:rFonts w:hint="eastAsia" w:ascii="Times New Roman" w:hAnsi="Times New Roman" w:cs="Times New Roman"/>
                <w:color w:val="auto"/>
                <w:sz w:val="24"/>
                <w:highlight w:val="none"/>
                <w:lang w:eastAsia="zh-CN"/>
              </w:rPr>
              <w:t>葛洲坝水务淄博淄川有限公司</w:t>
            </w:r>
            <w:r>
              <w:rPr>
                <w:rFonts w:hint="default" w:ascii="Times New Roman" w:hAnsi="Times New Roman" w:cs="Times New Roman"/>
                <w:color w:val="auto"/>
                <w:sz w:val="24"/>
                <w:highlight w:val="none"/>
              </w:rPr>
              <w:t>进水水质要求</w:t>
            </w:r>
            <w:r>
              <w:rPr>
                <w:rFonts w:hint="eastAsia" w:ascii="Times New Roman" w:hAnsi="Times New Roman" w:cs="Times New Roman"/>
                <w:color w:val="auto"/>
                <w:sz w:val="24"/>
                <w:highlight w:val="none"/>
                <w:lang w:val="en-US" w:eastAsia="zh-CN"/>
              </w:rPr>
              <w:t>和《流域水污染物综合排放标准 第3部分：小清河流域》表2中全盐量限值要求</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COD：500mg/L；氨氮：45mg/L；SS：400mg/L；全盐量3000mg/L</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后</w:t>
            </w:r>
            <w:r>
              <w:rPr>
                <w:rFonts w:hint="eastAsia" w:ascii="Times New Roman" w:hAnsi="Times New Roman" w:cs="Times New Roman"/>
                <w:color w:val="auto"/>
                <w:sz w:val="24"/>
                <w:highlight w:val="none"/>
                <w:lang w:eastAsia="zh-CN"/>
              </w:rPr>
              <w:t>经污水管网排入至葛洲坝水务淄博淄川有限公司</w:t>
            </w:r>
            <w:r>
              <w:rPr>
                <w:rFonts w:hint="default" w:ascii="Times New Roman" w:hAnsi="Times New Roman" w:cs="Times New Roman"/>
                <w:color w:val="auto"/>
                <w:sz w:val="24"/>
                <w:highlight w:val="none"/>
              </w:rPr>
              <w:t>进一步处理。</w:t>
            </w:r>
          </w:p>
          <w:p w14:paraId="3CFA7EDE">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1）污水处理厂基本情况</w:t>
            </w:r>
          </w:p>
          <w:p w14:paraId="44725D58">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葛洲坝水务淄博淄川有限公司位于淄川区双杨镇小屯村东，占地27538.97平方米，主要处理淄川区双杨镇周边的生活污水及部分工业废水，日处理能力为3万m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，汇水面积约55平方公里，现状处理量为2.25万m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污水处理采用采用一体生化水处理工艺+反硝化+混凝沉淀+过滤工艺的处理工艺。处理达标后的废水后通过污水导流管网排入孝妇河，污水处理厂目前运行稳定，出水水质达到《城镇污水处理厂污染物排放标准》（GB18918-2002）一级排放标准A标准及淄博市生态环境“十四五规划”要求</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部分经深度处理作为中水回用，集聚区内主要供给鲁维制药集团有限公司、山东凯盛新材料股份有限公司，作为生产用水，部分排入孝妇河。</w:t>
            </w:r>
          </w:p>
          <w:p w14:paraId="7FB200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yellow"/>
                <w:lang w:val="en-US" w:eastAsia="zh-CN"/>
              </w:rPr>
            </w:pPr>
            <w:r>
              <w:rPr>
                <w:rFonts w:hint="eastAsia" w:ascii="Times New Roman" w:hAnsi="Times New Roman" w:eastAsia="宋体" w:cs="Times New Roman"/>
                <w:color w:val="auto"/>
                <w:kern w:val="2"/>
                <w:sz w:val="24"/>
                <w:szCs w:val="24"/>
                <w:highlight w:val="none"/>
                <w:lang w:val="en-US" w:eastAsia="zh-CN" w:bidi="ar-SA"/>
              </w:rPr>
              <w:t>葛洲坝水务淄博淄川有限公司</w:t>
            </w:r>
            <w:r>
              <w:rPr>
                <w:rFonts w:hint="eastAsia" w:ascii="Times New Roman" w:hAnsi="Times New Roman" w:eastAsia="宋体" w:cs="Times New Roman"/>
                <w:color w:val="auto"/>
                <w:sz w:val="24"/>
                <w:szCs w:val="24"/>
                <w:highlight w:val="none"/>
                <w:lang w:eastAsia="zh-CN"/>
              </w:rPr>
              <w:t>设计污水处理工艺见下图。</w:t>
            </w:r>
          </w:p>
          <w:p w14:paraId="02268855">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eastAsia="宋体" w:cs="Times New Roman"/>
                <w:color w:val="auto"/>
                <w:highlight w:val="none"/>
                <w:lang w:eastAsia="zh-CN"/>
              </w:rPr>
            </w:pPr>
            <w:r>
              <w:rPr>
                <w:rFonts w:hint="eastAsia" w:eastAsia="宋体" w:cs="Times New Roman"/>
                <w:color w:val="auto"/>
                <w:highlight w:val="none"/>
                <w:lang w:eastAsia="zh-CN"/>
              </w:rPr>
              <w:drawing>
                <wp:inline distT="0" distB="0" distL="114300" distR="114300">
                  <wp:extent cx="3669665" cy="5718175"/>
                  <wp:effectExtent l="0" t="0" r="6985" b="15875"/>
                  <wp:docPr id="29" name="图片 202" descr="污水处理厂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2" descr="污水处理厂工艺"/>
                          <pic:cNvPicPr>
                            <a:picLocks noChangeAspect="1"/>
                          </pic:cNvPicPr>
                        </pic:nvPicPr>
                        <pic:blipFill>
                          <a:blip r:embed="rId26"/>
                          <a:stretch>
                            <a:fillRect/>
                          </a:stretch>
                        </pic:blipFill>
                        <pic:spPr>
                          <a:xfrm>
                            <a:off x="0" y="0"/>
                            <a:ext cx="3669665" cy="5718175"/>
                          </a:xfrm>
                          <a:prstGeom prst="rect">
                            <a:avLst/>
                          </a:prstGeom>
                          <a:noFill/>
                          <a:ln>
                            <a:noFill/>
                          </a:ln>
                        </pic:spPr>
                      </pic:pic>
                    </a:graphicData>
                  </a:graphic>
                </wp:inline>
              </w:drawing>
            </w:r>
          </w:p>
          <w:p w14:paraId="27769425">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黑体" w:cs="Times New Roman"/>
                <w:b/>
                <w:bCs/>
                <w:color w:val="auto"/>
                <w:kern w:val="2"/>
                <w:sz w:val="24"/>
                <w:szCs w:val="24"/>
                <w:lang w:val="en-US" w:eastAsia="zh-CN" w:bidi="ar-SA"/>
              </w:rPr>
            </w:pPr>
            <w:r>
              <w:rPr>
                <w:rFonts w:hint="eastAsia" w:ascii="Times New Roman" w:hAnsi="Times New Roman" w:eastAsia="黑体" w:cs="Times New Roman"/>
                <w:b/>
                <w:bCs/>
                <w:color w:val="auto"/>
                <w:kern w:val="2"/>
                <w:sz w:val="24"/>
                <w:szCs w:val="24"/>
                <w:lang w:val="en-US" w:eastAsia="zh-CN" w:bidi="ar-SA"/>
              </w:rPr>
              <w:t>图4-1  污水处理工艺流程图</w:t>
            </w:r>
          </w:p>
          <w:p w14:paraId="43CDA0F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根据</w:t>
            </w:r>
            <w:r>
              <w:rPr>
                <w:rFonts w:hint="eastAsia" w:ascii="Times New Roman" w:hAnsi="Times New Roman" w:eastAsia="宋体" w:cs="Times New Roman"/>
                <w:sz w:val="24"/>
                <w:szCs w:val="24"/>
                <w:highlight w:val="none"/>
                <w:lang w:val="en-US" w:eastAsia="zh-CN"/>
              </w:rPr>
              <w:t>山东省污染源监测信息共享系统信息发布平台</w:t>
            </w:r>
            <w:r>
              <w:rPr>
                <w:rFonts w:hint="default" w:ascii="Times New Roman" w:hAnsi="Times New Roman" w:eastAsia="宋体" w:cs="Times New Roman"/>
                <w:sz w:val="24"/>
                <w:szCs w:val="24"/>
                <w:highlight w:val="none"/>
                <w:lang w:eastAsia="zh-CN"/>
              </w:rPr>
              <w:t>收集的污水处理厂在线监测数据，污水处理厂能够稳定达标排放。</w:t>
            </w:r>
          </w:p>
          <w:p w14:paraId="7AF93EC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eastAsia"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lang w:eastAsia="zh-CN"/>
              </w:rPr>
              <w:t>葛洲坝水务淄博淄川有限公司</w:t>
            </w:r>
            <w:r>
              <w:rPr>
                <w:rFonts w:hint="default" w:ascii="Times New Roman" w:hAnsi="Times New Roman" w:eastAsia="宋体" w:cs="Times New Roman"/>
                <w:b/>
                <w:bCs/>
                <w:color w:val="auto"/>
                <w:sz w:val="21"/>
                <w:szCs w:val="21"/>
              </w:rPr>
              <w:t>在线监测数据</w:t>
            </w:r>
          </w:p>
          <w:tbl>
            <w:tblPr>
              <w:tblStyle w:val="32"/>
              <w:tblW w:w="869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23"/>
              <w:gridCol w:w="1708"/>
              <w:gridCol w:w="1708"/>
              <w:gridCol w:w="1378"/>
              <w:gridCol w:w="1379"/>
            </w:tblGrid>
            <w:tr w14:paraId="62BCE9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6"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1B61A18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rPr>
                    <w:t>时间</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53BFFC1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rPr>
                    <w:t>化学需氧量(mg/L)</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12D0E87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rPr>
                  </w:pPr>
                  <w:r>
                    <w:rPr>
                      <w:rFonts w:hint="eastAsia" w:ascii="Times New Roman" w:hAnsi="Times New Roman" w:eastAsia="宋体" w:cs="Times New Roman"/>
                      <w:b/>
                      <w:bCs/>
                      <w:color w:val="auto"/>
                      <w:kern w:val="0"/>
                      <w:sz w:val="21"/>
                      <w:szCs w:val="21"/>
                      <w:lang w:val="en-US" w:eastAsia="zh-CN" w:bidi="ar-SA"/>
                    </w:rPr>
                    <w:t>氨氮</w:t>
                  </w:r>
                  <w:r>
                    <w:rPr>
                      <w:rFonts w:hint="default" w:ascii="Times New Roman" w:hAnsi="Times New Roman" w:eastAsia="宋体" w:cs="Times New Roman"/>
                      <w:b/>
                      <w:bCs/>
                      <w:color w:val="auto"/>
                      <w:kern w:val="0"/>
                      <w:sz w:val="21"/>
                      <w:szCs w:val="21"/>
                    </w:rPr>
                    <w:t>(mg/L)</w:t>
                  </w:r>
                </w:p>
              </w:tc>
              <w:tc>
                <w:tcPr>
                  <w:tcW w:w="1378" w:type="dxa"/>
                  <w:tcBorders>
                    <w:top w:val="single" w:color="000000" w:sz="4" w:space="0"/>
                    <w:left w:val="single" w:color="000000" w:sz="4" w:space="0"/>
                    <w:right w:val="single" w:color="auto" w:sz="4" w:space="0"/>
                  </w:tcBorders>
                  <w:noWrap w:val="0"/>
                  <w:vAlign w:val="center"/>
                </w:tcPr>
                <w:p w14:paraId="58C1B5F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总磷</w:t>
                  </w:r>
                  <w:r>
                    <w:rPr>
                      <w:rFonts w:hint="default" w:ascii="Times New Roman" w:hAnsi="Times New Roman" w:eastAsia="宋体" w:cs="Times New Roman"/>
                      <w:b/>
                      <w:bCs/>
                      <w:color w:val="auto"/>
                      <w:kern w:val="0"/>
                      <w:sz w:val="21"/>
                      <w:szCs w:val="21"/>
                    </w:rPr>
                    <w:t>(mg/L)</w:t>
                  </w:r>
                </w:p>
              </w:tc>
              <w:tc>
                <w:tcPr>
                  <w:tcW w:w="1379" w:type="dxa"/>
                  <w:tcBorders>
                    <w:top w:val="single" w:color="000000" w:sz="4" w:space="0"/>
                    <w:left w:val="single" w:color="000000" w:sz="4" w:space="0"/>
                    <w:right w:val="single" w:color="auto" w:sz="4" w:space="0"/>
                  </w:tcBorders>
                  <w:noWrap w:val="0"/>
                  <w:vAlign w:val="center"/>
                </w:tcPr>
                <w:p w14:paraId="3A808A0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总氮</w:t>
                  </w:r>
                  <w:r>
                    <w:rPr>
                      <w:rFonts w:hint="default" w:ascii="Times New Roman" w:hAnsi="Times New Roman" w:eastAsia="宋体" w:cs="Times New Roman"/>
                      <w:b/>
                      <w:bCs/>
                      <w:color w:val="auto"/>
                      <w:kern w:val="0"/>
                      <w:sz w:val="21"/>
                      <w:szCs w:val="21"/>
                    </w:rPr>
                    <w:t>(mg/L)</w:t>
                  </w:r>
                </w:p>
              </w:tc>
            </w:tr>
            <w:tr w14:paraId="62A9A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0E46BD9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2024.9</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38C0893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11.1</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4B5B04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0.6</w:t>
                  </w:r>
                </w:p>
              </w:tc>
              <w:tc>
                <w:tcPr>
                  <w:tcW w:w="1378" w:type="dxa"/>
                  <w:tcBorders>
                    <w:top w:val="single" w:color="000000" w:sz="4" w:space="0"/>
                    <w:left w:val="single" w:color="000000" w:sz="4" w:space="0"/>
                    <w:right w:val="single" w:color="auto" w:sz="4" w:space="0"/>
                  </w:tcBorders>
                  <w:noWrap w:val="0"/>
                  <w:vAlign w:val="center"/>
                </w:tcPr>
                <w:p w14:paraId="5E7EE6E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未检出</w:t>
                  </w:r>
                </w:p>
              </w:tc>
              <w:tc>
                <w:tcPr>
                  <w:tcW w:w="1379" w:type="dxa"/>
                  <w:tcBorders>
                    <w:top w:val="single" w:color="000000" w:sz="4" w:space="0"/>
                    <w:left w:val="single" w:color="000000" w:sz="4" w:space="0"/>
                    <w:right w:val="single" w:color="auto" w:sz="4" w:space="0"/>
                  </w:tcBorders>
                  <w:noWrap w:val="0"/>
                  <w:vAlign w:val="center"/>
                </w:tcPr>
                <w:p w14:paraId="4CA2535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10.7</w:t>
                  </w:r>
                </w:p>
              </w:tc>
            </w:tr>
            <w:tr w14:paraId="24CA89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6A06EEB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2024.10</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3E0B83E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12.2</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242137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0.7</w:t>
                  </w:r>
                </w:p>
              </w:tc>
              <w:tc>
                <w:tcPr>
                  <w:tcW w:w="1378" w:type="dxa"/>
                  <w:tcBorders>
                    <w:top w:val="single" w:color="000000" w:sz="4" w:space="0"/>
                    <w:left w:val="single" w:color="000000" w:sz="4" w:space="0"/>
                    <w:right w:val="single" w:color="auto" w:sz="4" w:space="0"/>
                  </w:tcBorders>
                  <w:noWrap w:val="0"/>
                  <w:vAlign w:val="center"/>
                </w:tcPr>
                <w:p w14:paraId="298BD6A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0.1</w:t>
                  </w:r>
                </w:p>
              </w:tc>
              <w:tc>
                <w:tcPr>
                  <w:tcW w:w="1379" w:type="dxa"/>
                  <w:tcBorders>
                    <w:top w:val="single" w:color="000000" w:sz="4" w:space="0"/>
                    <w:left w:val="single" w:color="000000" w:sz="4" w:space="0"/>
                    <w:right w:val="single" w:color="auto" w:sz="4" w:space="0"/>
                  </w:tcBorders>
                  <w:noWrap w:val="0"/>
                  <w:vAlign w:val="center"/>
                </w:tcPr>
                <w:p w14:paraId="4D1FEC5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11.3</w:t>
                  </w:r>
                </w:p>
              </w:tc>
            </w:tr>
            <w:tr w14:paraId="3B324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4D94B99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2024.11</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B467E6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13.5</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3316F3B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8" w:type="dxa"/>
                  <w:tcBorders>
                    <w:top w:val="single" w:color="000000" w:sz="4" w:space="0"/>
                    <w:left w:val="single" w:color="000000" w:sz="4" w:space="0"/>
                    <w:right w:val="single" w:color="auto" w:sz="4" w:space="0"/>
                  </w:tcBorders>
                  <w:noWrap w:val="0"/>
                  <w:vAlign w:val="center"/>
                </w:tcPr>
                <w:p w14:paraId="41E126E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0.1</w:t>
                  </w:r>
                </w:p>
              </w:tc>
              <w:tc>
                <w:tcPr>
                  <w:tcW w:w="1379" w:type="dxa"/>
                  <w:tcBorders>
                    <w:top w:val="single" w:color="000000" w:sz="4" w:space="0"/>
                    <w:left w:val="single" w:color="000000" w:sz="4" w:space="0"/>
                    <w:right w:val="single" w:color="auto" w:sz="4" w:space="0"/>
                  </w:tcBorders>
                  <w:noWrap w:val="0"/>
                  <w:vAlign w:val="center"/>
                </w:tcPr>
                <w:p w14:paraId="41EEB9A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11.1</w:t>
                  </w:r>
                </w:p>
              </w:tc>
            </w:tr>
            <w:tr w14:paraId="6AA6F4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0FA370C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2024.12</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20AE08D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18.9</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1AE88D1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8" w:type="dxa"/>
                  <w:tcBorders>
                    <w:top w:val="single" w:color="000000" w:sz="4" w:space="0"/>
                    <w:left w:val="single" w:color="000000" w:sz="4" w:space="0"/>
                    <w:right w:val="single" w:color="auto" w:sz="4" w:space="0"/>
                  </w:tcBorders>
                  <w:noWrap w:val="0"/>
                  <w:vAlign w:val="center"/>
                </w:tcPr>
                <w:p w14:paraId="4FE840C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未检出</w:t>
                  </w:r>
                </w:p>
              </w:tc>
              <w:tc>
                <w:tcPr>
                  <w:tcW w:w="1379" w:type="dxa"/>
                  <w:tcBorders>
                    <w:top w:val="single" w:color="000000" w:sz="4" w:space="0"/>
                    <w:left w:val="single" w:color="000000" w:sz="4" w:space="0"/>
                    <w:right w:val="single" w:color="auto" w:sz="4" w:space="0"/>
                  </w:tcBorders>
                  <w:noWrap w:val="0"/>
                  <w:vAlign w:val="center"/>
                </w:tcPr>
                <w:p w14:paraId="263B64B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10.3</w:t>
                  </w:r>
                </w:p>
              </w:tc>
            </w:tr>
            <w:tr w14:paraId="3AB44F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267EBC1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2025.1</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5720DEF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18.3</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1A1CF71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8" w:type="dxa"/>
                  <w:tcBorders>
                    <w:top w:val="single" w:color="000000" w:sz="4" w:space="0"/>
                    <w:left w:val="single" w:color="000000" w:sz="4" w:space="0"/>
                    <w:right w:val="single" w:color="auto" w:sz="4" w:space="0"/>
                  </w:tcBorders>
                  <w:noWrap w:val="0"/>
                  <w:vAlign w:val="center"/>
                </w:tcPr>
                <w:p w14:paraId="57E3848B">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46C68C6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10.9</w:t>
                  </w:r>
                </w:p>
              </w:tc>
            </w:tr>
            <w:tr w14:paraId="20295E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70E352D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2025.2</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294742A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19.8</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082652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0.2</w:t>
                  </w:r>
                </w:p>
              </w:tc>
              <w:tc>
                <w:tcPr>
                  <w:tcW w:w="1378" w:type="dxa"/>
                  <w:tcBorders>
                    <w:top w:val="single" w:color="000000" w:sz="4" w:space="0"/>
                    <w:left w:val="single" w:color="000000" w:sz="4" w:space="0"/>
                    <w:right w:val="single" w:color="auto" w:sz="4" w:space="0"/>
                  </w:tcBorders>
                  <w:noWrap w:val="0"/>
                  <w:vAlign w:val="center"/>
                </w:tcPr>
                <w:p w14:paraId="7FB94D90">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658DC86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11.1</w:t>
                  </w:r>
                </w:p>
              </w:tc>
            </w:tr>
            <w:tr w14:paraId="06CD8B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5BE9446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2025.3</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7D5D58B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19.6</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716A79B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0.2</w:t>
                  </w:r>
                </w:p>
              </w:tc>
              <w:tc>
                <w:tcPr>
                  <w:tcW w:w="1378" w:type="dxa"/>
                  <w:tcBorders>
                    <w:top w:val="single" w:color="000000" w:sz="4" w:space="0"/>
                    <w:left w:val="single" w:color="000000" w:sz="4" w:space="0"/>
                    <w:right w:val="single" w:color="auto" w:sz="4" w:space="0"/>
                  </w:tcBorders>
                  <w:noWrap w:val="0"/>
                  <w:vAlign w:val="center"/>
                </w:tcPr>
                <w:p w14:paraId="4AED3BE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1A1A283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9.4</w:t>
                  </w:r>
                </w:p>
              </w:tc>
            </w:tr>
            <w:tr w14:paraId="7BAFCA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10BAF99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2025.4</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7ADFEBE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19.9</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731071B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0.2</w:t>
                  </w:r>
                </w:p>
              </w:tc>
              <w:tc>
                <w:tcPr>
                  <w:tcW w:w="1378" w:type="dxa"/>
                  <w:tcBorders>
                    <w:top w:val="single" w:color="000000" w:sz="4" w:space="0"/>
                    <w:left w:val="single" w:color="000000" w:sz="4" w:space="0"/>
                    <w:right w:val="single" w:color="auto" w:sz="4" w:space="0"/>
                  </w:tcBorders>
                  <w:noWrap w:val="0"/>
                  <w:vAlign w:val="center"/>
                </w:tcPr>
                <w:p w14:paraId="726FA3D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1FFB631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9.7</w:t>
                  </w:r>
                </w:p>
              </w:tc>
            </w:tr>
            <w:tr w14:paraId="4E84F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3A89F04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2025.5</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C85C01B">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19.1</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C1E20B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0.2</w:t>
                  </w:r>
                </w:p>
              </w:tc>
              <w:tc>
                <w:tcPr>
                  <w:tcW w:w="1378" w:type="dxa"/>
                  <w:tcBorders>
                    <w:top w:val="single" w:color="000000" w:sz="4" w:space="0"/>
                    <w:left w:val="single" w:color="000000" w:sz="4" w:space="0"/>
                    <w:right w:val="single" w:color="auto" w:sz="4" w:space="0"/>
                  </w:tcBorders>
                  <w:noWrap w:val="0"/>
                  <w:vAlign w:val="center"/>
                </w:tcPr>
                <w:p w14:paraId="34B2F9A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1EACA91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9.4</w:t>
                  </w:r>
                </w:p>
              </w:tc>
            </w:tr>
            <w:tr w14:paraId="28A3A0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0D4A7F7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2025.6</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0667C9D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15.2</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2A03D4E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8" w:type="dxa"/>
                  <w:tcBorders>
                    <w:top w:val="single" w:color="000000" w:sz="4" w:space="0"/>
                    <w:left w:val="single" w:color="000000" w:sz="4" w:space="0"/>
                    <w:right w:val="single" w:color="auto" w:sz="4" w:space="0"/>
                  </w:tcBorders>
                  <w:noWrap w:val="0"/>
                  <w:vAlign w:val="center"/>
                </w:tcPr>
                <w:p w14:paraId="6283F02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5725FC5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10.6</w:t>
                  </w:r>
                </w:p>
              </w:tc>
            </w:tr>
            <w:tr w14:paraId="2409D1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5B3EEF4B">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2025.7</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44F1163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15.8</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69ECF25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未检出</w:t>
                  </w:r>
                </w:p>
              </w:tc>
              <w:tc>
                <w:tcPr>
                  <w:tcW w:w="1378" w:type="dxa"/>
                  <w:tcBorders>
                    <w:top w:val="single" w:color="000000" w:sz="4" w:space="0"/>
                    <w:left w:val="single" w:color="000000" w:sz="4" w:space="0"/>
                    <w:right w:val="single" w:color="auto" w:sz="4" w:space="0"/>
                  </w:tcBorders>
                  <w:noWrap w:val="0"/>
                  <w:vAlign w:val="center"/>
                </w:tcPr>
                <w:p w14:paraId="5C2B8D3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未检出</w:t>
                  </w:r>
                </w:p>
              </w:tc>
              <w:tc>
                <w:tcPr>
                  <w:tcW w:w="1379" w:type="dxa"/>
                  <w:tcBorders>
                    <w:top w:val="single" w:color="000000" w:sz="4" w:space="0"/>
                    <w:left w:val="single" w:color="000000" w:sz="4" w:space="0"/>
                    <w:right w:val="single" w:color="auto" w:sz="4" w:space="0"/>
                  </w:tcBorders>
                  <w:noWrap w:val="0"/>
                  <w:vAlign w:val="center"/>
                </w:tcPr>
                <w:p w14:paraId="49ABA33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10.6</w:t>
                  </w:r>
                </w:p>
              </w:tc>
            </w:tr>
            <w:tr w14:paraId="3B7AB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2AD3626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2025.8</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536BECC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12.1</w:t>
                  </w:r>
                </w:p>
              </w:tc>
              <w:tc>
                <w:tcPr>
                  <w:tcW w:w="1708" w:type="dxa"/>
                  <w:tcBorders>
                    <w:top w:val="single" w:color="000000" w:sz="4" w:space="0"/>
                    <w:left w:val="single" w:color="000000" w:sz="4" w:space="0"/>
                    <w:bottom w:val="single" w:color="000000" w:sz="4" w:space="0"/>
                    <w:right w:val="single" w:color="auto" w:sz="4" w:space="0"/>
                  </w:tcBorders>
                  <w:noWrap w:val="0"/>
                  <w:vAlign w:val="center"/>
                </w:tcPr>
                <w:p w14:paraId="23D40210">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未检出</w:t>
                  </w:r>
                </w:p>
              </w:tc>
              <w:tc>
                <w:tcPr>
                  <w:tcW w:w="1378" w:type="dxa"/>
                  <w:tcBorders>
                    <w:top w:val="single" w:color="000000" w:sz="4" w:space="0"/>
                    <w:left w:val="single" w:color="000000" w:sz="4" w:space="0"/>
                    <w:right w:val="single" w:color="auto" w:sz="4" w:space="0"/>
                  </w:tcBorders>
                  <w:noWrap w:val="0"/>
                  <w:vAlign w:val="center"/>
                </w:tcPr>
                <w:p w14:paraId="6FD4540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1379" w:type="dxa"/>
                  <w:tcBorders>
                    <w:top w:val="single" w:color="000000" w:sz="4" w:space="0"/>
                    <w:left w:val="single" w:color="000000" w:sz="4" w:space="0"/>
                    <w:right w:val="single" w:color="auto" w:sz="4" w:space="0"/>
                  </w:tcBorders>
                  <w:noWrap w:val="0"/>
                  <w:vAlign w:val="center"/>
                </w:tcPr>
                <w:p w14:paraId="747FDB7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10.0</w:t>
                  </w:r>
                </w:p>
              </w:tc>
            </w:tr>
            <w:tr w14:paraId="16CE93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23" w:type="dxa"/>
                  <w:tcBorders>
                    <w:top w:val="single" w:color="000000" w:sz="4" w:space="0"/>
                    <w:left w:val="single" w:color="000000" w:sz="4" w:space="0"/>
                    <w:bottom w:val="single" w:color="000000" w:sz="4" w:space="0"/>
                    <w:right w:val="single" w:color="000000" w:sz="4" w:space="0"/>
                  </w:tcBorders>
                  <w:noWrap w:val="0"/>
                  <w:vAlign w:val="center"/>
                </w:tcPr>
                <w:p w14:paraId="2CAF950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w:t>
                  </w:r>
                </w:p>
              </w:tc>
              <w:tc>
                <w:tcPr>
                  <w:tcW w:w="1708" w:type="dxa"/>
                  <w:tcBorders>
                    <w:top w:val="single" w:color="000000" w:sz="4" w:space="0"/>
                    <w:left w:val="single" w:color="000000" w:sz="4" w:space="0"/>
                    <w:bottom w:val="single" w:color="000000" w:sz="4" w:space="0"/>
                    <w:right w:val="single" w:color="000000" w:sz="4" w:space="0"/>
                  </w:tcBorders>
                  <w:noWrap w:val="0"/>
                  <w:vAlign w:val="center"/>
                </w:tcPr>
                <w:p w14:paraId="29A6C3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1708" w:type="dxa"/>
                  <w:tcBorders>
                    <w:top w:val="single" w:color="000000" w:sz="4" w:space="0"/>
                    <w:left w:val="single" w:color="000000" w:sz="4" w:space="0"/>
                    <w:bottom w:val="single" w:color="000000" w:sz="4" w:space="0"/>
                    <w:right w:val="single" w:color="000000" w:sz="4" w:space="0"/>
                  </w:tcBorders>
                  <w:noWrap w:val="0"/>
                  <w:vAlign w:val="center"/>
                </w:tcPr>
                <w:p w14:paraId="62FD9DF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378" w:type="dxa"/>
                  <w:tcBorders>
                    <w:top w:val="single" w:color="000000" w:sz="4" w:space="0"/>
                    <w:left w:val="single" w:color="000000" w:sz="4" w:space="0"/>
                    <w:bottom w:val="single" w:color="000000" w:sz="4" w:space="0"/>
                    <w:right w:val="single" w:color="000000" w:sz="4" w:space="0"/>
                  </w:tcBorders>
                  <w:noWrap w:val="0"/>
                  <w:vAlign w:val="center"/>
                </w:tcPr>
                <w:p w14:paraId="5826D5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1379" w:type="dxa"/>
                  <w:tcBorders>
                    <w:top w:val="single" w:color="000000" w:sz="4" w:space="0"/>
                    <w:left w:val="single" w:color="000000" w:sz="4" w:space="0"/>
                    <w:bottom w:val="single" w:color="000000" w:sz="4" w:space="0"/>
                    <w:right w:val="single" w:color="000000" w:sz="4" w:space="0"/>
                  </w:tcBorders>
                  <w:noWrap w:val="0"/>
                  <w:vAlign w:val="center"/>
                </w:tcPr>
                <w:p w14:paraId="354856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r>
          </w:tbl>
          <w:p w14:paraId="4925452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12" w:lineRule="auto"/>
              <w:ind w:left="0"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2）依托可行性</w:t>
            </w:r>
          </w:p>
          <w:p w14:paraId="4A50EAD8">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color w:val="auto"/>
                <w:sz w:val="24"/>
                <w:szCs w:val="32"/>
              </w:rPr>
              <w:t>本项目废水排</w:t>
            </w:r>
            <w:r>
              <w:rPr>
                <w:rFonts w:hint="default" w:ascii="Times New Roman" w:hAnsi="Times New Roman" w:cs="Times New Roman"/>
                <w:color w:val="auto"/>
                <w:sz w:val="24"/>
                <w:szCs w:val="32"/>
                <w:highlight w:val="none"/>
              </w:rPr>
              <w:t>放量约</w:t>
            </w:r>
            <w:r>
              <w:rPr>
                <w:rFonts w:hint="eastAsia" w:ascii="Times New Roman" w:hAnsi="Times New Roman" w:cs="Times New Roman"/>
                <w:color w:val="auto"/>
                <w:sz w:val="24"/>
                <w:szCs w:val="32"/>
                <w:highlight w:val="none"/>
                <w:lang w:val="en-US" w:eastAsia="zh-CN"/>
              </w:rPr>
              <w:t>80.6</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/d，</w:t>
            </w:r>
            <w:r>
              <w:rPr>
                <w:rFonts w:hint="eastAsia" w:ascii="Times New Roman" w:hAnsi="Times New Roman" w:cs="Times New Roman"/>
                <w:color w:val="auto"/>
                <w:sz w:val="24"/>
                <w:szCs w:val="32"/>
                <w:highlight w:val="none"/>
                <w:lang w:eastAsia="zh-CN"/>
              </w:rPr>
              <w:t>葛洲坝水务淄博淄川有限公司</w:t>
            </w:r>
            <w:r>
              <w:rPr>
                <w:rFonts w:hint="default" w:ascii="Times New Roman" w:hAnsi="Times New Roman" w:cs="Times New Roman"/>
                <w:color w:val="auto"/>
                <w:sz w:val="24"/>
                <w:szCs w:val="32"/>
                <w:highlight w:val="none"/>
              </w:rPr>
              <w:t>日处理设计规模为</w:t>
            </w:r>
            <w:r>
              <w:rPr>
                <w:rFonts w:hint="eastAsia" w:ascii="Times New Roman" w:hAnsi="Times New Roman" w:cs="Times New Roman"/>
                <w:color w:val="auto"/>
                <w:sz w:val="24"/>
                <w:szCs w:val="32"/>
                <w:highlight w:val="none"/>
                <w:lang w:val="en-US" w:eastAsia="zh-CN"/>
              </w:rPr>
              <w:t>3</w:t>
            </w:r>
            <w:r>
              <w:rPr>
                <w:rFonts w:hint="default" w:ascii="Times New Roman" w:hAnsi="Times New Roman" w:cs="Times New Roman"/>
                <w:color w:val="auto"/>
                <w:sz w:val="24"/>
                <w:szCs w:val="32"/>
                <w:highlight w:val="none"/>
              </w:rPr>
              <w:t>万吨，现实际日处理污水为</w:t>
            </w:r>
            <w:r>
              <w:rPr>
                <w:rFonts w:hint="default" w:ascii="Times New Roman" w:hAnsi="Times New Roman" w:cs="Times New Roman"/>
                <w:color w:val="auto"/>
                <w:sz w:val="24"/>
                <w:szCs w:val="32"/>
                <w:highlight w:val="none"/>
                <w:lang w:val="en-US" w:eastAsia="zh-CN"/>
              </w:rPr>
              <w:t>2.25</w:t>
            </w:r>
            <w:r>
              <w:rPr>
                <w:rFonts w:hint="default" w:ascii="Times New Roman" w:hAnsi="Times New Roman" w:cs="Times New Roman"/>
                <w:color w:val="auto"/>
                <w:sz w:val="24"/>
                <w:szCs w:val="32"/>
                <w:highlight w:val="none"/>
              </w:rPr>
              <w:t>万吨，有足够的能力接纳本项目产生的废水。项目建设属于</w:t>
            </w:r>
            <w:r>
              <w:rPr>
                <w:rFonts w:hint="eastAsia" w:ascii="Times New Roman" w:hAnsi="Times New Roman" w:cs="Times New Roman"/>
                <w:color w:val="auto"/>
                <w:sz w:val="24"/>
                <w:szCs w:val="32"/>
                <w:highlight w:val="none"/>
                <w:lang w:eastAsia="zh-CN"/>
              </w:rPr>
              <w:t>葛洲坝水务淄博淄川有限公司</w:t>
            </w:r>
            <w:r>
              <w:rPr>
                <w:rFonts w:hint="default" w:ascii="Times New Roman" w:hAnsi="Times New Roman" w:cs="Times New Roman"/>
                <w:color w:val="auto"/>
                <w:sz w:val="24"/>
                <w:szCs w:val="32"/>
                <w:highlight w:val="none"/>
              </w:rPr>
              <w:t>的收集范围，废水水质较简单，本项目</w:t>
            </w:r>
            <w:r>
              <w:rPr>
                <w:rFonts w:hint="default" w:ascii="Times New Roman" w:hAnsi="Times New Roman" w:cs="Times New Roman"/>
                <w:color w:val="auto"/>
                <w:sz w:val="24"/>
                <w:szCs w:val="32"/>
              </w:rPr>
              <w:t>外排废水水质浓度能够满足污水处理厂的进水要求，不会对污水处理厂的工艺负荷造成冲击</w:t>
            </w:r>
            <w:r>
              <w:rPr>
                <w:rFonts w:hint="default" w:ascii="Times New Roman" w:hAnsi="Times New Roman" w:cs="Times New Roman"/>
                <w:bCs/>
                <w:color w:val="auto"/>
                <w:sz w:val="24"/>
                <w:szCs w:val="24"/>
              </w:rPr>
              <w:t>，对周边地表水环境影响较小。</w:t>
            </w:r>
          </w:p>
          <w:p w14:paraId="48CD50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cs="Times New Roman"/>
                <w:b/>
                <w:color w:val="auto"/>
                <w:szCs w:val="21"/>
                <w:highlight w:val="none"/>
                <w:lang w:val="en-US" w:eastAsia="zh-CN"/>
              </w:rPr>
              <w:t>9</w:t>
            </w:r>
            <w:r>
              <w:rPr>
                <w:rFonts w:hint="default" w:ascii="Times New Roman" w:hAnsi="Times New Roman" w:eastAsia="宋体" w:cs="Times New Roman"/>
                <w:b/>
                <w:color w:val="auto"/>
                <w:szCs w:val="21"/>
                <w:highlight w:val="none"/>
                <w:lang w:val="en-US" w:eastAsia="zh-CN"/>
              </w:rPr>
              <w:t xml:space="preserve">  废水间接排放口基本情况表</w:t>
            </w:r>
          </w:p>
          <w:tbl>
            <w:tblPr>
              <w:tblStyle w:val="32"/>
              <w:tblW w:w="8916"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75"/>
              <w:gridCol w:w="842"/>
              <w:gridCol w:w="1052"/>
              <w:gridCol w:w="1007"/>
              <w:gridCol w:w="673"/>
              <w:gridCol w:w="998"/>
              <w:gridCol w:w="799"/>
              <w:gridCol w:w="906"/>
              <w:gridCol w:w="903"/>
              <w:gridCol w:w="1261"/>
            </w:tblGrid>
            <w:tr w14:paraId="049A6C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0" w:hRule="atLeast"/>
                <w:tblHeader/>
                <w:jc w:val="center"/>
              </w:trPr>
              <w:tc>
                <w:tcPr>
                  <w:tcW w:w="266" w:type="pct"/>
                  <w:vMerge w:val="restart"/>
                  <w:tcBorders>
                    <w:tl2br w:val="nil"/>
                    <w:tr2bl w:val="nil"/>
                  </w:tcBorders>
                  <w:noWrap w:val="0"/>
                  <w:vAlign w:val="center"/>
                </w:tcPr>
                <w:p w14:paraId="7706788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472" w:type="pct"/>
                  <w:vMerge w:val="restart"/>
                  <w:tcBorders>
                    <w:tl2br w:val="nil"/>
                    <w:tr2bl w:val="nil"/>
                  </w:tcBorders>
                  <w:noWrap w:val="0"/>
                  <w:vAlign w:val="center"/>
                </w:tcPr>
                <w:p w14:paraId="519684E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w:t>
                  </w:r>
                </w:p>
                <w:p w14:paraId="309C0D4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编号</w:t>
                  </w:r>
                </w:p>
              </w:tc>
              <w:tc>
                <w:tcPr>
                  <w:tcW w:w="1154" w:type="pct"/>
                  <w:gridSpan w:val="2"/>
                  <w:tcBorders>
                    <w:tl2br w:val="nil"/>
                    <w:tr2bl w:val="nil"/>
                  </w:tcBorders>
                  <w:noWrap w:val="0"/>
                  <w:vAlign w:val="center"/>
                </w:tcPr>
                <w:p w14:paraId="014B922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排放口地理坐标</w:t>
                  </w:r>
                </w:p>
              </w:tc>
              <w:tc>
                <w:tcPr>
                  <w:tcW w:w="377" w:type="pct"/>
                  <w:vMerge w:val="restart"/>
                  <w:tcBorders>
                    <w:tl2br w:val="nil"/>
                    <w:tr2bl w:val="nil"/>
                  </w:tcBorders>
                  <w:noWrap w:val="0"/>
                  <w:vAlign w:val="center"/>
                </w:tcPr>
                <w:p w14:paraId="4AAA25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废水排放量/</w:t>
                  </w:r>
                </w:p>
                <w:p w14:paraId="0921F3F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（万t/a）</w:t>
                  </w:r>
                </w:p>
              </w:tc>
              <w:tc>
                <w:tcPr>
                  <w:tcW w:w="559" w:type="pct"/>
                  <w:vMerge w:val="restart"/>
                  <w:tcBorders>
                    <w:tl2br w:val="nil"/>
                    <w:tr2bl w:val="nil"/>
                  </w:tcBorders>
                  <w:noWrap w:val="0"/>
                  <w:vAlign w:val="center"/>
                </w:tcPr>
                <w:p w14:paraId="0BCE2DD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w:t>
                  </w:r>
                </w:p>
                <w:p w14:paraId="3774E59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去向</w:t>
                  </w:r>
                </w:p>
              </w:tc>
              <w:tc>
                <w:tcPr>
                  <w:tcW w:w="448" w:type="pct"/>
                  <w:vMerge w:val="restart"/>
                  <w:tcBorders>
                    <w:tl2br w:val="nil"/>
                    <w:tr2bl w:val="nil"/>
                  </w:tcBorders>
                  <w:noWrap w:val="0"/>
                  <w:vAlign w:val="center"/>
                </w:tcPr>
                <w:p w14:paraId="44A13AD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w:t>
                  </w:r>
                </w:p>
                <w:p w14:paraId="51A134B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规律</w:t>
                  </w:r>
                </w:p>
              </w:tc>
              <w:tc>
                <w:tcPr>
                  <w:tcW w:w="1721" w:type="pct"/>
                  <w:gridSpan w:val="3"/>
                  <w:tcBorders>
                    <w:tl2br w:val="nil"/>
                    <w:tr2bl w:val="nil"/>
                  </w:tcBorders>
                  <w:noWrap w:val="0"/>
                  <w:vAlign w:val="center"/>
                </w:tcPr>
                <w:p w14:paraId="114EB7B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受纳污水处理厂信息</w:t>
                  </w:r>
                </w:p>
              </w:tc>
            </w:tr>
            <w:tr w14:paraId="3273BD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64" w:hRule="atLeast"/>
                <w:tblHeader/>
                <w:jc w:val="center"/>
              </w:trPr>
              <w:tc>
                <w:tcPr>
                  <w:tcW w:w="266" w:type="pct"/>
                  <w:vMerge w:val="continue"/>
                  <w:tcBorders>
                    <w:tl2br w:val="nil"/>
                    <w:tr2bl w:val="nil"/>
                  </w:tcBorders>
                  <w:noWrap w:val="0"/>
                  <w:vAlign w:val="center"/>
                </w:tcPr>
                <w:p w14:paraId="115001A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p>
              </w:tc>
              <w:tc>
                <w:tcPr>
                  <w:tcW w:w="472" w:type="pct"/>
                  <w:vMerge w:val="continue"/>
                  <w:tcBorders>
                    <w:tl2br w:val="nil"/>
                    <w:tr2bl w:val="nil"/>
                  </w:tcBorders>
                  <w:noWrap w:val="0"/>
                  <w:vAlign w:val="center"/>
                </w:tcPr>
                <w:p w14:paraId="6DA0E51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p>
              </w:tc>
              <w:tc>
                <w:tcPr>
                  <w:tcW w:w="589" w:type="pct"/>
                  <w:tcBorders>
                    <w:tl2br w:val="nil"/>
                    <w:tr2bl w:val="nil"/>
                  </w:tcBorders>
                  <w:noWrap w:val="0"/>
                  <w:vAlign w:val="center"/>
                </w:tcPr>
                <w:p w14:paraId="0C40007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经度</w:t>
                  </w:r>
                </w:p>
              </w:tc>
              <w:tc>
                <w:tcPr>
                  <w:tcW w:w="564" w:type="pct"/>
                  <w:tcBorders>
                    <w:tl2br w:val="nil"/>
                    <w:tr2bl w:val="nil"/>
                  </w:tcBorders>
                  <w:noWrap w:val="0"/>
                  <w:vAlign w:val="center"/>
                </w:tcPr>
                <w:p w14:paraId="2025E43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纬度</w:t>
                  </w:r>
                </w:p>
              </w:tc>
              <w:tc>
                <w:tcPr>
                  <w:tcW w:w="377" w:type="pct"/>
                  <w:vMerge w:val="continue"/>
                  <w:tcBorders>
                    <w:tl2br w:val="nil"/>
                    <w:tr2bl w:val="nil"/>
                  </w:tcBorders>
                  <w:noWrap w:val="0"/>
                  <w:vAlign w:val="center"/>
                </w:tcPr>
                <w:p w14:paraId="3CDCA6E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p>
              </w:tc>
              <w:tc>
                <w:tcPr>
                  <w:tcW w:w="559" w:type="pct"/>
                  <w:vMerge w:val="continue"/>
                  <w:tcBorders>
                    <w:tl2br w:val="nil"/>
                    <w:tr2bl w:val="nil"/>
                  </w:tcBorders>
                  <w:noWrap w:val="0"/>
                  <w:vAlign w:val="center"/>
                </w:tcPr>
                <w:p w14:paraId="3B49FCE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p>
              </w:tc>
              <w:tc>
                <w:tcPr>
                  <w:tcW w:w="448" w:type="pct"/>
                  <w:vMerge w:val="continue"/>
                  <w:tcBorders>
                    <w:tl2br w:val="nil"/>
                    <w:tr2bl w:val="nil"/>
                  </w:tcBorders>
                  <w:noWrap w:val="0"/>
                  <w:vAlign w:val="center"/>
                </w:tcPr>
                <w:p w14:paraId="405784F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p>
              </w:tc>
              <w:tc>
                <w:tcPr>
                  <w:tcW w:w="508" w:type="pct"/>
                  <w:tcBorders>
                    <w:tl2br w:val="nil"/>
                    <w:tr2bl w:val="nil"/>
                  </w:tcBorders>
                  <w:noWrap w:val="0"/>
                  <w:vAlign w:val="center"/>
                </w:tcPr>
                <w:p w14:paraId="6175859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506" w:type="pct"/>
                  <w:tcBorders>
                    <w:tl2br w:val="nil"/>
                    <w:tr2bl w:val="nil"/>
                  </w:tcBorders>
                  <w:noWrap w:val="0"/>
                  <w:vAlign w:val="center"/>
                </w:tcPr>
                <w:p w14:paraId="5B3814B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污染物种类</w:t>
                  </w:r>
                </w:p>
              </w:tc>
              <w:tc>
                <w:tcPr>
                  <w:tcW w:w="707" w:type="pct"/>
                  <w:tcBorders>
                    <w:tl2br w:val="nil"/>
                    <w:tr2bl w:val="nil"/>
                  </w:tcBorders>
                  <w:noWrap w:val="0"/>
                  <w:vAlign w:val="center"/>
                </w:tcPr>
                <w:p w14:paraId="5F9EC4D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国家或地方污染物排放标准浓度限值/(mg/L)</w:t>
                  </w:r>
                </w:p>
              </w:tc>
            </w:tr>
            <w:tr w14:paraId="401D44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2" w:hRule="atLeast"/>
                <w:jc w:val="center"/>
              </w:trPr>
              <w:tc>
                <w:tcPr>
                  <w:tcW w:w="266" w:type="pct"/>
                  <w:tcBorders>
                    <w:tl2br w:val="nil"/>
                    <w:tr2bl w:val="nil"/>
                  </w:tcBorders>
                  <w:noWrap w:val="0"/>
                  <w:vAlign w:val="center"/>
                </w:tcPr>
                <w:p w14:paraId="42448B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72" w:type="pct"/>
                  <w:vMerge w:val="restart"/>
                  <w:tcBorders>
                    <w:tl2br w:val="nil"/>
                    <w:tr2bl w:val="nil"/>
                  </w:tcBorders>
                  <w:noWrap w:val="0"/>
                  <w:vAlign w:val="center"/>
                </w:tcPr>
                <w:p w14:paraId="403EC8A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DW001 </w:t>
                  </w:r>
                </w:p>
              </w:tc>
              <w:tc>
                <w:tcPr>
                  <w:tcW w:w="589" w:type="pct"/>
                  <w:vMerge w:val="restart"/>
                  <w:tcBorders>
                    <w:tl2br w:val="nil"/>
                    <w:tr2bl w:val="nil"/>
                  </w:tcBorders>
                  <w:noWrap w:val="0"/>
                  <w:vAlign w:val="center"/>
                </w:tcPr>
                <w:p w14:paraId="4F5C6E6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117.985893</w:t>
                  </w:r>
                </w:p>
              </w:tc>
              <w:tc>
                <w:tcPr>
                  <w:tcW w:w="564" w:type="pct"/>
                  <w:vMerge w:val="restart"/>
                  <w:tcBorders>
                    <w:tl2br w:val="nil"/>
                    <w:tr2bl w:val="nil"/>
                  </w:tcBorders>
                  <w:noWrap w:val="0"/>
                  <w:vAlign w:val="center"/>
                </w:tcPr>
                <w:p w14:paraId="5B6D64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36.696894</w:t>
                  </w:r>
                </w:p>
              </w:tc>
              <w:tc>
                <w:tcPr>
                  <w:tcW w:w="377" w:type="pct"/>
                  <w:vMerge w:val="restart"/>
                  <w:tcBorders>
                    <w:tl2br w:val="nil"/>
                    <w:tr2bl w:val="nil"/>
                  </w:tcBorders>
                  <w:noWrap w:val="0"/>
                  <w:vAlign w:val="center"/>
                </w:tcPr>
                <w:p w14:paraId="6286964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2.418</w:t>
                  </w:r>
                </w:p>
              </w:tc>
              <w:tc>
                <w:tcPr>
                  <w:tcW w:w="559" w:type="pct"/>
                  <w:vMerge w:val="restart"/>
                  <w:tcBorders>
                    <w:tl2br w:val="nil"/>
                    <w:tr2bl w:val="nil"/>
                  </w:tcBorders>
                  <w:noWrap w:val="0"/>
                  <w:vAlign w:val="center"/>
                </w:tcPr>
                <w:p w14:paraId="4E369D2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进入</w:t>
                  </w:r>
                  <w:r>
                    <w:rPr>
                      <w:rFonts w:hint="eastAsia" w:ascii="Times New Roman" w:hAnsi="Times New Roman" w:cs="Times New Roman"/>
                      <w:color w:val="auto"/>
                      <w:sz w:val="21"/>
                      <w:szCs w:val="21"/>
                      <w:highlight w:val="none"/>
                      <w:lang w:eastAsia="zh-CN"/>
                    </w:rPr>
                    <w:t>葛洲坝水务淄博淄川有限公司</w:t>
                  </w:r>
                </w:p>
              </w:tc>
              <w:tc>
                <w:tcPr>
                  <w:tcW w:w="448" w:type="pct"/>
                  <w:vMerge w:val="restart"/>
                  <w:tcBorders>
                    <w:tl2br w:val="nil"/>
                    <w:tr2bl w:val="nil"/>
                  </w:tcBorders>
                  <w:noWrap w:val="0"/>
                  <w:vAlign w:val="center"/>
                </w:tcPr>
                <w:p w14:paraId="4B968C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连续</w:t>
                  </w:r>
                  <w:r>
                    <w:rPr>
                      <w:rFonts w:hint="default" w:ascii="Times New Roman" w:hAnsi="Times New Roman" w:cs="Times New Roman"/>
                      <w:color w:val="auto"/>
                      <w:sz w:val="21"/>
                      <w:szCs w:val="21"/>
                      <w:highlight w:val="none"/>
                    </w:rPr>
                    <w:t>排放，排放期间流量稳定</w:t>
                  </w:r>
                </w:p>
              </w:tc>
              <w:tc>
                <w:tcPr>
                  <w:tcW w:w="508" w:type="pct"/>
                  <w:vMerge w:val="restart"/>
                  <w:tcBorders>
                    <w:tl2br w:val="nil"/>
                    <w:tr2bl w:val="nil"/>
                  </w:tcBorders>
                  <w:noWrap w:val="0"/>
                  <w:vAlign w:val="center"/>
                </w:tcPr>
                <w:p w14:paraId="6F9C073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葛洲坝水务淄博淄川有限公司</w:t>
                  </w:r>
                </w:p>
              </w:tc>
              <w:tc>
                <w:tcPr>
                  <w:tcW w:w="506" w:type="pct"/>
                  <w:tcBorders>
                    <w:tl2br w:val="nil"/>
                    <w:tr2bl w:val="nil"/>
                  </w:tcBorders>
                  <w:noWrap w:val="0"/>
                  <w:vAlign w:val="center"/>
                </w:tcPr>
                <w:p w14:paraId="4DF7107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tc>
              <w:tc>
                <w:tcPr>
                  <w:tcW w:w="707" w:type="pct"/>
                  <w:tcBorders>
                    <w:tl2br w:val="nil"/>
                    <w:tr2bl w:val="nil"/>
                  </w:tcBorders>
                  <w:noWrap w:val="0"/>
                  <w:vAlign w:val="center"/>
                </w:tcPr>
                <w:p w14:paraId="60C4834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r>
            <w:tr w14:paraId="01C4E5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4" w:hRule="atLeast"/>
                <w:jc w:val="center"/>
              </w:trPr>
              <w:tc>
                <w:tcPr>
                  <w:tcW w:w="266" w:type="pct"/>
                  <w:tcBorders>
                    <w:tl2br w:val="nil"/>
                    <w:tr2bl w:val="nil"/>
                  </w:tcBorders>
                  <w:noWrap w:val="0"/>
                  <w:vAlign w:val="center"/>
                </w:tcPr>
                <w:p w14:paraId="00597F4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472" w:type="pct"/>
                  <w:vMerge w:val="continue"/>
                  <w:tcBorders>
                    <w:tl2br w:val="nil"/>
                    <w:tr2bl w:val="nil"/>
                  </w:tcBorders>
                  <w:noWrap w:val="0"/>
                  <w:vAlign w:val="center"/>
                </w:tcPr>
                <w:p w14:paraId="339FEA0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89" w:type="pct"/>
                  <w:vMerge w:val="continue"/>
                  <w:tcBorders>
                    <w:tl2br w:val="nil"/>
                    <w:tr2bl w:val="nil"/>
                  </w:tcBorders>
                  <w:noWrap w:val="0"/>
                  <w:vAlign w:val="center"/>
                </w:tcPr>
                <w:p w14:paraId="175E318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64" w:type="pct"/>
                  <w:vMerge w:val="continue"/>
                  <w:tcBorders>
                    <w:tl2br w:val="nil"/>
                    <w:tr2bl w:val="nil"/>
                  </w:tcBorders>
                  <w:noWrap w:val="0"/>
                  <w:vAlign w:val="center"/>
                </w:tcPr>
                <w:p w14:paraId="10F42C1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377" w:type="pct"/>
                  <w:vMerge w:val="continue"/>
                  <w:tcBorders>
                    <w:tl2br w:val="nil"/>
                    <w:tr2bl w:val="nil"/>
                  </w:tcBorders>
                  <w:noWrap w:val="0"/>
                  <w:vAlign w:val="center"/>
                </w:tcPr>
                <w:p w14:paraId="64A0A67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59" w:type="pct"/>
                  <w:vMerge w:val="continue"/>
                  <w:tcBorders>
                    <w:tl2br w:val="nil"/>
                    <w:tr2bl w:val="nil"/>
                  </w:tcBorders>
                  <w:noWrap w:val="0"/>
                  <w:vAlign w:val="center"/>
                </w:tcPr>
                <w:p w14:paraId="3F21FE1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448" w:type="pct"/>
                  <w:vMerge w:val="continue"/>
                  <w:tcBorders>
                    <w:tl2br w:val="nil"/>
                    <w:tr2bl w:val="nil"/>
                  </w:tcBorders>
                  <w:noWrap w:val="0"/>
                  <w:vAlign w:val="center"/>
                </w:tcPr>
                <w:p w14:paraId="6FAC79E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08" w:type="pct"/>
                  <w:vMerge w:val="continue"/>
                  <w:tcBorders>
                    <w:tl2br w:val="nil"/>
                    <w:tr2bl w:val="nil"/>
                  </w:tcBorders>
                  <w:noWrap w:val="0"/>
                  <w:vAlign w:val="center"/>
                </w:tcPr>
                <w:p w14:paraId="2960EF3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06" w:type="pct"/>
                  <w:tcBorders>
                    <w:tl2br w:val="nil"/>
                    <w:tr2bl w:val="nil"/>
                  </w:tcBorders>
                  <w:noWrap w:val="0"/>
                  <w:vAlign w:val="center"/>
                </w:tcPr>
                <w:p w14:paraId="168F5E7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707" w:type="pct"/>
                  <w:tcBorders>
                    <w:tl2br w:val="nil"/>
                    <w:tr2bl w:val="nil"/>
                  </w:tcBorders>
                  <w:noWrap w:val="0"/>
                  <w:vAlign w:val="center"/>
                </w:tcPr>
                <w:p w14:paraId="7B79323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r>
            <w:tr w14:paraId="09FB44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41" w:hRule="atLeast"/>
                <w:jc w:val="center"/>
              </w:trPr>
              <w:tc>
                <w:tcPr>
                  <w:tcW w:w="266" w:type="pct"/>
                  <w:tcBorders>
                    <w:tl2br w:val="nil"/>
                    <w:tr2bl w:val="nil"/>
                  </w:tcBorders>
                  <w:noWrap w:val="0"/>
                  <w:vAlign w:val="center"/>
                </w:tcPr>
                <w:p w14:paraId="1AA57E9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472" w:type="pct"/>
                  <w:vMerge w:val="continue"/>
                  <w:tcBorders>
                    <w:tl2br w:val="nil"/>
                    <w:tr2bl w:val="nil"/>
                  </w:tcBorders>
                  <w:noWrap w:val="0"/>
                  <w:vAlign w:val="center"/>
                </w:tcPr>
                <w:p w14:paraId="620386A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89" w:type="pct"/>
                  <w:vMerge w:val="continue"/>
                  <w:tcBorders>
                    <w:tl2br w:val="nil"/>
                    <w:tr2bl w:val="nil"/>
                  </w:tcBorders>
                  <w:noWrap w:val="0"/>
                  <w:vAlign w:val="center"/>
                </w:tcPr>
                <w:p w14:paraId="29FF05C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64" w:type="pct"/>
                  <w:vMerge w:val="continue"/>
                  <w:tcBorders>
                    <w:tl2br w:val="nil"/>
                    <w:tr2bl w:val="nil"/>
                  </w:tcBorders>
                  <w:noWrap w:val="0"/>
                  <w:vAlign w:val="center"/>
                </w:tcPr>
                <w:p w14:paraId="4B70C2E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377" w:type="pct"/>
                  <w:vMerge w:val="continue"/>
                  <w:tcBorders>
                    <w:tl2br w:val="nil"/>
                    <w:tr2bl w:val="nil"/>
                  </w:tcBorders>
                  <w:noWrap w:val="0"/>
                  <w:vAlign w:val="center"/>
                </w:tcPr>
                <w:p w14:paraId="12E8A6A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59" w:type="pct"/>
                  <w:vMerge w:val="continue"/>
                  <w:tcBorders>
                    <w:tl2br w:val="nil"/>
                    <w:tr2bl w:val="nil"/>
                  </w:tcBorders>
                  <w:noWrap w:val="0"/>
                  <w:vAlign w:val="center"/>
                </w:tcPr>
                <w:p w14:paraId="06307C9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448" w:type="pct"/>
                  <w:vMerge w:val="continue"/>
                  <w:tcBorders>
                    <w:tl2br w:val="nil"/>
                    <w:tr2bl w:val="nil"/>
                  </w:tcBorders>
                  <w:noWrap w:val="0"/>
                  <w:vAlign w:val="center"/>
                </w:tcPr>
                <w:p w14:paraId="1D4914D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08" w:type="pct"/>
                  <w:vMerge w:val="continue"/>
                  <w:tcBorders>
                    <w:tl2br w:val="nil"/>
                    <w:tr2bl w:val="nil"/>
                  </w:tcBorders>
                  <w:noWrap w:val="0"/>
                  <w:vAlign w:val="center"/>
                </w:tcPr>
                <w:p w14:paraId="4E959F8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06" w:type="pct"/>
                  <w:tcBorders>
                    <w:tl2br w:val="nil"/>
                    <w:tr2bl w:val="nil"/>
                  </w:tcBorders>
                  <w:noWrap w:val="0"/>
                  <w:vAlign w:val="center"/>
                </w:tcPr>
                <w:p w14:paraId="7F2B75A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氨氮</w:t>
                  </w:r>
                </w:p>
              </w:tc>
              <w:tc>
                <w:tcPr>
                  <w:tcW w:w="707" w:type="pct"/>
                  <w:tcBorders>
                    <w:tl2br w:val="nil"/>
                    <w:tr2bl w:val="nil"/>
                  </w:tcBorders>
                  <w:noWrap w:val="0"/>
                  <w:vAlign w:val="center"/>
                </w:tcPr>
                <w:p w14:paraId="4AD784D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p>
              </w:tc>
            </w:tr>
            <w:tr w14:paraId="4B0E3C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06" w:hRule="atLeast"/>
                <w:jc w:val="center"/>
              </w:trPr>
              <w:tc>
                <w:tcPr>
                  <w:tcW w:w="266" w:type="pct"/>
                  <w:tcBorders>
                    <w:tl2br w:val="nil"/>
                    <w:tr2bl w:val="nil"/>
                  </w:tcBorders>
                  <w:noWrap w:val="0"/>
                  <w:vAlign w:val="center"/>
                </w:tcPr>
                <w:p w14:paraId="0C442DD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4</w:t>
                  </w:r>
                </w:p>
              </w:tc>
              <w:tc>
                <w:tcPr>
                  <w:tcW w:w="472" w:type="pct"/>
                  <w:vMerge w:val="continue"/>
                  <w:tcBorders>
                    <w:tl2br w:val="nil"/>
                    <w:tr2bl w:val="nil"/>
                  </w:tcBorders>
                  <w:noWrap w:val="0"/>
                  <w:vAlign w:val="center"/>
                </w:tcPr>
                <w:p w14:paraId="54605BC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89" w:type="pct"/>
                  <w:vMerge w:val="continue"/>
                  <w:tcBorders>
                    <w:tl2br w:val="nil"/>
                    <w:tr2bl w:val="nil"/>
                  </w:tcBorders>
                  <w:noWrap w:val="0"/>
                  <w:vAlign w:val="center"/>
                </w:tcPr>
                <w:p w14:paraId="30501B5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64" w:type="pct"/>
                  <w:vMerge w:val="continue"/>
                  <w:tcBorders>
                    <w:tl2br w:val="nil"/>
                    <w:tr2bl w:val="nil"/>
                  </w:tcBorders>
                  <w:noWrap w:val="0"/>
                  <w:vAlign w:val="center"/>
                </w:tcPr>
                <w:p w14:paraId="67986D9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377" w:type="pct"/>
                  <w:vMerge w:val="continue"/>
                  <w:tcBorders>
                    <w:tl2br w:val="nil"/>
                    <w:tr2bl w:val="nil"/>
                  </w:tcBorders>
                  <w:noWrap w:val="0"/>
                  <w:vAlign w:val="center"/>
                </w:tcPr>
                <w:p w14:paraId="269B906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59" w:type="pct"/>
                  <w:vMerge w:val="continue"/>
                  <w:tcBorders>
                    <w:tl2br w:val="nil"/>
                    <w:tr2bl w:val="nil"/>
                  </w:tcBorders>
                  <w:noWrap w:val="0"/>
                  <w:vAlign w:val="center"/>
                </w:tcPr>
                <w:p w14:paraId="371EFB1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448" w:type="pct"/>
                  <w:vMerge w:val="continue"/>
                  <w:tcBorders>
                    <w:tl2br w:val="nil"/>
                    <w:tr2bl w:val="nil"/>
                  </w:tcBorders>
                  <w:noWrap w:val="0"/>
                  <w:vAlign w:val="center"/>
                </w:tcPr>
                <w:p w14:paraId="200F551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08" w:type="pct"/>
                  <w:vMerge w:val="continue"/>
                  <w:tcBorders>
                    <w:tl2br w:val="nil"/>
                    <w:tr2bl w:val="nil"/>
                  </w:tcBorders>
                  <w:noWrap w:val="0"/>
                  <w:vAlign w:val="center"/>
                </w:tcPr>
                <w:p w14:paraId="4EBE8A0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yellow"/>
                    </w:rPr>
                  </w:pPr>
                </w:p>
              </w:tc>
              <w:tc>
                <w:tcPr>
                  <w:tcW w:w="506" w:type="pct"/>
                  <w:tcBorders>
                    <w:tl2br w:val="nil"/>
                    <w:tr2bl w:val="nil"/>
                  </w:tcBorders>
                  <w:noWrap w:val="0"/>
                  <w:vAlign w:val="center"/>
                </w:tcPr>
                <w:p w14:paraId="1EBA12F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tc>
              <w:tc>
                <w:tcPr>
                  <w:tcW w:w="707" w:type="pct"/>
                  <w:tcBorders>
                    <w:tl2br w:val="nil"/>
                    <w:tr2bl w:val="nil"/>
                  </w:tcBorders>
                  <w:noWrap w:val="0"/>
                  <w:vAlign w:val="center"/>
                </w:tcPr>
                <w:p w14:paraId="3DAAA91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r>
          </w:tbl>
          <w:p w14:paraId="7C6EE76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（5）</w:t>
            </w:r>
            <w:r>
              <w:rPr>
                <w:rFonts w:hint="default" w:ascii="Times New Roman" w:hAnsi="Times New Roman" w:eastAsia="宋体" w:cs="Times New Roman"/>
                <w:bCs/>
                <w:color w:val="auto"/>
                <w:sz w:val="24"/>
                <w:highlight w:val="none"/>
                <w:lang w:val="de-DE"/>
              </w:rPr>
              <w:t>监测要求</w:t>
            </w:r>
          </w:p>
          <w:p w14:paraId="08FD8FB9">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参照《排污单位自行监测技术指南 总则》（HJ819-2017）</w:t>
            </w:r>
            <w:r>
              <w:rPr>
                <w:rFonts w:hint="default" w:ascii="Times New Roman" w:hAnsi="Times New Roman" w:cs="Times New Roman"/>
                <w:bCs/>
                <w:color w:val="auto"/>
                <w:sz w:val="24"/>
                <w:highlight w:val="none"/>
                <w:lang w:eastAsia="zh-CN"/>
              </w:rPr>
              <w:t>以及参考</w:t>
            </w:r>
            <w:r>
              <w:rPr>
                <w:rFonts w:hint="eastAsia" w:ascii="Times New Roman" w:hAnsi="Times New Roman" w:cs="Times New Roman"/>
                <w:bCs/>
                <w:color w:val="auto"/>
                <w:sz w:val="24"/>
                <w:highlight w:val="none"/>
                <w:lang w:eastAsia="zh-CN"/>
              </w:rPr>
              <w:t>《排污许可证申请与核发技术规范 石墨及其他非金属矿物制品制造》（HJ1119-2020）</w:t>
            </w:r>
            <w:r>
              <w:rPr>
                <w:rFonts w:hint="default" w:ascii="Times New Roman" w:hAnsi="Times New Roman" w:cs="Times New Roman"/>
                <w:bCs/>
                <w:color w:val="auto"/>
                <w:sz w:val="24"/>
                <w:highlight w:val="none"/>
              </w:rPr>
              <w:t>要求及本项目实际情况中，制定监测计划。</w:t>
            </w:r>
          </w:p>
          <w:p w14:paraId="5A08B4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4-</w:t>
            </w:r>
            <w:r>
              <w:rPr>
                <w:rFonts w:hint="eastAsia" w:cs="Times New Roman"/>
                <w:b/>
                <w:color w:val="auto"/>
                <w:szCs w:val="21"/>
                <w:highlight w:val="none"/>
                <w:lang w:val="en-US" w:eastAsia="zh-CN"/>
              </w:rPr>
              <w:t>10</w:t>
            </w:r>
            <w:r>
              <w:rPr>
                <w:rFonts w:hint="eastAsia" w:ascii="Times New Roman" w:hAnsi="Times New Roman" w:eastAsia="宋体" w:cs="Times New Roman"/>
                <w:b/>
                <w:color w:val="auto"/>
                <w:szCs w:val="21"/>
                <w:highlight w:val="none"/>
                <w:lang w:val="en-US" w:eastAsia="zh-CN"/>
              </w:rPr>
              <w:t xml:space="preserve"> 本</w:t>
            </w:r>
            <w:r>
              <w:rPr>
                <w:rFonts w:hint="default" w:ascii="Times New Roman" w:hAnsi="Times New Roman" w:eastAsia="宋体" w:cs="Times New Roman"/>
                <w:b/>
                <w:color w:val="auto"/>
                <w:szCs w:val="21"/>
                <w:highlight w:val="none"/>
                <w:lang w:val="en-US" w:eastAsia="zh-CN"/>
              </w:rPr>
              <w:t>项目废</w:t>
            </w:r>
            <w:r>
              <w:rPr>
                <w:rFonts w:hint="eastAsia" w:ascii="Times New Roman" w:hAnsi="Times New Roman" w:eastAsia="宋体" w:cs="Times New Roman"/>
                <w:b/>
                <w:color w:val="auto"/>
                <w:szCs w:val="21"/>
                <w:highlight w:val="none"/>
                <w:lang w:val="en-US" w:eastAsia="zh-CN"/>
              </w:rPr>
              <w:t>水</w:t>
            </w:r>
            <w:r>
              <w:rPr>
                <w:rFonts w:hint="default" w:ascii="Times New Roman" w:hAnsi="Times New Roman" w:eastAsia="宋体" w:cs="Times New Roman"/>
                <w:b/>
                <w:color w:val="auto"/>
                <w:szCs w:val="21"/>
                <w:highlight w:val="none"/>
                <w:lang w:val="en-US" w:eastAsia="zh-CN"/>
              </w:rPr>
              <w:t>监测信息表</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76"/>
              <w:gridCol w:w="1662"/>
              <w:gridCol w:w="4162"/>
              <w:gridCol w:w="1733"/>
            </w:tblGrid>
            <w:tr w14:paraId="4B60C0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73" w:type="pct"/>
                  <w:tcBorders>
                    <w:tl2br w:val="nil"/>
                    <w:tr2bl w:val="nil"/>
                  </w:tcBorders>
                  <w:noWrap w:val="0"/>
                  <w:vAlign w:val="center"/>
                </w:tcPr>
                <w:p w14:paraId="434D8A2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监测点位</w:t>
                  </w:r>
                </w:p>
              </w:tc>
              <w:tc>
                <w:tcPr>
                  <w:tcW w:w="951" w:type="pct"/>
                  <w:tcBorders>
                    <w:tl2br w:val="nil"/>
                    <w:tr2bl w:val="nil"/>
                  </w:tcBorders>
                  <w:noWrap w:val="0"/>
                  <w:vAlign w:val="center"/>
                </w:tcPr>
                <w:p w14:paraId="55F7088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排放口类型</w:t>
                  </w:r>
                </w:p>
              </w:tc>
              <w:tc>
                <w:tcPr>
                  <w:tcW w:w="2382" w:type="pct"/>
                  <w:tcBorders>
                    <w:tl2br w:val="nil"/>
                    <w:tr2bl w:val="nil"/>
                  </w:tcBorders>
                  <w:noWrap w:val="0"/>
                  <w:vAlign w:val="center"/>
                </w:tcPr>
                <w:p w14:paraId="50A6D6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监测因子</w:t>
                  </w:r>
                </w:p>
              </w:tc>
              <w:tc>
                <w:tcPr>
                  <w:tcW w:w="992" w:type="pct"/>
                  <w:tcBorders>
                    <w:tl2br w:val="nil"/>
                    <w:tr2bl w:val="nil"/>
                  </w:tcBorders>
                  <w:noWrap w:val="0"/>
                  <w:vAlign w:val="center"/>
                </w:tcPr>
                <w:p w14:paraId="16ABF02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监测频次</w:t>
                  </w:r>
                </w:p>
              </w:tc>
            </w:tr>
            <w:tr w14:paraId="16C7CC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73" w:type="pct"/>
                  <w:tcBorders>
                    <w:tl2br w:val="nil"/>
                    <w:tr2bl w:val="nil"/>
                  </w:tcBorders>
                  <w:noWrap w:val="0"/>
                  <w:vAlign w:val="center"/>
                </w:tcPr>
                <w:p w14:paraId="35933EF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DW</w:t>
                  </w:r>
                  <w:r>
                    <w:rPr>
                      <w:rFonts w:hint="default" w:ascii="Times New Roman" w:hAnsi="Times New Roman" w:cs="Times New Roman"/>
                      <w:color w:val="auto"/>
                      <w:szCs w:val="21"/>
                      <w:highlight w:val="none"/>
                    </w:rPr>
                    <w:t>00</w:t>
                  </w:r>
                  <w:r>
                    <w:rPr>
                      <w:rFonts w:hint="eastAsia" w:ascii="Times New Roman" w:hAnsi="Times New Roman" w:cs="Times New Roman"/>
                      <w:color w:val="auto"/>
                      <w:szCs w:val="21"/>
                      <w:highlight w:val="none"/>
                    </w:rPr>
                    <w:t>1</w:t>
                  </w:r>
                </w:p>
              </w:tc>
              <w:tc>
                <w:tcPr>
                  <w:tcW w:w="951" w:type="pct"/>
                  <w:tcBorders>
                    <w:tl2br w:val="nil"/>
                    <w:tr2bl w:val="nil"/>
                  </w:tcBorders>
                  <w:noWrap w:val="0"/>
                  <w:vAlign w:val="center"/>
                </w:tcPr>
                <w:p w14:paraId="52204BF4">
                  <w:pPr>
                    <w:keepNext w:val="0"/>
                    <w:keepLines w:val="0"/>
                    <w:suppressLineNumbers w:val="0"/>
                    <w:spacing w:before="0" w:beforeAutospacing="0" w:after="0" w:afterAutospacing="0"/>
                    <w:ind w:left="0" w:right="0"/>
                    <w:jc w:val="center"/>
                    <w:rPr>
                      <w:rFonts w:hint="eastAsia"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highlight w:val="none"/>
                    </w:rPr>
                    <w:t>废水总排口</w:t>
                  </w:r>
                </w:p>
              </w:tc>
              <w:tc>
                <w:tcPr>
                  <w:tcW w:w="2382" w:type="pct"/>
                  <w:tcBorders>
                    <w:tl2br w:val="nil"/>
                    <w:tr2bl w:val="nil"/>
                  </w:tcBorders>
                  <w:noWrap w:val="0"/>
                  <w:vAlign w:val="center"/>
                </w:tcPr>
                <w:p w14:paraId="1DC4F4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highlight w:val="none"/>
                      <w:lang w:eastAsia="zh-CN"/>
                    </w:rPr>
                    <w:t>流量、pH 值、化学需氧量、悬浮物、五日生 化需氧量、氨氮、总磷、氟化物</w:t>
                  </w:r>
                </w:p>
              </w:tc>
              <w:tc>
                <w:tcPr>
                  <w:tcW w:w="992" w:type="pct"/>
                  <w:tcBorders>
                    <w:tl2br w:val="nil"/>
                    <w:tr2bl w:val="nil"/>
                  </w:tcBorders>
                  <w:noWrap w:val="0"/>
                  <w:vAlign w:val="center"/>
                </w:tcPr>
                <w:p w14:paraId="3DB0ED8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半年</w:t>
                  </w:r>
                  <w:r>
                    <w:rPr>
                      <w:rFonts w:hint="default" w:ascii="Times New Roman" w:hAnsi="Times New Roman" w:cs="Times New Roman"/>
                      <w:color w:val="auto"/>
                      <w:highlight w:val="none"/>
                    </w:rPr>
                    <w:t>1次</w:t>
                  </w:r>
                </w:p>
              </w:tc>
            </w:tr>
          </w:tbl>
          <w:p w14:paraId="3095E0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6"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三、噪声</w:t>
            </w:r>
          </w:p>
          <w:p w14:paraId="470588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6" w:lineRule="auto"/>
              <w:ind w:left="0" w:right="0" w:firstLine="480" w:firstLineChars="200"/>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影响报告表编制技术指南（污染影响类）（试行）》中运营期噪声环境影响需明确噪声源、产生强度、降噪措施、排放强度、持续时间，分析厂界和环境保护目标达标情况，提出监测要求（监测点位、监测频次）。</w:t>
            </w:r>
          </w:p>
          <w:p w14:paraId="6CF17CEB">
            <w:pPr>
              <w:keepNext w:val="0"/>
              <w:keepLines w:val="0"/>
              <w:suppressLineNumbers w:val="0"/>
              <w:spacing w:before="0" w:beforeAutospacing="0" w:after="0" w:afterAutospacing="0" w:line="360" w:lineRule="auto"/>
              <w:ind w:left="0" w:right="0" w:firstLine="240" w:firstLineChars="100"/>
              <w:rPr>
                <w:rFonts w:hint="eastAsia" w:ascii="Times New Roman" w:hAnsi="Times New Roman" w:cs="Times New Roman"/>
                <w:color w:val="000000"/>
                <w:sz w:val="24"/>
                <w:highlight w:val="none"/>
              </w:rPr>
            </w:pPr>
            <w:r>
              <w:rPr>
                <w:rFonts w:hint="eastAsia" w:ascii="Times New Roman" w:hAnsi="Times New Roman" w:cs="Times New Roman"/>
                <w:color w:val="000000"/>
                <w:sz w:val="24"/>
                <w:highlight w:val="none"/>
              </w:rPr>
              <w:t>（1）噪声源</w:t>
            </w:r>
          </w:p>
          <w:p w14:paraId="562F059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eastAsia="zh-CN"/>
              </w:rPr>
              <w:t>本项目</w:t>
            </w:r>
            <w:r>
              <w:rPr>
                <w:rFonts w:hint="eastAsia" w:ascii="Times New Roman" w:hAnsi="Times New Roman" w:cs="Times New Roman"/>
                <w:color w:val="000000"/>
                <w:sz w:val="24"/>
                <w:highlight w:val="none"/>
              </w:rPr>
              <w:t>新增主要噪声源均布置在厂房内部，项目噪声主要为搅拌罐</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rPr>
              <w:t>压滤机、料仓包装机</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rPr>
              <w:t>各种风机、泵类等设备运转噪声，噪声强度为75~</w:t>
            </w:r>
            <w:r>
              <w:rPr>
                <w:rFonts w:hint="eastAsia" w:ascii="Times New Roman" w:hAnsi="Times New Roman" w:cs="Times New Roman"/>
                <w:color w:val="000000"/>
                <w:sz w:val="24"/>
                <w:highlight w:val="none"/>
                <w:lang w:val="en-US" w:eastAsia="zh-CN"/>
              </w:rPr>
              <w:t>90</w:t>
            </w:r>
            <w:r>
              <w:rPr>
                <w:rFonts w:hint="eastAsia" w:ascii="Times New Roman" w:hAnsi="Times New Roman" w:cs="Times New Roman"/>
                <w:color w:val="000000"/>
                <w:sz w:val="24"/>
                <w:highlight w:val="none"/>
              </w:rPr>
              <w:t>dB(A)</w:t>
            </w:r>
            <w:r>
              <w:rPr>
                <w:rFonts w:hint="default" w:ascii="Times New Roman" w:hAnsi="Times New Roman" w:cs="Times New Roman"/>
                <w:color w:val="000000"/>
                <w:sz w:val="24"/>
                <w:highlight w:val="none"/>
              </w:rPr>
              <w:t>，对机械设备产生的噪声，采用减震、隔音、合理布局等措施，尽量减弱或降低声源的振动，或将传播的声能吸收掉，或设置障碍，达到控制噪声的目的。</w:t>
            </w:r>
          </w:p>
          <w:p w14:paraId="0AC4934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（2）噪声防治措施</w:t>
            </w:r>
          </w:p>
          <w:p w14:paraId="60C9F05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①总平面布置：将高噪声设备设置于距离厂界较远的位置，尽量把噪声强度大的设备安装在建筑物内部或设隔声罩</w:t>
            </w:r>
            <w:r>
              <w:rPr>
                <w:rFonts w:hint="eastAsia" w:ascii="Times New Roman" w:hAnsi="Times New Roman" w:cs="Times New Roman"/>
                <w:color w:val="000000"/>
                <w:sz w:val="24"/>
                <w:highlight w:val="none"/>
              </w:rPr>
              <w:t>，</w:t>
            </w:r>
            <w:r>
              <w:rPr>
                <w:rFonts w:hint="default" w:ascii="Times New Roman" w:hAnsi="Times New Roman" w:cs="Times New Roman"/>
                <w:color w:val="000000"/>
                <w:sz w:val="24"/>
                <w:highlight w:val="none"/>
              </w:rPr>
              <w:t>使其对环境的影响降至最低限度。</w:t>
            </w:r>
          </w:p>
          <w:p w14:paraId="686E729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②</w:t>
            </w:r>
            <w:r>
              <w:rPr>
                <w:rFonts w:hint="eastAsia" w:ascii="Times New Roman" w:hAnsi="Times New Roman" w:cs="Times New Roman"/>
                <w:color w:val="000000"/>
                <w:sz w:val="24"/>
                <w:highlight w:val="none"/>
              </w:rPr>
              <w:t>源头预防</w:t>
            </w:r>
            <w:r>
              <w:rPr>
                <w:rFonts w:hint="default" w:ascii="Times New Roman" w:hAnsi="Times New Roman" w:cs="Times New Roman"/>
                <w:color w:val="000000"/>
                <w:sz w:val="24"/>
                <w:highlight w:val="none"/>
              </w:rPr>
              <w:t>：设备选型时选择噪声低的设备，对设备采取减振、隔音、建筑屏蔽等措施，采取降噪措施后，噪声水平可降低约2</w:t>
            </w:r>
            <w:r>
              <w:rPr>
                <w:rFonts w:hint="eastAsia" w:ascii="Times New Roman" w:hAnsi="Times New Roman" w:cs="Times New Roman"/>
                <w:color w:val="000000"/>
                <w:sz w:val="24"/>
                <w:highlight w:val="none"/>
              </w:rPr>
              <w:t>5</w:t>
            </w:r>
            <w:r>
              <w:rPr>
                <w:rFonts w:hint="default" w:ascii="Times New Roman" w:hAnsi="Times New Roman" w:cs="Times New Roman"/>
                <w:color w:val="000000"/>
                <w:sz w:val="24"/>
                <w:highlight w:val="none"/>
              </w:rPr>
              <w:t>dB(A)。</w:t>
            </w:r>
          </w:p>
          <w:p w14:paraId="40DBAB2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③加强管理：建立设备定期维护，保养的管理制度，以防止设备故障形成的非正常生产噪声；加强职工环保意识教育，提倡文明生产，减少人为噪声。</w:t>
            </w:r>
          </w:p>
          <w:p w14:paraId="6DD36EF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rPr>
              <w:t>④</w:t>
            </w:r>
            <w:r>
              <w:rPr>
                <w:rFonts w:hint="default" w:ascii="Times New Roman" w:hAnsi="Times New Roman" w:cs="Times New Roman"/>
                <w:color w:val="000000"/>
                <w:sz w:val="24"/>
                <w:highlight w:val="none"/>
              </w:rPr>
              <w:t>搞好绿化降噪</w:t>
            </w:r>
            <w:r>
              <w:rPr>
                <w:rFonts w:hint="eastAsia" w:ascii="Times New Roman" w:hAnsi="Times New Roman" w:cs="Times New Roman"/>
                <w:color w:val="000000"/>
                <w:sz w:val="24"/>
                <w:highlight w:val="none"/>
              </w:rPr>
              <w:t>，增加厂区周围高大乔木、灌木的种植。</w:t>
            </w:r>
          </w:p>
          <w:p w14:paraId="1CCFB40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（3）预测结果及评价</w:t>
            </w:r>
          </w:p>
          <w:p w14:paraId="34358338">
            <w:pPr>
              <w:pStyle w:val="3"/>
              <w:keepNext w:val="0"/>
              <w:keepLines w:val="0"/>
              <w:suppressLineNumbers w:val="0"/>
              <w:spacing w:before="0" w:beforeAutospacing="0" w:afterAutospacing="0" w:line="360" w:lineRule="auto"/>
              <w:ind w:left="0" w:leftChars="0" w:right="0" w:firstLine="480" w:firstLineChars="200"/>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本次评价采用《环境影响评价技术导则-声环境》（HJ2.4-2021）中推荐的模式进行预测，用A声级计算，模式如下：</w:t>
            </w:r>
          </w:p>
          <w:p w14:paraId="1FB793D3">
            <w:pPr>
              <w:pStyle w:val="3"/>
              <w:keepNext w:val="0"/>
              <w:keepLines w:val="0"/>
              <w:suppressLineNumbers w:val="0"/>
              <w:spacing w:before="0" w:beforeAutospacing="0" w:afterAutospacing="0" w:line="360" w:lineRule="auto"/>
              <w:ind w:right="0"/>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①室外声源在预测点的声压级</w:t>
            </w:r>
          </w:p>
          <w:p w14:paraId="0A147C40">
            <w:pPr>
              <w:pStyle w:val="3"/>
              <w:keepNext w:val="0"/>
              <w:keepLines w:val="0"/>
              <w:suppressLineNumbers w:val="0"/>
              <w:spacing w:before="0" w:beforeAutospacing="0" w:afterAutospacing="0" w:line="360" w:lineRule="auto"/>
              <w:ind w:right="0"/>
              <w:jc w:val="center"/>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LA(r)=LAref(r0)-(AdiⅤ+Abar+Aatm+Aexc)</w:t>
            </w:r>
          </w:p>
          <w:p w14:paraId="71DE4048">
            <w:pPr>
              <w:pStyle w:val="3"/>
              <w:keepNext w:val="0"/>
              <w:keepLines w:val="0"/>
              <w:suppressLineNumbers w:val="0"/>
              <w:spacing w:before="0" w:beforeAutospacing="0" w:afterAutospacing="0" w:line="360" w:lineRule="auto"/>
              <w:ind w:right="0"/>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式中：LA(r)——距声源r处的A声级，dB(A)；</w:t>
            </w:r>
          </w:p>
          <w:p w14:paraId="092D6E2A">
            <w:pPr>
              <w:pStyle w:val="3"/>
              <w:keepNext w:val="0"/>
              <w:keepLines w:val="0"/>
              <w:suppressLineNumbers w:val="0"/>
              <w:spacing w:before="0" w:beforeAutospacing="0" w:afterAutospacing="0" w:line="360" w:lineRule="auto"/>
              <w:ind w:right="0" w:firstLine="720" w:firstLineChars="300"/>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LAref(r0)——参考位置r0处的A声级，dB(A)；</w:t>
            </w:r>
          </w:p>
          <w:p w14:paraId="22613091">
            <w:pPr>
              <w:pStyle w:val="3"/>
              <w:keepNext w:val="0"/>
              <w:keepLines w:val="0"/>
              <w:suppressLineNumbers w:val="0"/>
              <w:spacing w:before="0" w:beforeAutospacing="0" w:afterAutospacing="0" w:line="360" w:lineRule="auto"/>
              <w:ind w:right="0" w:firstLine="720" w:firstLineChars="300"/>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AdiⅤ——声波几何发散引起的A声级衰减量，dB(A)；</w:t>
            </w:r>
          </w:p>
          <w:p w14:paraId="0459142D">
            <w:pPr>
              <w:pStyle w:val="3"/>
              <w:keepNext w:val="0"/>
              <w:keepLines w:val="0"/>
              <w:suppressLineNumbers w:val="0"/>
              <w:spacing w:before="0" w:beforeAutospacing="0" w:afterAutospacing="0" w:line="360" w:lineRule="auto"/>
              <w:ind w:right="0" w:firstLine="720" w:firstLineChars="300"/>
              <w:rPr>
                <w:rFonts w:hint="default" w:ascii="Times New Roman" w:hAnsi="Times New Roman" w:cs="Times New Roman"/>
                <w:color w:val="000000"/>
                <w:kern w:val="2"/>
                <w:szCs w:val="24"/>
                <w:highlight w:val="none"/>
              </w:rPr>
            </w:pPr>
            <w:r>
              <w:rPr>
                <w:rFonts w:hint="default" w:ascii="Times New Roman" w:hAnsi="Times New Roman" w:cs="Times New Roman"/>
                <w:color w:val="000000"/>
                <w:kern w:val="2"/>
                <w:szCs w:val="24"/>
                <w:highlight w:val="none"/>
              </w:rPr>
              <w:t>Abar——遮挡物引起的A声级衰减量，dB(A)；</w:t>
            </w:r>
          </w:p>
          <w:p w14:paraId="64563AD8">
            <w:pPr>
              <w:keepNext w:val="0"/>
              <w:keepLines w:val="0"/>
              <w:suppressLineNumbers w:val="0"/>
              <w:spacing w:before="0" w:beforeAutospacing="0" w:after="0" w:afterAutospacing="0" w:line="360" w:lineRule="auto"/>
              <w:ind w:left="0" w:right="0" w:firstLine="1200" w:firstLineChars="5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Abar－遮挡物引起的A声级衰减量，dB(A)；</w:t>
            </w:r>
          </w:p>
          <w:p w14:paraId="3FFEBB13">
            <w:pPr>
              <w:keepNext w:val="0"/>
              <w:keepLines w:val="0"/>
              <w:suppressLineNumbers w:val="0"/>
              <w:spacing w:before="0" w:beforeAutospacing="0" w:after="0" w:afterAutospacing="0" w:line="360" w:lineRule="auto"/>
              <w:ind w:left="0" w:right="0" w:firstLine="1200" w:firstLineChars="5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Aatm－空气吸收引起的A声级衰减量，dB(A)；</w:t>
            </w:r>
          </w:p>
          <w:p w14:paraId="6BE4F8D9">
            <w:pPr>
              <w:keepNext w:val="0"/>
              <w:keepLines w:val="0"/>
              <w:suppressLineNumbers w:val="0"/>
              <w:spacing w:before="0" w:beforeAutospacing="0" w:after="0" w:afterAutospacing="0" w:line="360" w:lineRule="auto"/>
              <w:ind w:left="0" w:right="0" w:firstLine="1200" w:firstLineChars="5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Aexc－附加衰减量，dB(A)。</w:t>
            </w:r>
          </w:p>
          <w:p w14:paraId="244A7132">
            <w:pPr>
              <w:keepNext w:val="0"/>
              <w:keepLines w:val="0"/>
              <w:suppressLineNumbers w:val="0"/>
              <w:spacing w:before="0" w:beforeAutospacing="0" w:after="0" w:afterAutospacing="0" w:line="360" w:lineRule="auto"/>
              <w:ind w:left="0" w:right="0" w:firstLine="540" w:firstLineChars="2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②室内声源在预测点的声压级</w:t>
            </w:r>
          </w:p>
          <w:p w14:paraId="18FCB7F9">
            <w:pPr>
              <w:keepNext w:val="0"/>
              <w:keepLines w:val="0"/>
              <w:suppressLineNumbers w:val="0"/>
              <w:spacing w:before="0" w:beforeAutospacing="0" w:after="0" w:afterAutospacing="0" w:line="360" w:lineRule="auto"/>
              <w:ind w:left="0" w:right="0" w:firstLine="540" w:firstLineChars="2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a.首先计算某个室内声源在靠近围护结构处的声压级：</w:t>
            </w:r>
          </w:p>
          <w:p w14:paraId="250F26EC">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 w:val="24"/>
                <w:highlight w:val="none"/>
                <w:lang w:val="fr-FR"/>
              </w:rPr>
            </w:pPr>
            <w:r>
              <w:rPr>
                <w:rFonts w:hint="default" w:ascii="Times New Roman" w:hAnsi="Times New Roman" w:cs="Times New Roman"/>
                <w:color w:val="000000"/>
                <w:sz w:val="24"/>
                <w:highlight w:val="none"/>
                <w:lang w:val="fr-FR"/>
              </w:rPr>
              <w:t>Li=Lw+10lg(Q/4</w:t>
            </w:r>
            <w:r>
              <w:rPr>
                <w:rFonts w:hint="default" w:ascii="Times New Roman" w:hAnsi="Times New Roman" w:cs="Times New Roman"/>
                <w:color w:val="000000"/>
                <w:sz w:val="24"/>
                <w:highlight w:val="none"/>
              </w:rPr>
              <w:t>π</w:t>
            </w:r>
            <w:r>
              <w:rPr>
                <w:rFonts w:hint="default" w:ascii="Times New Roman" w:hAnsi="Times New Roman" w:cs="Times New Roman"/>
                <w:color w:val="000000"/>
                <w:sz w:val="24"/>
                <w:highlight w:val="none"/>
                <w:lang w:val="fr-FR"/>
              </w:rPr>
              <w:t>ri2+4/R)</w:t>
            </w:r>
          </w:p>
          <w:p w14:paraId="75589C5B">
            <w:pPr>
              <w:keepNext w:val="0"/>
              <w:keepLines w:val="0"/>
              <w:suppressLineNumbers w:val="0"/>
              <w:spacing w:before="0" w:beforeAutospacing="0" w:after="0" w:afterAutospacing="0" w:line="360" w:lineRule="auto"/>
              <w:ind w:left="0" w:right="0" w:firstLine="540" w:firstLineChars="2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式中：Li－某个室内声源在靠近围护结构处的声压级，dB(A)；</w:t>
            </w:r>
          </w:p>
          <w:p w14:paraId="5C39F98E">
            <w:pPr>
              <w:keepNext w:val="0"/>
              <w:keepLines w:val="0"/>
              <w:suppressLineNumbers w:val="0"/>
              <w:spacing w:before="0" w:beforeAutospacing="0" w:after="0" w:afterAutospacing="0" w:line="360" w:lineRule="auto"/>
              <w:ind w:left="0" w:right="0" w:firstLine="1260" w:firstLineChars="5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Lw－某个声源的声功率级，dB；</w:t>
            </w:r>
          </w:p>
          <w:p w14:paraId="2D14F1A8">
            <w:pPr>
              <w:keepNext w:val="0"/>
              <w:keepLines w:val="0"/>
              <w:suppressLineNumbers w:val="0"/>
              <w:spacing w:before="0" w:beforeAutospacing="0" w:after="0" w:afterAutospacing="0" w:line="360" w:lineRule="auto"/>
              <w:ind w:left="0" w:right="0" w:firstLine="1260" w:firstLineChars="5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ri－某个声源与靠近围护结构处的距离，m；</w:t>
            </w:r>
          </w:p>
          <w:p w14:paraId="38BE826A">
            <w:pPr>
              <w:keepNext w:val="0"/>
              <w:keepLines w:val="0"/>
              <w:suppressLineNumbers w:val="0"/>
              <w:spacing w:before="0" w:beforeAutospacing="0" w:after="0" w:afterAutospacing="0" w:line="360" w:lineRule="auto"/>
              <w:ind w:left="0" w:right="0" w:firstLine="1260" w:firstLineChars="5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R－房间常数；</w:t>
            </w:r>
          </w:p>
          <w:p w14:paraId="3E00E62C">
            <w:pPr>
              <w:keepNext w:val="0"/>
              <w:keepLines w:val="0"/>
              <w:suppressLineNumbers w:val="0"/>
              <w:spacing w:before="0" w:beforeAutospacing="0" w:after="0" w:afterAutospacing="0" w:line="360" w:lineRule="auto"/>
              <w:ind w:left="0" w:right="0" w:firstLine="1260" w:firstLineChars="5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Q－方向性因子。</w:t>
            </w:r>
          </w:p>
          <w:p w14:paraId="33C03A63">
            <w:pPr>
              <w:keepNext w:val="0"/>
              <w:keepLines w:val="0"/>
              <w:suppressLineNumbers w:val="0"/>
              <w:spacing w:before="0" w:beforeAutospacing="0" w:after="0" w:afterAutospacing="0" w:line="360" w:lineRule="auto"/>
              <w:ind w:left="0" w:right="0" w:firstLine="540" w:firstLineChars="2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b.计算所有室内声源在靠近围护结构处产生的总声压级：</w:t>
            </w:r>
          </w:p>
          <w:p w14:paraId="5779C395">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 w:val="24"/>
                <w:highlight w:val="none"/>
                <w:lang w:val="fr-FR"/>
              </w:rPr>
            </w:pPr>
            <w:r>
              <w:rPr>
                <w:rFonts w:hint="default" w:ascii="Times New Roman" w:hAnsi="Times New Roman" w:cs="Times New Roman"/>
                <w:color w:val="000000"/>
                <w:sz w:val="24"/>
                <w:highlight w:val="none"/>
                <w:lang w:val="fr-FR"/>
              </w:rPr>
              <w:t>L1（T）=10lg[∑100.1LA(r)]</w:t>
            </w:r>
          </w:p>
          <w:p w14:paraId="311BA6B6">
            <w:pPr>
              <w:keepNext w:val="0"/>
              <w:keepLines w:val="0"/>
              <w:suppressLineNumbers w:val="0"/>
              <w:spacing w:before="0" w:beforeAutospacing="0" w:after="0" w:afterAutospacing="0" w:line="360" w:lineRule="auto"/>
              <w:ind w:left="0" w:right="0" w:firstLine="540" w:firstLineChars="2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c.计算室外靠近围护结构处的声压级：</w:t>
            </w:r>
          </w:p>
          <w:p w14:paraId="4FC934AB">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L2（T）=L1（T）－（TL+6）</w:t>
            </w:r>
          </w:p>
          <w:p w14:paraId="1CAEF243">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式中：TL－厂房平均隔声量，dB(A)。</w:t>
            </w:r>
          </w:p>
          <w:p w14:paraId="6E6E972E">
            <w:pPr>
              <w:keepNext w:val="0"/>
              <w:keepLines w:val="0"/>
              <w:suppressLineNumbers w:val="0"/>
              <w:spacing w:before="0" w:beforeAutospacing="0" w:after="0" w:afterAutospacing="0" w:line="360" w:lineRule="auto"/>
              <w:ind w:left="0" w:right="0" w:firstLine="540" w:firstLineChars="225"/>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d.将室外声级L2（T）和透声面积换算成等效的室外声源，计算出等效声源的声功率级Lw：</w:t>
            </w:r>
          </w:p>
          <w:p w14:paraId="4004B51C">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Lw=L2（T）+10lgS</w:t>
            </w:r>
          </w:p>
          <w:p w14:paraId="0E0C34E9">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式中：S－透声面积，</w:t>
            </w:r>
            <w:r>
              <w:rPr>
                <w:rFonts w:hint="eastAsia" w:ascii="Times New Roman" w:hAnsi="Times New Roman" w:cs="Times New Roman"/>
                <w:color w:val="000000"/>
                <w:sz w:val="24"/>
                <w:highlight w:val="none"/>
              </w:rPr>
              <w:t>㎡</w:t>
            </w:r>
            <w:r>
              <w:rPr>
                <w:rFonts w:hint="default" w:ascii="Times New Roman" w:hAnsi="Times New Roman" w:cs="Times New Roman"/>
                <w:color w:val="000000"/>
                <w:sz w:val="24"/>
                <w:highlight w:val="none"/>
              </w:rPr>
              <w:t>。</w:t>
            </w:r>
          </w:p>
          <w:p w14:paraId="1B99430A">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e.等效室外声源的位置为围护结构的位置，由此计算等效声源在预测点产生的声级。</w:t>
            </w:r>
          </w:p>
          <w:p w14:paraId="1295B817">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③参数确定</w:t>
            </w:r>
          </w:p>
          <w:p w14:paraId="1005FE2F">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a</w:t>
            </w:r>
            <w:r>
              <w:rPr>
                <w:rFonts w:hint="default" w:ascii="Times New Roman" w:hAnsi="Times New Roman" w:cs="Times New Roman"/>
                <w:color w:val="000000"/>
                <w:sz w:val="24"/>
                <w:highlight w:val="none"/>
              </w:rPr>
              <w:t>、AdiⅤ：对于点声源，AdiⅤ=20lg(r/r0)</w:t>
            </w:r>
          </w:p>
          <w:p w14:paraId="3DDC06D1">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对于有限长（L0）线声源：当r&gt;L0且r0&gt;L0时，AdiⅤ=20lg(r/r0)</w:t>
            </w:r>
          </w:p>
          <w:p w14:paraId="43BEB805">
            <w:pPr>
              <w:keepNext w:val="0"/>
              <w:keepLines w:val="0"/>
              <w:suppressLineNumbers w:val="0"/>
              <w:spacing w:before="0" w:beforeAutospacing="0" w:after="0" w:afterAutospacing="0" w:line="360" w:lineRule="auto"/>
              <w:ind w:left="0" w:right="0" w:firstLine="3360" w:firstLineChars="14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当r&lt;L0/3且r0&lt;L0/3时，AdiⅤ=10lg(r/r0)</w:t>
            </w:r>
          </w:p>
          <w:p w14:paraId="2A44C167">
            <w:pPr>
              <w:keepNext w:val="0"/>
              <w:keepLines w:val="0"/>
              <w:suppressLineNumbers w:val="0"/>
              <w:spacing w:before="0" w:beforeAutospacing="0" w:after="0" w:afterAutospacing="0" w:line="360" w:lineRule="auto"/>
              <w:ind w:left="0" w:right="0" w:firstLine="3360" w:firstLineChars="14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当L0/3&lt;r&lt;L0且L0/3&lt;r0&lt;L0时，AdiⅤ=15lg(r/r0)</w:t>
            </w:r>
          </w:p>
          <w:p w14:paraId="1745BAB4">
            <w:pPr>
              <w:keepNext w:val="0"/>
              <w:keepLines w:val="0"/>
              <w:suppressLineNumbers w:val="0"/>
              <w:spacing w:before="0" w:beforeAutospacing="0" w:after="0" w:afterAutospacing="0" w:line="336" w:lineRule="auto"/>
              <w:ind w:left="0" w:right="0" w:firstLine="480" w:firstLineChars="200"/>
              <w:jc w:val="left"/>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b</w:t>
            </w:r>
            <w:r>
              <w:rPr>
                <w:rFonts w:hint="default" w:ascii="Times New Roman" w:hAnsi="Times New Roman" w:cs="Times New Roman"/>
                <w:color w:val="000000"/>
                <w:sz w:val="24"/>
                <w:highlight w:val="none"/>
              </w:rPr>
              <w:t>、其它类型的衰减忽略不计。</w:t>
            </w:r>
          </w:p>
          <w:p w14:paraId="4B0DF4E1">
            <w:pPr>
              <w:keepNext w:val="0"/>
              <w:keepLines w:val="0"/>
              <w:suppressLineNumbers w:val="0"/>
              <w:spacing w:before="0" w:beforeAutospacing="0" w:after="0" w:afterAutospacing="0" w:line="336" w:lineRule="auto"/>
              <w:ind w:left="0" w:right="0"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根据以上模式，将主要等效声源按综合衰减模式求出到各预测点（噪声最大影响点）噪声贡献值，见下表。</w:t>
            </w:r>
          </w:p>
          <w:p w14:paraId="7DB489F6">
            <w:pPr>
              <w:keepNext w:val="0"/>
              <w:keepLines w:val="0"/>
              <w:suppressLineNumbers w:val="0"/>
              <w:adjustRightInd w:val="0"/>
              <w:snapToGrid w:val="0"/>
              <w:spacing w:before="0" w:beforeAutospacing="0" w:after="0" w:afterAutospacing="0" w:line="336" w:lineRule="auto"/>
              <w:ind w:left="0" w:right="0" w:firstLine="480" w:firstLineChars="200"/>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rPr>
              <w:t>（3）</w:t>
            </w:r>
            <w:r>
              <w:rPr>
                <w:rFonts w:hint="default" w:ascii="Times New Roman" w:hAnsi="Times New Roman" w:cs="Times New Roman"/>
                <w:color w:val="000000"/>
                <w:sz w:val="24"/>
                <w:highlight w:val="none"/>
              </w:rPr>
              <w:t>噪声达标分析</w:t>
            </w:r>
          </w:p>
          <w:p w14:paraId="074DCD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6" w:lineRule="auto"/>
              <w:ind w:left="0" w:right="0" w:firstLine="480" w:firstLineChars="200"/>
              <w:jc w:val="left"/>
              <w:textAlignment w:val="auto"/>
              <w:rPr>
                <w:rFonts w:hint="default" w:ascii="Times New Roman" w:hAnsi="Times New Roman" w:cs="Times New Roman"/>
                <w:color w:val="auto"/>
                <w:sz w:val="24"/>
                <w:highlight w:val="none"/>
              </w:rPr>
            </w:pPr>
            <w:r>
              <w:rPr>
                <w:rFonts w:hint="eastAsia" w:ascii="Times New Roman" w:hAnsi="Times New Roman" w:cs="Times New Roman"/>
                <w:color w:val="000000"/>
                <w:sz w:val="24"/>
                <w:highlight w:val="none"/>
                <w:lang w:eastAsia="zh-CN"/>
              </w:rPr>
              <w:t>本项目完成后后全厂</w:t>
            </w:r>
            <w:r>
              <w:rPr>
                <w:rFonts w:hint="default" w:ascii="Times New Roman" w:hAnsi="Times New Roman" w:cs="Times New Roman"/>
                <w:color w:val="000000"/>
                <w:sz w:val="24"/>
                <w:highlight w:val="none"/>
              </w:rPr>
              <w:t>预测数据详见下表</w:t>
            </w:r>
            <w:r>
              <w:rPr>
                <w:rFonts w:hint="default" w:ascii="Times New Roman" w:hAnsi="Times New Roman" w:cs="Times New Roman"/>
                <w:color w:val="auto"/>
                <w:sz w:val="24"/>
                <w:highlight w:val="none"/>
              </w:rPr>
              <w:t>。</w:t>
            </w:r>
          </w:p>
          <w:p w14:paraId="68BDDD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cs="Times New Roman"/>
                <w:b/>
                <w:color w:val="auto"/>
                <w:szCs w:val="21"/>
                <w:highlight w:val="none"/>
                <w:lang w:val="en-US" w:eastAsia="zh-CN"/>
              </w:rPr>
              <w:t>11</w:t>
            </w:r>
            <w:r>
              <w:rPr>
                <w:rFonts w:hint="default" w:ascii="Times New Roman" w:hAnsi="Times New Roman" w:eastAsia="宋体" w:cs="Times New Roman"/>
                <w:b/>
                <w:color w:val="auto"/>
                <w:szCs w:val="21"/>
                <w:highlight w:val="none"/>
                <w:lang w:val="en-US" w:eastAsia="zh-CN"/>
              </w:rPr>
              <w:t xml:space="preserve"> 本项目完成后全厂噪声产生环节及排放情况</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78"/>
              <w:gridCol w:w="740"/>
              <w:gridCol w:w="700"/>
              <w:gridCol w:w="1112"/>
              <w:gridCol w:w="659"/>
              <w:gridCol w:w="1277"/>
              <w:gridCol w:w="836"/>
              <w:gridCol w:w="797"/>
              <w:gridCol w:w="668"/>
              <w:gridCol w:w="668"/>
            </w:tblGrid>
            <w:tr w14:paraId="549786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1" w:hRule="atLeast"/>
                <w:jc w:val="center"/>
              </w:trPr>
              <w:tc>
                <w:tcPr>
                  <w:tcW w:w="1222" w:type="dxa"/>
                  <w:vMerge w:val="restart"/>
                  <w:noWrap w:val="0"/>
                  <w:vAlign w:val="center"/>
                </w:tcPr>
                <w:p w14:paraId="1042286C">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噪声源</w:t>
                  </w:r>
                </w:p>
              </w:tc>
              <w:tc>
                <w:tcPr>
                  <w:tcW w:w="707" w:type="dxa"/>
                  <w:vMerge w:val="restart"/>
                  <w:noWrap w:val="0"/>
                  <w:vAlign w:val="center"/>
                </w:tcPr>
                <w:p w14:paraId="20F69E22">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声源类型</w:t>
                  </w:r>
                </w:p>
              </w:tc>
              <w:tc>
                <w:tcPr>
                  <w:tcW w:w="2362" w:type="dxa"/>
                  <w:gridSpan w:val="3"/>
                  <w:noWrap w:val="0"/>
                  <w:vAlign w:val="center"/>
                </w:tcPr>
                <w:p w14:paraId="391D7DD2">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噪声产生量</w:t>
                  </w:r>
                </w:p>
              </w:tc>
              <w:tc>
                <w:tcPr>
                  <w:tcW w:w="2020" w:type="dxa"/>
                  <w:gridSpan w:val="2"/>
                  <w:noWrap w:val="0"/>
                  <w:vAlign w:val="center"/>
                </w:tcPr>
                <w:p w14:paraId="69629156">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降噪措施</w:t>
                  </w:r>
                </w:p>
              </w:tc>
              <w:tc>
                <w:tcPr>
                  <w:tcW w:w="762" w:type="dxa"/>
                  <w:vMerge w:val="restart"/>
                  <w:noWrap w:val="0"/>
                  <w:vAlign w:val="center"/>
                </w:tcPr>
                <w:p w14:paraId="77C9B021">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噪声排放量（dB（A）</w:t>
                  </w:r>
                </w:p>
              </w:tc>
              <w:tc>
                <w:tcPr>
                  <w:tcW w:w="639" w:type="dxa"/>
                  <w:vMerge w:val="restart"/>
                  <w:noWrap w:val="0"/>
                  <w:vAlign w:val="center"/>
                </w:tcPr>
                <w:p w14:paraId="6CAD6DCC">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持续时间（h）</w:t>
                  </w:r>
                </w:p>
              </w:tc>
              <w:tc>
                <w:tcPr>
                  <w:tcW w:w="639" w:type="dxa"/>
                  <w:vMerge w:val="restart"/>
                  <w:noWrap w:val="0"/>
                  <w:vAlign w:val="center"/>
                </w:tcPr>
                <w:p w14:paraId="69C49122">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
                      <w:color w:val="000000"/>
                      <w:sz w:val="21"/>
                      <w:szCs w:val="21"/>
                      <w:highlight w:val="none"/>
                      <w:lang w:val="en-US" w:eastAsia="zh-CN"/>
                    </w:rPr>
                  </w:pPr>
                  <w:r>
                    <w:rPr>
                      <w:rFonts w:hint="eastAsia" w:ascii="Times New Roman" w:hAnsi="Times New Roman" w:cs="Times New Roman"/>
                      <w:b/>
                      <w:color w:val="000000"/>
                      <w:sz w:val="21"/>
                      <w:szCs w:val="21"/>
                      <w:highlight w:val="none"/>
                      <w:lang w:eastAsia="zh-CN"/>
                    </w:rPr>
                    <w:t>室内</w:t>
                  </w:r>
                  <w:r>
                    <w:rPr>
                      <w:rFonts w:hint="eastAsia" w:ascii="Times New Roman" w:hAnsi="Times New Roman" w:cs="Times New Roman"/>
                      <w:b/>
                      <w:color w:val="000000"/>
                      <w:sz w:val="21"/>
                      <w:szCs w:val="21"/>
                      <w:highlight w:val="none"/>
                      <w:lang w:val="en-US" w:eastAsia="zh-CN"/>
                    </w:rPr>
                    <w:t>/室外设备</w:t>
                  </w:r>
                </w:p>
              </w:tc>
            </w:tr>
            <w:tr w14:paraId="0B02A4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vMerge w:val="continue"/>
                  <w:noWrap w:val="0"/>
                  <w:vAlign w:val="center"/>
                </w:tcPr>
                <w:p w14:paraId="79FF0886">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p>
              </w:tc>
              <w:tc>
                <w:tcPr>
                  <w:tcW w:w="707" w:type="dxa"/>
                  <w:vMerge w:val="continue"/>
                  <w:noWrap w:val="0"/>
                  <w:vAlign w:val="center"/>
                </w:tcPr>
                <w:p w14:paraId="018F0637">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p>
              </w:tc>
              <w:tc>
                <w:tcPr>
                  <w:tcW w:w="669" w:type="dxa"/>
                  <w:noWrap w:val="0"/>
                  <w:vAlign w:val="center"/>
                </w:tcPr>
                <w:p w14:paraId="54C11EBE">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核算方法</w:t>
                  </w:r>
                </w:p>
              </w:tc>
              <w:tc>
                <w:tcPr>
                  <w:tcW w:w="1063" w:type="dxa"/>
                  <w:noWrap w:val="0"/>
                  <w:vAlign w:val="center"/>
                </w:tcPr>
                <w:p w14:paraId="38B7A60F">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单台设备源强（dB（A））</w:t>
                  </w:r>
                </w:p>
              </w:tc>
              <w:tc>
                <w:tcPr>
                  <w:tcW w:w="630" w:type="dxa"/>
                  <w:noWrap w:val="0"/>
                  <w:vAlign w:val="center"/>
                </w:tcPr>
                <w:p w14:paraId="1DF07C7F">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数量（台/套）</w:t>
                  </w:r>
                </w:p>
              </w:tc>
              <w:tc>
                <w:tcPr>
                  <w:tcW w:w="1221" w:type="dxa"/>
                  <w:noWrap w:val="0"/>
                  <w:vAlign w:val="center"/>
                </w:tcPr>
                <w:p w14:paraId="4E71FD1A">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措施</w:t>
                  </w:r>
                </w:p>
              </w:tc>
              <w:tc>
                <w:tcPr>
                  <w:tcW w:w="799" w:type="dxa"/>
                  <w:noWrap w:val="0"/>
                  <w:vAlign w:val="center"/>
                </w:tcPr>
                <w:p w14:paraId="0BFD9219">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
                      <w:color w:val="000000"/>
                      <w:sz w:val="21"/>
                      <w:szCs w:val="21"/>
                      <w:highlight w:val="none"/>
                    </w:rPr>
                  </w:pPr>
                  <w:r>
                    <w:rPr>
                      <w:rFonts w:hint="eastAsia" w:ascii="Times New Roman" w:hAnsi="Times New Roman" w:cs="Times New Roman"/>
                      <w:b/>
                      <w:color w:val="000000"/>
                      <w:sz w:val="21"/>
                      <w:szCs w:val="21"/>
                      <w:highlight w:val="none"/>
                    </w:rPr>
                    <w:t>效果（dB（A））</w:t>
                  </w:r>
                </w:p>
              </w:tc>
              <w:tc>
                <w:tcPr>
                  <w:tcW w:w="762" w:type="dxa"/>
                  <w:vMerge w:val="continue"/>
                  <w:noWrap w:val="0"/>
                  <w:vAlign w:val="center"/>
                </w:tcPr>
                <w:p w14:paraId="7250FDF5">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p>
              </w:tc>
              <w:tc>
                <w:tcPr>
                  <w:tcW w:w="639" w:type="dxa"/>
                  <w:vMerge w:val="continue"/>
                  <w:noWrap w:val="0"/>
                  <w:vAlign w:val="center"/>
                </w:tcPr>
                <w:p w14:paraId="7AF7C800">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p>
              </w:tc>
              <w:tc>
                <w:tcPr>
                  <w:tcW w:w="639" w:type="dxa"/>
                  <w:vMerge w:val="continue"/>
                  <w:noWrap w:val="0"/>
                  <w:vAlign w:val="center"/>
                </w:tcPr>
                <w:p w14:paraId="777E1E23">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p>
              </w:tc>
            </w:tr>
            <w:tr w14:paraId="386D28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7C59C86C">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酸洗搅拌罐</w:t>
                  </w:r>
                </w:p>
              </w:tc>
              <w:tc>
                <w:tcPr>
                  <w:tcW w:w="707" w:type="dxa"/>
                  <w:noWrap w:val="0"/>
                  <w:vAlign w:val="center"/>
                </w:tcPr>
                <w:p w14:paraId="71B50244">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固定声源</w:t>
                  </w:r>
                </w:p>
              </w:tc>
              <w:tc>
                <w:tcPr>
                  <w:tcW w:w="669" w:type="dxa"/>
                  <w:noWrap w:val="0"/>
                  <w:vAlign w:val="center"/>
                </w:tcPr>
                <w:p w14:paraId="488A40B5">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43AF1EF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65</w:t>
                  </w:r>
                </w:p>
              </w:tc>
              <w:tc>
                <w:tcPr>
                  <w:tcW w:w="630" w:type="dxa"/>
                  <w:noWrap w:val="0"/>
                  <w:vAlign w:val="center"/>
                </w:tcPr>
                <w:p w14:paraId="372994F9">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2</w:t>
                  </w:r>
                </w:p>
              </w:tc>
              <w:tc>
                <w:tcPr>
                  <w:tcW w:w="1221" w:type="dxa"/>
                  <w:noWrap w:val="0"/>
                  <w:vAlign w:val="center"/>
                </w:tcPr>
                <w:p w14:paraId="6B6752BF">
                  <w:pPr>
                    <w:keepNext w:val="0"/>
                    <w:keepLines w:val="0"/>
                    <w:suppressLineNumbers w:val="0"/>
                    <w:snapToGrid w:val="0"/>
                    <w:spacing w:before="0" w:beforeAutospacing="0" w:after="0" w:afterAutospacing="0"/>
                    <w:ind w:left="0" w:right="0"/>
                    <w:jc w:val="center"/>
                    <w:rPr>
                      <w:rFonts w:hint="default"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45C00485">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3E921DC7">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w:t>
                  </w:r>
                </w:p>
              </w:tc>
              <w:tc>
                <w:tcPr>
                  <w:tcW w:w="639" w:type="dxa"/>
                  <w:noWrap w:val="0"/>
                  <w:vAlign w:val="center"/>
                </w:tcPr>
                <w:p w14:paraId="12C3D6F8">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182E9928">
                  <w:pPr>
                    <w:pStyle w:val="66"/>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bCs/>
                      <w:color w:val="000000"/>
                      <w:sz w:val="21"/>
                      <w:szCs w:val="21"/>
                      <w:highlight w:val="none"/>
                      <w:lang w:eastAsia="zh-CN"/>
                    </w:rPr>
                  </w:pPr>
                  <w:r>
                    <w:rPr>
                      <w:rFonts w:hint="eastAsia" w:ascii="Times New Roman" w:hAnsi="Times New Roman" w:cs="Times New Roman"/>
                      <w:bCs/>
                      <w:color w:val="000000"/>
                      <w:sz w:val="21"/>
                      <w:szCs w:val="21"/>
                      <w:highlight w:val="none"/>
                      <w:lang w:eastAsia="zh-CN"/>
                    </w:rPr>
                    <w:t>室内</w:t>
                  </w:r>
                </w:p>
              </w:tc>
            </w:tr>
            <w:tr w14:paraId="2DC9BE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6496755D">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搅拌罐</w:t>
                  </w:r>
                </w:p>
              </w:tc>
              <w:tc>
                <w:tcPr>
                  <w:tcW w:w="707" w:type="dxa"/>
                  <w:noWrap w:val="0"/>
                  <w:vAlign w:val="center"/>
                </w:tcPr>
                <w:p w14:paraId="2281203F">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固定声源</w:t>
                  </w:r>
                </w:p>
              </w:tc>
              <w:tc>
                <w:tcPr>
                  <w:tcW w:w="669" w:type="dxa"/>
                  <w:noWrap w:val="0"/>
                  <w:vAlign w:val="center"/>
                </w:tcPr>
                <w:p w14:paraId="03AA9357">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5C847234">
                  <w:pPr>
                    <w:keepNext w:val="0"/>
                    <w:keepLines w:val="0"/>
                    <w:suppressLineNumbers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color w:val="000000"/>
                      <w:kern w:val="0"/>
                      <w:szCs w:val="21"/>
                      <w:highlight w:val="none"/>
                      <w:lang w:val="en-US" w:eastAsia="zh-CN"/>
                    </w:rPr>
                    <w:t>65</w:t>
                  </w:r>
                </w:p>
              </w:tc>
              <w:tc>
                <w:tcPr>
                  <w:tcW w:w="630" w:type="dxa"/>
                  <w:noWrap w:val="0"/>
                  <w:vAlign w:val="center"/>
                </w:tcPr>
                <w:p w14:paraId="79C1E1E1">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10</w:t>
                  </w:r>
                </w:p>
              </w:tc>
              <w:tc>
                <w:tcPr>
                  <w:tcW w:w="1221" w:type="dxa"/>
                  <w:noWrap w:val="0"/>
                  <w:vAlign w:val="center"/>
                </w:tcPr>
                <w:p w14:paraId="1384B113">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445499B8">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3C8C639D">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w:t>
                  </w:r>
                </w:p>
              </w:tc>
              <w:tc>
                <w:tcPr>
                  <w:tcW w:w="639" w:type="dxa"/>
                  <w:noWrap w:val="0"/>
                  <w:vAlign w:val="center"/>
                </w:tcPr>
                <w:p w14:paraId="727BEA0C">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0AED9D47">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7A4DCA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0205AF03">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压滤机</w:t>
                  </w:r>
                </w:p>
              </w:tc>
              <w:tc>
                <w:tcPr>
                  <w:tcW w:w="707" w:type="dxa"/>
                  <w:noWrap w:val="0"/>
                  <w:vAlign w:val="center"/>
                </w:tcPr>
                <w:p w14:paraId="6DBBC28E">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固定声源</w:t>
                  </w:r>
                </w:p>
              </w:tc>
              <w:tc>
                <w:tcPr>
                  <w:tcW w:w="669" w:type="dxa"/>
                  <w:noWrap w:val="0"/>
                  <w:vAlign w:val="center"/>
                </w:tcPr>
                <w:p w14:paraId="406FECFE">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00E5A910">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70</w:t>
                  </w:r>
                </w:p>
              </w:tc>
              <w:tc>
                <w:tcPr>
                  <w:tcW w:w="630" w:type="dxa"/>
                  <w:noWrap w:val="0"/>
                  <w:vAlign w:val="center"/>
                </w:tcPr>
                <w:p w14:paraId="73D03E58">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3</w:t>
                  </w:r>
                </w:p>
              </w:tc>
              <w:tc>
                <w:tcPr>
                  <w:tcW w:w="1221" w:type="dxa"/>
                  <w:noWrap w:val="0"/>
                  <w:vAlign w:val="center"/>
                </w:tcPr>
                <w:p w14:paraId="734F7452">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63994ECD">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2A9A1548">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45</w:t>
                  </w:r>
                </w:p>
              </w:tc>
              <w:tc>
                <w:tcPr>
                  <w:tcW w:w="639" w:type="dxa"/>
                  <w:noWrap w:val="0"/>
                  <w:vAlign w:val="center"/>
                </w:tcPr>
                <w:p w14:paraId="53E13572">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07789F86">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0496B6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0DD3248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天然气烘干窑配套助燃风机</w:t>
                  </w:r>
                </w:p>
              </w:tc>
              <w:tc>
                <w:tcPr>
                  <w:tcW w:w="707" w:type="dxa"/>
                  <w:noWrap w:val="0"/>
                  <w:vAlign w:val="center"/>
                </w:tcPr>
                <w:p w14:paraId="37CDCFB0">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固定声源</w:t>
                  </w:r>
                </w:p>
              </w:tc>
              <w:tc>
                <w:tcPr>
                  <w:tcW w:w="669" w:type="dxa"/>
                  <w:noWrap w:val="0"/>
                  <w:vAlign w:val="center"/>
                </w:tcPr>
                <w:p w14:paraId="1246905E">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500614A4">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85</w:t>
                  </w:r>
                </w:p>
              </w:tc>
              <w:tc>
                <w:tcPr>
                  <w:tcW w:w="630" w:type="dxa"/>
                  <w:noWrap w:val="0"/>
                  <w:vAlign w:val="center"/>
                </w:tcPr>
                <w:p w14:paraId="0A9B2E52">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1</w:t>
                  </w:r>
                </w:p>
              </w:tc>
              <w:tc>
                <w:tcPr>
                  <w:tcW w:w="1221" w:type="dxa"/>
                  <w:noWrap w:val="0"/>
                  <w:vAlign w:val="center"/>
                </w:tcPr>
                <w:p w14:paraId="309437F7">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12091DAD">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74BD8C59">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60</w:t>
                  </w:r>
                </w:p>
              </w:tc>
              <w:tc>
                <w:tcPr>
                  <w:tcW w:w="639" w:type="dxa"/>
                  <w:noWrap w:val="0"/>
                  <w:vAlign w:val="center"/>
                </w:tcPr>
                <w:p w14:paraId="5A56D6FE">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07CA7D58">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0A23B7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1854524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料仓包装机</w:t>
                  </w:r>
                </w:p>
              </w:tc>
              <w:tc>
                <w:tcPr>
                  <w:tcW w:w="707" w:type="dxa"/>
                  <w:noWrap w:val="0"/>
                  <w:vAlign w:val="center"/>
                </w:tcPr>
                <w:p w14:paraId="11EB079E">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固定声源</w:t>
                  </w:r>
                </w:p>
              </w:tc>
              <w:tc>
                <w:tcPr>
                  <w:tcW w:w="669" w:type="dxa"/>
                  <w:noWrap w:val="0"/>
                  <w:vAlign w:val="center"/>
                </w:tcPr>
                <w:p w14:paraId="14184570">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7942FDF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75</w:t>
                  </w:r>
                </w:p>
              </w:tc>
              <w:tc>
                <w:tcPr>
                  <w:tcW w:w="630" w:type="dxa"/>
                  <w:noWrap w:val="0"/>
                  <w:vAlign w:val="center"/>
                </w:tcPr>
                <w:p w14:paraId="398912C7">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2</w:t>
                  </w:r>
                </w:p>
              </w:tc>
              <w:tc>
                <w:tcPr>
                  <w:tcW w:w="1221" w:type="dxa"/>
                  <w:noWrap w:val="0"/>
                  <w:vAlign w:val="center"/>
                </w:tcPr>
                <w:p w14:paraId="5D008C94">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隔声、减振</w:t>
                  </w:r>
                </w:p>
              </w:tc>
              <w:tc>
                <w:tcPr>
                  <w:tcW w:w="799" w:type="dxa"/>
                  <w:noWrap w:val="0"/>
                  <w:vAlign w:val="center"/>
                </w:tcPr>
                <w:p w14:paraId="30E8B782">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2AAD602F">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50</w:t>
                  </w:r>
                </w:p>
              </w:tc>
              <w:tc>
                <w:tcPr>
                  <w:tcW w:w="639" w:type="dxa"/>
                  <w:noWrap w:val="0"/>
                  <w:vAlign w:val="center"/>
                </w:tcPr>
                <w:p w14:paraId="4DCA8666">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47260A86">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13E8CD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2228BFA7">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盐酸配制罐配套料泵</w:t>
                  </w:r>
                </w:p>
              </w:tc>
              <w:tc>
                <w:tcPr>
                  <w:tcW w:w="707" w:type="dxa"/>
                  <w:noWrap w:val="0"/>
                  <w:vAlign w:val="center"/>
                </w:tcPr>
                <w:p w14:paraId="39DAE4EA">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固定声源</w:t>
                  </w:r>
                </w:p>
              </w:tc>
              <w:tc>
                <w:tcPr>
                  <w:tcW w:w="669" w:type="dxa"/>
                  <w:noWrap w:val="0"/>
                  <w:vAlign w:val="center"/>
                </w:tcPr>
                <w:p w14:paraId="235A2486">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01C76AB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65</w:t>
                  </w:r>
                </w:p>
              </w:tc>
              <w:tc>
                <w:tcPr>
                  <w:tcW w:w="630" w:type="dxa"/>
                  <w:noWrap w:val="0"/>
                  <w:vAlign w:val="center"/>
                </w:tcPr>
                <w:p w14:paraId="1FA634BE">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221" w:type="dxa"/>
                  <w:noWrap w:val="0"/>
                  <w:vAlign w:val="center"/>
                </w:tcPr>
                <w:p w14:paraId="763CF1FA">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73FAD308">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7281888D">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w:t>
                  </w:r>
                </w:p>
              </w:tc>
              <w:tc>
                <w:tcPr>
                  <w:tcW w:w="639" w:type="dxa"/>
                  <w:noWrap w:val="0"/>
                  <w:vAlign w:val="center"/>
                </w:tcPr>
                <w:p w14:paraId="180FD0CE">
                  <w:pPr>
                    <w:pStyle w:val="66"/>
                    <w:keepNext w:val="0"/>
                    <w:keepLines w:val="0"/>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300</w:t>
                  </w:r>
                </w:p>
              </w:tc>
              <w:tc>
                <w:tcPr>
                  <w:tcW w:w="639" w:type="dxa"/>
                  <w:noWrap w:val="0"/>
                  <w:vAlign w:val="center"/>
                </w:tcPr>
                <w:p w14:paraId="0F7C2AD5">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6BEE6B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69EA4417">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盐酸循环储罐配套料泵</w:t>
                  </w:r>
                </w:p>
              </w:tc>
              <w:tc>
                <w:tcPr>
                  <w:tcW w:w="707" w:type="dxa"/>
                  <w:noWrap w:val="0"/>
                  <w:vAlign w:val="center"/>
                </w:tcPr>
                <w:p w14:paraId="54DD1938">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固定声源</w:t>
                  </w:r>
                </w:p>
              </w:tc>
              <w:tc>
                <w:tcPr>
                  <w:tcW w:w="669" w:type="dxa"/>
                  <w:noWrap w:val="0"/>
                  <w:vAlign w:val="center"/>
                </w:tcPr>
                <w:p w14:paraId="0E363417">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7FF3D52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65</w:t>
                  </w:r>
                </w:p>
              </w:tc>
              <w:tc>
                <w:tcPr>
                  <w:tcW w:w="630" w:type="dxa"/>
                  <w:noWrap w:val="0"/>
                  <w:vAlign w:val="center"/>
                </w:tcPr>
                <w:p w14:paraId="51D3A727">
                  <w:pPr>
                    <w:keepNext w:val="0"/>
                    <w:keepLines w:val="0"/>
                    <w:suppressLineNumbers w:val="0"/>
                    <w:autoSpaceDE w:val="0"/>
                    <w:autoSpaceDN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w:t>
                  </w:r>
                </w:p>
              </w:tc>
              <w:tc>
                <w:tcPr>
                  <w:tcW w:w="1221" w:type="dxa"/>
                  <w:noWrap w:val="0"/>
                  <w:vAlign w:val="center"/>
                </w:tcPr>
                <w:p w14:paraId="253E6519">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0ABF3F2F">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4BCC2012">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w:t>
                  </w:r>
                </w:p>
              </w:tc>
              <w:tc>
                <w:tcPr>
                  <w:tcW w:w="639" w:type="dxa"/>
                  <w:noWrap w:val="0"/>
                  <w:vAlign w:val="center"/>
                </w:tcPr>
                <w:p w14:paraId="71AC0F45">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6750758D">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0C071C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004B40D8">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污水处理设备配套水泵</w:t>
                  </w:r>
                </w:p>
              </w:tc>
              <w:tc>
                <w:tcPr>
                  <w:tcW w:w="707" w:type="dxa"/>
                  <w:noWrap w:val="0"/>
                  <w:vAlign w:val="center"/>
                </w:tcPr>
                <w:p w14:paraId="4634117C">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固定声源</w:t>
                  </w:r>
                </w:p>
              </w:tc>
              <w:tc>
                <w:tcPr>
                  <w:tcW w:w="669" w:type="dxa"/>
                  <w:noWrap w:val="0"/>
                  <w:vAlign w:val="center"/>
                </w:tcPr>
                <w:p w14:paraId="03CCB704">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1F14961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lang w:val="en-US" w:eastAsia="zh-CN"/>
                    </w:rPr>
                    <w:t>65</w:t>
                  </w:r>
                </w:p>
              </w:tc>
              <w:tc>
                <w:tcPr>
                  <w:tcW w:w="630" w:type="dxa"/>
                  <w:noWrap w:val="0"/>
                  <w:vAlign w:val="center"/>
                </w:tcPr>
                <w:p w14:paraId="510816F0">
                  <w:pPr>
                    <w:keepNext w:val="0"/>
                    <w:keepLines w:val="0"/>
                    <w:suppressLineNumbers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color w:val="000000"/>
                      <w:kern w:val="0"/>
                      <w:sz w:val="20"/>
                      <w:szCs w:val="21"/>
                      <w:highlight w:val="none"/>
                      <w:lang w:val="en-US" w:eastAsia="zh-CN"/>
                    </w:rPr>
                    <w:t>2</w:t>
                  </w:r>
                </w:p>
              </w:tc>
              <w:tc>
                <w:tcPr>
                  <w:tcW w:w="1221" w:type="dxa"/>
                  <w:noWrap w:val="0"/>
                  <w:vAlign w:val="center"/>
                </w:tcPr>
                <w:p w14:paraId="4008539C">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18719EAC">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45E7FF9A">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w:t>
                  </w:r>
                </w:p>
              </w:tc>
              <w:tc>
                <w:tcPr>
                  <w:tcW w:w="639" w:type="dxa"/>
                  <w:noWrap w:val="0"/>
                  <w:vAlign w:val="center"/>
                </w:tcPr>
                <w:p w14:paraId="4B3FDB95">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2400</w:t>
                  </w:r>
                </w:p>
              </w:tc>
              <w:tc>
                <w:tcPr>
                  <w:tcW w:w="639" w:type="dxa"/>
                  <w:noWrap w:val="0"/>
                  <w:vAlign w:val="center"/>
                </w:tcPr>
                <w:p w14:paraId="5D5DA90D">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lang w:eastAsia="zh-CN"/>
                    </w:rPr>
                    <w:t>室内</w:t>
                  </w:r>
                </w:p>
              </w:tc>
            </w:tr>
            <w:tr w14:paraId="65B6D14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6A14591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bCs/>
                      <w:color w:val="000000"/>
                      <w:szCs w:val="21"/>
                      <w:highlight w:val="none"/>
                      <w:lang w:val="en-US" w:eastAsia="zh-CN"/>
                    </w:rPr>
                    <w:t>DA001配套风机</w:t>
                  </w:r>
                </w:p>
              </w:tc>
              <w:tc>
                <w:tcPr>
                  <w:tcW w:w="707" w:type="dxa"/>
                  <w:noWrap w:val="0"/>
                  <w:vAlign w:val="center"/>
                </w:tcPr>
                <w:p w14:paraId="41E900E0">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固定声源</w:t>
                  </w:r>
                </w:p>
              </w:tc>
              <w:tc>
                <w:tcPr>
                  <w:tcW w:w="669" w:type="dxa"/>
                  <w:noWrap w:val="0"/>
                  <w:vAlign w:val="center"/>
                </w:tcPr>
                <w:p w14:paraId="23DE2E09">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77341670">
                  <w:pPr>
                    <w:keepNext w:val="0"/>
                    <w:keepLines w:val="0"/>
                    <w:suppressLineNumbers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color w:val="000000"/>
                      <w:kern w:val="0"/>
                      <w:szCs w:val="21"/>
                      <w:highlight w:val="none"/>
                    </w:rPr>
                    <w:t>90</w:t>
                  </w:r>
                </w:p>
              </w:tc>
              <w:tc>
                <w:tcPr>
                  <w:tcW w:w="630" w:type="dxa"/>
                  <w:noWrap w:val="0"/>
                  <w:vAlign w:val="center"/>
                </w:tcPr>
                <w:p w14:paraId="1CAB6E18">
                  <w:pPr>
                    <w:keepNext w:val="0"/>
                    <w:keepLines w:val="0"/>
                    <w:suppressLineNumbers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color w:val="000000"/>
                      <w:szCs w:val="21"/>
                      <w:highlight w:val="none"/>
                      <w:lang w:val="en-US" w:eastAsia="zh-CN"/>
                    </w:rPr>
                    <w:t>1</w:t>
                  </w:r>
                </w:p>
              </w:tc>
              <w:tc>
                <w:tcPr>
                  <w:tcW w:w="1221" w:type="dxa"/>
                  <w:noWrap w:val="0"/>
                  <w:vAlign w:val="center"/>
                </w:tcPr>
                <w:p w14:paraId="67042C4F">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7449454C">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5CD72D11">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65</w:t>
                  </w:r>
                </w:p>
              </w:tc>
              <w:tc>
                <w:tcPr>
                  <w:tcW w:w="639" w:type="dxa"/>
                  <w:noWrap w:val="0"/>
                  <w:vAlign w:val="center"/>
                </w:tcPr>
                <w:p w14:paraId="0609FD1B">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2400</w:t>
                  </w:r>
                </w:p>
              </w:tc>
              <w:tc>
                <w:tcPr>
                  <w:tcW w:w="639" w:type="dxa"/>
                  <w:noWrap w:val="0"/>
                  <w:vAlign w:val="center"/>
                </w:tcPr>
                <w:p w14:paraId="616DCDFE">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eastAsia="zh-CN"/>
                    </w:rPr>
                    <w:t>室内</w:t>
                  </w:r>
                </w:p>
              </w:tc>
            </w:tr>
            <w:tr w14:paraId="1A0C84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222" w:type="dxa"/>
                  <w:noWrap w:val="0"/>
                  <w:vAlign w:val="center"/>
                </w:tcPr>
                <w:p w14:paraId="248CF4D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bCs/>
                      <w:color w:val="000000"/>
                      <w:szCs w:val="21"/>
                      <w:highlight w:val="none"/>
                      <w:lang w:val="en-US" w:eastAsia="zh-CN"/>
                    </w:rPr>
                    <w:t>DA002配套风机</w:t>
                  </w:r>
                </w:p>
              </w:tc>
              <w:tc>
                <w:tcPr>
                  <w:tcW w:w="707" w:type="dxa"/>
                  <w:noWrap w:val="0"/>
                  <w:vAlign w:val="center"/>
                </w:tcPr>
                <w:p w14:paraId="4C10120F">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固定声源</w:t>
                  </w:r>
                </w:p>
              </w:tc>
              <w:tc>
                <w:tcPr>
                  <w:tcW w:w="669" w:type="dxa"/>
                  <w:noWrap w:val="0"/>
                  <w:vAlign w:val="center"/>
                </w:tcPr>
                <w:p w14:paraId="35706B2D">
                  <w:pPr>
                    <w:pStyle w:val="66"/>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 w:val="21"/>
                      <w:szCs w:val="21"/>
                      <w:highlight w:val="none"/>
                    </w:rPr>
                  </w:pPr>
                  <w:r>
                    <w:rPr>
                      <w:rFonts w:hint="eastAsia" w:ascii="Times New Roman" w:hAnsi="Times New Roman" w:cs="Times New Roman"/>
                      <w:bCs/>
                      <w:color w:val="000000"/>
                      <w:sz w:val="21"/>
                      <w:szCs w:val="21"/>
                      <w:highlight w:val="none"/>
                    </w:rPr>
                    <w:t>类比法</w:t>
                  </w:r>
                </w:p>
              </w:tc>
              <w:tc>
                <w:tcPr>
                  <w:tcW w:w="1063" w:type="dxa"/>
                  <w:noWrap w:val="0"/>
                  <w:vAlign w:val="center"/>
                </w:tcPr>
                <w:p w14:paraId="62593C6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color w:val="000000"/>
                      <w:kern w:val="0"/>
                      <w:szCs w:val="21"/>
                      <w:highlight w:val="none"/>
                    </w:rPr>
                    <w:t>90</w:t>
                  </w:r>
                </w:p>
              </w:tc>
              <w:tc>
                <w:tcPr>
                  <w:tcW w:w="630" w:type="dxa"/>
                  <w:noWrap w:val="0"/>
                  <w:vAlign w:val="center"/>
                </w:tcPr>
                <w:p w14:paraId="7022FD7A">
                  <w:pPr>
                    <w:keepNext w:val="0"/>
                    <w:keepLines w:val="0"/>
                    <w:suppressLineNumbers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color w:val="000000"/>
                      <w:szCs w:val="21"/>
                      <w:highlight w:val="none"/>
                      <w:lang w:val="en-US" w:eastAsia="zh-CN"/>
                    </w:rPr>
                    <w:t>1</w:t>
                  </w:r>
                </w:p>
              </w:tc>
              <w:tc>
                <w:tcPr>
                  <w:tcW w:w="1221" w:type="dxa"/>
                  <w:noWrap w:val="0"/>
                  <w:vAlign w:val="center"/>
                </w:tcPr>
                <w:p w14:paraId="44216E31">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隔声、减振</w:t>
                  </w:r>
                </w:p>
              </w:tc>
              <w:tc>
                <w:tcPr>
                  <w:tcW w:w="799" w:type="dxa"/>
                  <w:noWrap w:val="0"/>
                  <w:vAlign w:val="center"/>
                </w:tcPr>
                <w:p w14:paraId="372F589A">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val="en-US" w:eastAsia="zh-CN"/>
                    </w:rPr>
                    <w:t>25</w:t>
                  </w:r>
                </w:p>
              </w:tc>
              <w:tc>
                <w:tcPr>
                  <w:tcW w:w="762" w:type="dxa"/>
                  <w:noWrap w:val="0"/>
                  <w:vAlign w:val="center"/>
                </w:tcPr>
                <w:p w14:paraId="322B4610">
                  <w:pPr>
                    <w:pStyle w:val="66"/>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65</w:t>
                  </w:r>
                </w:p>
              </w:tc>
              <w:tc>
                <w:tcPr>
                  <w:tcW w:w="639" w:type="dxa"/>
                  <w:noWrap w:val="0"/>
                  <w:vAlign w:val="center"/>
                </w:tcPr>
                <w:p w14:paraId="59C827C6">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Cs w:val="21"/>
                      <w:highlight w:val="none"/>
                    </w:rPr>
                    <w:t>2400</w:t>
                  </w:r>
                </w:p>
              </w:tc>
              <w:tc>
                <w:tcPr>
                  <w:tcW w:w="639" w:type="dxa"/>
                  <w:noWrap w:val="0"/>
                  <w:vAlign w:val="center"/>
                </w:tcPr>
                <w:p w14:paraId="53E7058C">
                  <w:pPr>
                    <w:keepNext w:val="0"/>
                    <w:keepLines w:val="0"/>
                    <w:suppressLineNumbers w:val="0"/>
                    <w:snapToGrid w:val="0"/>
                    <w:spacing w:before="0" w:beforeAutospacing="0" w:after="0" w:afterAutospacing="0"/>
                    <w:ind w:left="0" w:right="0"/>
                    <w:jc w:val="center"/>
                    <w:rPr>
                      <w:rFonts w:hint="eastAsia" w:ascii="Times New Roman" w:hAnsi="Times New Roman" w:cs="Times New Roman"/>
                      <w:bCs/>
                      <w:color w:val="000000"/>
                      <w:szCs w:val="21"/>
                      <w:highlight w:val="none"/>
                    </w:rPr>
                  </w:pPr>
                  <w:r>
                    <w:rPr>
                      <w:rFonts w:hint="eastAsia" w:ascii="Times New Roman" w:hAnsi="Times New Roman" w:cs="Times New Roman"/>
                      <w:bCs/>
                      <w:color w:val="000000"/>
                      <w:sz w:val="21"/>
                      <w:szCs w:val="21"/>
                      <w:highlight w:val="none"/>
                      <w:lang w:eastAsia="zh-CN"/>
                    </w:rPr>
                    <w:t>室内</w:t>
                  </w:r>
                </w:p>
              </w:tc>
            </w:tr>
          </w:tbl>
          <w:p w14:paraId="0E787DA5">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000000"/>
                <w:szCs w:val="21"/>
                <w:highlight w:val="none"/>
                <w:lang w:val="en-US" w:eastAsia="zh-CN"/>
              </w:rPr>
            </w:pPr>
          </w:p>
          <w:p w14:paraId="24B446CA">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000000"/>
                <w:szCs w:val="21"/>
                <w:highlight w:val="none"/>
                <w:lang w:val="en-US" w:eastAsia="zh-CN"/>
              </w:rPr>
            </w:pPr>
            <w:r>
              <w:rPr>
                <w:rFonts w:hint="default"/>
              </w:rPr>
              <w:drawing>
                <wp:inline distT="0" distB="0" distL="114300" distR="114300">
                  <wp:extent cx="4426585" cy="4589780"/>
                  <wp:effectExtent l="0" t="0" r="12065" b="127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27"/>
                          <a:stretch>
                            <a:fillRect/>
                          </a:stretch>
                        </pic:blipFill>
                        <pic:spPr>
                          <a:xfrm>
                            <a:off x="0" y="0"/>
                            <a:ext cx="4426585" cy="4589780"/>
                          </a:xfrm>
                          <a:prstGeom prst="rect">
                            <a:avLst/>
                          </a:prstGeom>
                          <a:noFill/>
                          <a:ln>
                            <a:noFill/>
                          </a:ln>
                        </pic:spPr>
                      </pic:pic>
                    </a:graphicData>
                  </a:graphic>
                </wp:inline>
              </w:drawing>
            </w:r>
          </w:p>
          <w:p w14:paraId="6E7469E6">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000000"/>
                <w:szCs w:val="21"/>
                <w:highlight w:val="none"/>
                <w:lang w:val="en-US" w:eastAsia="zh-CN"/>
              </w:rPr>
            </w:pPr>
            <w:r>
              <w:rPr>
                <w:rFonts w:hint="eastAsia" w:ascii="宋体" w:hAnsi="宋体" w:cs="宋体"/>
                <w:b/>
                <w:bCs w:val="0"/>
                <w:color w:val="000000"/>
                <w:szCs w:val="21"/>
                <w:highlight w:val="none"/>
                <w:lang w:val="en-US" w:eastAsia="zh-CN"/>
              </w:rPr>
              <w:t>图4-2 项目建构筑物、噪声产噪设备背景位图</w:t>
            </w:r>
          </w:p>
          <w:p w14:paraId="087B4BB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highlight w:val="none"/>
              </w:rPr>
            </w:pPr>
          </w:p>
          <w:p w14:paraId="6851657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000000"/>
                <w:szCs w:val="21"/>
                <w:highlight w:val="none"/>
                <w:lang w:eastAsia="zh-CN"/>
              </w:rPr>
            </w:pPr>
            <w:r>
              <w:rPr>
                <w:rFonts w:hint="default" w:ascii="Times New Roman" w:hAnsi="Times New Roman" w:cs="Times New Roman"/>
              </w:rPr>
              <w:drawing>
                <wp:inline distT="0" distB="0" distL="114300" distR="114300">
                  <wp:extent cx="5353685" cy="3678555"/>
                  <wp:effectExtent l="0" t="0" r="18415" b="17145"/>
                  <wp:docPr id="31"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2"/>
                          <pic:cNvPicPr>
                            <a:picLocks noChangeAspect="1"/>
                          </pic:cNvPicPr>
                        </pic:nvPicPr>
                        <pic:blipFill>
                          <a:blip r:embed="rId28"/>
                          <a:stretch>
                            <a:fillRect/>
                          </a:stretch>
                        </pic:blipFill>
                        <pic:spPr>
                          <a:xfrm>
                            <a:off x="0" y="0"/>
                            <a:ext cx="5353685" cy="367855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344160" cy="2063115"/>
                  <wp:effectExtent l="0" t="0" r="8890" b="13335"/>
                  <wp:docPr id="32"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3"/>
                          <pic:cNvPicPr>
                            <a:picLocks noChangeAspect="1"/>
                          </pic:cNvPicPr>
                        </pic:nvPicPr>
                        <pic:blipFill>
                          <a:blip r:embed="rId29"/>
                          <a:stretch>
                            <a:fillRect/>
                          </a:stretch>
                        </pic:blipFill>
                        <pic:spPr>
                          <a:xfrm>
                            <a:off x="0" y="0"/>
                            <a:ext cx="5344160" cy="2063115"/>
                          </a:xfrm>
                          <a:prstGeom prst="rect">
                            <a:avLst/>
                          </a:prstGeom>
                          <a:noFill/>
                          <a:ln>
                            <a:noFill/>
                          </a:ln>
                        </pic:spPr>
                      </pic:pic>
                    </a:graphicData>
                  </a:graphic>
                </wp:inline>
              </w:drawing>
            </w:r>
          </w:p>
          <w:p w14:paraId="07F035DE">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Cs/>
                <w:color w:val="000000"/>
                <w:szCs w:val="21"/>
                <w:highlight w:val="none"/>
                <w:lang w:val="en-US" w:eastAsia="zh-CN"/>
              </w:rPr>
            </w:pPr>
            <w:r>
              <w:rPr>
                <w:rFonts w:hint="eastAsia" w:ascii="宋体" w:hAnsi="宋体" w:cs="宋体"/>
                <w:b/>
                <w:bCs w:val="0"/>
                <w:color w:val="000000"/>
                <w:szCs w:val="21"/>
                <w:highlight w:val="none"/>
                <w:lang w:val="en-US" w:eastAsia="zh-CN"/>
              </w:rPr>
              <w:t>图4-3 噪声设备工业声源属性表</w:t>
            </w:r>
          </w:p>
          <w:p w14:paraId="299ED11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highlight w:val="none"/>
                <w:lang w:eastAsia="zh-CN"/>
              </w:rPr>
            </w:pPr>
            <w:r>
              <w:rPr>
                <w:rFonts w:hint="default" w:ascii="Times New Roman" w:hAnsi="Times New Roman" w:cs="Times New Roman"/>
              </w:rPr>
              <w:drawing>
                <wp:inline distT="0" distB="0" distL="114300" distR="114300">
                  <wp:extent cx="5366385" cy="2456180"/>
                  <wp:effectExtent l="0" t="0" r="5715" b="1270"/>
                  <wp:docPr id="33"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6"/>
                          <pic:cNvPicPr>
                            <a:picLocks noChangeAspect="1"/>
                          </pic:cNvPicPr>
                        </pic:nvPicPr>
                        <pic:blipFill>
                          <a:blip r:embed="rId30"/>
                          <a:stretch>
                            <a:fillRect/>
                          </a:stretch>
                        </pic:blipFill>
                        <pic:spPr>
                          <a:xfrm>
                            <a:off x="0" y="0"/>
                            <a:ext cx="5366385" cy="2456180"/>
                          </a:xfrm>
                          <a:prstGeom prst="rect">
                            <a:avLst/>
                          </a:prstGeom>
                          <a:noFill/>
                          <a:ln>
                            <a:noFill/>
                          </a:ln>
                        </pic:spPr>
                      </pic:pic>
                    </a:graphicData>
                  </a:graphic>
                </wp:inline>
              </w:drawing>
            </w:r>
          </w:p>
          <w:p w14:paraId="1D9F1CEC">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000000"/>
                <w:szCs w:val="21"/>
                <w:highlight w:val="none"/>
                <w:lang w:val="en-US" w:eastAsia="zh-CN"/>
              </w:rPr>
            </w:pPr>
            <w:r>
              <w:rPr>
                <w:rFonts w:hint="eastAsia" w:ascii="宋体" w:hAnsi="宋体" w:cs="宋体"/>
                <w:b/>
                <w:bCs w:val="0"/>
                <w:color w:val="000000"/>
                <w:szCs w:val="21"/>
                <w:highlight w:val="none"/>
                <w:lang w:val="en-US" w:eastAsia="zh-CN"/>
              </w:rPr>
              <w:t>图4-4 建筑物衰减降噪属性表</w:t>
            </w:r>
          </w:p>
          <w:p w14:paraId="22728232">
            <w:pPr>
              <w:keepNext w:val="0"/>
              <w:keepLines w:val="0"/>
              <w:suppressLineNumbers w:val="0"/>
              <w:shd w:val="clear" w:color="auto" w:fill="auto"/>
              <w:adjustRightInd w:val="0"/>
              <w:snapToGrid w:val="0"/>
              <w:spacing w:before="0" w:beforeAutospacing="0" w:after="0" w:afterAutospacing="0" w:line="360" w:lineRule="auto"/>
              <w:ind w:left="0" w:right="0" w:firstLine="480" w:firstLineChars="200"/>
              <w:rPr>
                <w:rFonts w:hint="eastAsia" w:ascii="宋体" w:hAnsi="宋体" w:cs="宋体"/>
                <w:color w:val="000000"/>
                <w:sz w:val="24"/>
                <w:highlight w:val="none"/>
              </w:rPr>
            </w:pPr>
            <w:r>
              <w:rPr>
                <w:rFonts w:hint="eastAsia" w:ascii="宋体" w:hAnsi="宋体" w:cs="宋体"/>
                <w:color w:val="000000"/>
                <w:sz w:val="24"/>
                <w:highlight w:val="none"/>
              </w:rPr>
              <w:t>（2）噪声防治措施</w:t>
            </w:r>
          </w:p>
          <w:p w14:paraId="06B9F690">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针对该项目噪声源的特点，项目采取如下措施：</w:t>
            </w:r>
          </w:p>
          <w:p w14:paraId="5A3E06A8">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rPr>
              <w:t>（1）</w:t>
            </w:r>
            <w:r>
              <w:rPr>
                <w:rFonts w:hint="default" w:ascii="Times New Roman" w:hAnsi="Times New Roman" w:cs="Times New Roman"/>
                <w:color w:val="000000"/>
                <w:sz w:val="24"/>
                <w:highlight w:val="none"/>
              </w:rPr>
              <w:t>选用低噪声设备：在满足项目生产工艺的前提下，尽可能选择先进、噪声低的生产设备，从源头降低噪声。</w:t>
            </w:r>
          </w:p>
          <w:p w14:paraId="6CCA462C">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rPr>
              <w:t>（2）</w:t>
            </w:r>
            <w:r>
              <w:rPr>
                <w:rFonts w:hint="default" w:ascii="Times New Roman" w:hAnsi="Times New Roman" w:cs="Times New Roman"/>
                <w:color w:val="000000"/>
                <w:sz w:val="24"/>
                <w:highlight w:val="none"/>
              </w:rPr>
              <w:t>车间内合理布局：将设备全部安置在</w:t>
            </w:r>
            <w:r>
              <w:rPr>
                <w:rFonts w:hint="eastAsia" w:ascii="Times New Roman" w:hAnsi="Times New Roman" w:cs="Times New Roman"/>
                <w:color w:val="000000"/>
                <w:sz w:val="24"/>
                <w:highlight w:val="none"/>
              </w:rPr>
              <w:t>密闭车间</w:t>
            </w:r>
            <w:r>
              <w:rPr>
                <w:rFonts w:hint="default" w:ascii="Times New Roman" w:hAnsi="Times New Roman" w:cs="Times New Roman"/>
                <w:color w:val="000000"/>
                <w:sz w:val="24"/>
                <w:highlight w:val="none"/>
              </w:rPr>
              <w:t>内，充分利用建筑物的隔声作用，以减轻各类声源对周围环境的影响。</w:t>
            </w:r>
          </w:p>
          <w:p w14:paraId="7D41CCF5">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rPr>
              <w:t>（3）</w:t>
            </w:r>
            <w:r>
              <w:rPr>
                <w:rFonts w:hint="default" w:ascii="Times New Roman" w:hAnsi="Times New Roman" w:cs="Times New Roman"/>
                <w:color w:val="000000"/>
                <w:sz w:val="24"/>
                <w:highlight w:val="none"/>
              </w:rPr>
              <w:t>设备在安装时，根据设备的自重及振动特性采用合适的隔振垫，以减轻由于设备自身振动引起的结构传声对周围环境产生的影响。</w:t>
            </w:r>
          </w:p>
          <w:p w14:paraId="770D9B83">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rPr>
              <w:t>（4）</w:t>
            </w:r>
            <w:r>
              <w:rPr>
                <w:rFonts w:hint="default" w:ascii="Times New Roman" w:hAnsi="Times New Roman" w:cs="Times New Roman"/>
                <w:color w:val="000000"/>
                <w:sz w:val="24"/>
                <w:highlight w:val="none"/>
              </w:rPr>
              <w:t>加强设备的维护，确保设备处于良好的运转状态，杜绝因设备不正常运转时产生的高噪声现象。</w:t>
            </w:r>
          </w:p>
          <w:p w14:paraId="352F156D">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根据</w:t>
            </w:r>
            <w:r>
              <w:rPr>
                <w:rFonts w:hint="eastAsia" w:ascii="Times New Roman" w:hAnsi="Times New Roman" w:cs="Times New Roman"/>
                <w:color w:val="000000"/>
                <w:sz w:val="24"/>
                <w:highlight w:val="none"/>
                <w:lang w:eastAsia="zh-CN"/>
              </w:rPr>
              <w:t>本项目</w:t>
            </w:r>
            <w:r>
              <w:rPr>
                <w:rFonts w:hint="default" w:ascii="Times New Roman" w:hAnsi="Times New Roman" w:cs="Times New Roman"/>
                <w:color w:val="000000"/>
                <w:sz w:val="24"/>
                <w:highlight w:val="none"/>
              </w:rPr>
              <w:t>主要设备的噪声源的情况，预测厂界处的噪声值，预测结果见下表：</w:t>
            </w:r>
          </w:p>
          <w:p w14:paraId="2DF1975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000000"/>
                <w:szCs w:val="21"/>
                <w:highlight w:val="none"/>
                <w:lang w:eastAsia="zh-CN"/>
              </w:rPr>
            </w:pPr>
            <w:r>
              <w:rPr>
                <w:rFonts w:hint="default" w:ascii="Times New Roman" w:hAnsi="Times New Roman" w:cs="Times New Roman"/>
              </w:rPr>
              <w:drawing>
                <wp:inline distT="0" distB="0" distL="114300" distR="114300">
                  <wp:extent cx="5549900" cy="3292475"/>
                  <wp:effectExtent l="0" t="0" r="12700" b="3175"/>
                  <wp:docPr id="34"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8"/>
                          <pic:cNvPicPr>
                            <a:picLocks noChangeAspect="1"/>
                          </pic:cNvPicPr>
                        </pic:nvPicPr>
                        <pic:blipFill>
                          <a:blip r:embed="rId31"/>
                          <a:stretch>
                            <a:fillRect/>
                          </a:stretch>
                        </pic:blipFill>
                        <pic:spPr>
                          <a:xfrm>
                            <a:off x="0" y="0"/>
                            <a:ext cx="5549900" cy="3292475"/>
                          </a:xfrm>
                          <a:prstGeom prst="rect">
                            <a:avLst/>
                          </a:prstGeom>
                          <a:noFill/>
                          <a:ln>
                            <a:noFill/>
                          </a:ln>
                        </pic:spPr>
                      </pic:pic>
                    </a:graphicData>
                  </a:graphic>
                </wp:inline>
              </w:drawing>
            </w:r>
          </w:p>
          <w:p w14:paraId="73D9510E">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Cs/>
                <w:color w:val="000000"/>
                <w:szCs w:val="21"/>
                <w:highlight w:val="none"/>
                <w:lang w:val="en-US" w:eastAsia="zh-CN"/>
              </w:rPr>
            </w:pPr>
            <w:r>
              <w:rPr>
                <w:rFonts w:hint="eastAsia" w:ascii="宋体" w:hAnsi="宋体" w:cs="宋体"/>
                <w:b/>
                <w:bCs w:val="0"/>
                <w:color w:val="000000"/>
                <w:szCs w:val="21"/>
                <w:highlight w:val="none"/>
                <w:lang w:val="en-US" w:eastAsia="zh-CN"/>
              </w:rPr>
              <w:t>图4-5 接收点预测噪声数值表</w:t>
            </w:r>
          </w:p>
          <w:p w14:paraId="2941B1C1">
            <w:pPr>
              <w:keepNext w:val="0"/>
              <w:keepLines w:val="0"/>
              <w:suppressLineNumbers w:val="0"/>
              <w:spacing w:before="0" w:beforeAutospacing="0" w:after="0" w:afterAutospacing="0" w:line="360" w:lineRule="auto"/>
              <w:ind w:left="0" w:right="0" w:firstLine="420" w:firstLineChars="200"/>
              <w:rPr>
                <w:rFonts w:hint="default" w:ascii="宋体" w:hAnsi="宋体" w:cs="宋体"/>
                <w:color w:val="000000"/>
                <w:sz w:val="24"/>
                <w:highlight w:val="none"/>
              </w:rPr>
            </w:pPr>
            <w:r>
              <w:rPr>
                <w:rFonts w:hint="default" w:ascii="Times New Roman" w:hAnsi="Times New Roman" w:cs="Times New Roman"/>
                <w:color w:val="000000"/>
                <w:highlight w:val="none"/>
              </w:rPr>
              <w:t>（</w:t>
            </w:r>
            <w:r>
              <w:rPr>
                <w:rFonts w:hint="eastAsia" w:ascii="Times New Roman" w:hAnsi="Times New Roman" w:cs="Times New Roman"/>
                <w:color w:val="000000"/>
                <w:highlight w:val="none"/>
              </w:rPr>
              <w:t>4</w:t>
            </w:r>
            <w:r>
              <w:rPr>
                <w:rFonts w:hint="default" w:ascii="Times New Roman" w:hAnsi="Times New Roman" w:cs="Times New Roman"/>
                <w:color w:val="000000"/>
                <w:highlight w:val="none"/>
              </w:rPr>
              <w:t>）</w:t>
            </w:r>
            <w:r>
              <w:rPr>
                <w:rFonts w:hint="default" w:ascii="宋体" w:hAnsi="宋体" w:cs="宋体"/>
                <w:color w:val="000000"/>
                <w:sz w:val="24"/>
                <w:highlight w:val="none"/>
              </w:rPr>
              <w:t>声环境预测结果</w:t>
            </w:r>
          </w:p>
          <w:p w14:paraId="4379214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highlight w:val="none"/>
              </w:rPr>
            </w:pPr>
            <w:r>
              <w:rPr>
                <w:rFonts w:hint="default" w:ascii="宋体" w:hAnsi="宋体" w:cs="宋体"/>
                <w:color w:val="000000"/>
                <w:sz w:val="24"/>
                <w:highlight w:val="none"/>
              </w:rPr>
              <w:t>利用以上预测模式和参数计算得各预测点的声环境贡献值。结果见下表</w:t>
            </w:r>
            <w:r>
              <w:rPr>
                <w:rFonts w:hint="default" w:ascii="Times New Roman" w:hAnsi="Times New Roman" w:cs="Times New Roman"/>
                <w:color w:val="000000"/>
                <w:highlight w:val="none"/>
              </w:rPr>
              <w:t>。</w:t>
            </w:r>
          </w:p>
          <w:p w14:paraId="68668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黑体" w:cs="Times New Roman"/>
                <w:b/>
                <w:bCs/>
                <w:color w:val="000000"/>
                <w:kern w:val="0"/>
                <w:sz w:val="21"/>
                <w:szCs w:val="21"/>
                <w:highlight w:val="none"/>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4-1</w:t>
            </w:r>
            <w:r>
              <w:rPr>
                <w:rFonts w:hint="eastAsia" w:cs="Times New Roman"/>
                <w:b/>
                <w:color w:val="auto"/>
                <w:szCs w:val="21"/>
                <w:highlight w:val="none"/>
                <w:lang w:val="en-US" w:eastAsia="zh-CN"/>
              </w:rPr>
              <w:t>2</w:t>
            </w:r>
            <w:r>
              <w:rPr>
                <w:rFonts w:hint="default" w:ascii="Times New Roman" w:hAnsi="Times New Roman" w:eastAsia="宋体" w:cs="Times New Roman"/>
                <w:b/>
                <w:color w:val="auto"/>
                <w:szCs w:val="21"/>
                <w:highlight w:val="none"/>
                <w:lang w:val="en-US" w:eastAsia="zh-CN"/>
              </w:rPr>
              <w:t xml:space="preserve"> </w:t>
            </w:r>
            <w:r>
              <w:rPr>
                <w:rFonts w:hint="eastAsia" w:ascii="Times New Roman" w:hAnsi="Times New Roman" w:eastAsia="宋体" w:cs="Times New Roman"/>
                <w:b/>
                <w:color w:val="auto"/>
                <w:szCs w:val="21"/>
                <w:highlight w:val="none"/>
                <w:lang w:val="en-US" w:eastAsia="zh-CN"/>
              </w:rPr>
              <w:t>本项目完成后全厂噪声厂界预测值一览表</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810"/>
              <w:gridCol w:w="1183"/>
              <w:gridCol w:w="1937"/>
              <w:gridCol w:w="1937"/>
              <w:gridCol w:w="1867"/>
            </w:tblGrid>
            <w:tr w14:paraId="21973E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35" w:type="pct"/>
                  <w:noWrap w:val="0"/>
                  <w:vAlign w:val="center"/>
                </w:tcPr>
                <w:p w14:paraId="4220BE37">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snapToGrid w:val="0"/>
                      <w:color w:val="000000"/>
                      <w:sz w:val="21"/>
                      <w:szCs w:val="21"/>
                      <w:highlight w:val="none"/>
                    </w:rPr>
                  </w:pPr>
                  <w:r>
                    <w:rPr>
                      <w:rFonts w:hint="default" w:ascii="Times New Roman" w:hAnsi="Times New Roman" w:eastAsia="宋体" w:cs="Times New Roman"/>
                      <w:b/>
                      <w:bCs/>
                      <w:snapToGrid w:val="0"/>
                      <w:color w:val="000000"/>
                      <w:sz w:val="21"/>
                      <w:szCs w:val="21"/>
                      <w:highlight w:val="none"/>
                    </w:rPr>
                    <w:t>预测点位</w:t>
                  </w:r>
                </w:p>
              </w:tc>
              <w:tc>
                <w:tcPr>
                  <w:tcW w:w="677" w:type="pct"/>
                  <w:noWrap w:val="0"/>
                  <w:vAlign w:val="center"/>
                </w:tcPr>
                <w:p w14:paraId="3AD1A951">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snapToGrid w:val="0"/>
                      <w:color w:val="000000"/>
                      <w:sz w:val="21"/>
                      <w:szCs w:val="21"/>
                      <w:highlight w:val="none"/>
                    </w:rPr>
                  </w:pPr>
                  <w:r>
                    <w:rPr>
                      <w:rFonts w:hint="default" w:ascii="Times New Roman" w:hAnsi="Times New Roman" w:eastAsia="宋体" w:cs="Times New Roman"/>
                      <w:b/>
                      <w:bCs/>
                      <w:snapToGrid w:val="0"/>
                      <w:color w:val="000000"/>
                      <w:sz w:val="21"/>
                      <w:szCs w:val="21"/>
                      <w:highlight w:val="none"/>
                    </w:rPr>
                    <w:t>时间</w:t>
                  </w:r>
                </w:p>
              </w:tc>
              <w:tc>
                <w:tcPr>
                  <w:tcW w:w="1109" w:type="pct"/>
                  <w:noWrap w:val="0"/>
                  <w:vAlign w:val="center"/>
                </w:tcPr>
                <w:p w14:paraId="1BA7BEBB">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snapToGrid w:val="0"/>
                      <w:color w:val="000000"/>
                      <w:sz w:val="21"/>
                      <w:szCs w:val="21"/>
                      <w:highlight w:val="none"/>
                    </w:rPr>
                  </w:pPr>
                  <w:r>
                    <w:rPr>
                      <w:rFonts w:hint="default" w:ascii="Times New Roman" w:hAnsi="Times New Roman" w:eastAsia="宋体" w:cs="Times New Roman"/>
                      <w:b/>
                      <w:bCs/>
                      <w:snapToGrid w:val="0"/>
                      <w:color w:val="000000"/>
                      <w:sz w:val="21"/>
                      <w:szCs w:val="21"/>
                      <w:highlight w:val="none"/>
                    </w:rPr>
                    <w:t>贡献值（dB(A)）</w:t>
                  </w:r>
                </w:p>
              </w:tc>
              <w:tc>
                <w:tcPr>
                  <w:tcW w:w="1109" w:type="pct"/>
                  <w:noWrap w:val="0"/>
                  <w:vAlign w:val="center"/>
                </w:tcPr>
                <w:p w14:paraId="31D6031B">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snapToGrid w:val="0"/>
                      <w:color w:val="000000"/>
                      <w:sz w:val="21"/>
                      <w:szCs w:val="21"/>
                      <w:highlight w:val="none"/>
                    </w:rPr>
                  </w:pPr>
                  <w:r>
                    <w:rPr>
                      <w:rFonts w:hint="default" w:ascii="Times New Roman" w:hAnsi="Times New Roman" w:eastAsia="宋体" w:cs="Times New Roman"/>
                      <w:b/>
                      <w:bCs/>
                      <w:snapToGrid w:val="0"/>
                      <w:color w:val="000000"/>
                      <w:sz w:val="21"/>
                      <w:szCs w:val="21"/>
                      <w:highlight w:val="none"/>
                    </w:rPr>
                    <w:t>标准值（dB(A)）</w:t>
                  </w:r>
                </w:p>
              </w:tc>
              <w:tc>
                <w:tcPr>
                  <w:tcW w:w="1069" w:type="pct"/>
                  <w:noWrap w:val="0"/>
                  <w:vAlign w:val="center"/>
                </w:tcPr>
                <w:p w14:paraId="099F3FC7">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snapToGrid w:val="0"/>
                      <w:color w:val="000000"/>
                      <w:sz w:val="21"/>
                      <w:szCs w:val="21"/>
                      <w:highlight w:val="none"/>
                    </w:rPr>
                  </w:pPr>
                  <w:r>
                    <w:rPr>
                      <w:rFonts w:hint="default" w:ascii="Times New Roman" w:hAnsi="Times New Roman" w:eastAsia="宋体" w:cs="Times New Roman"/>
                      <w:b/>
                      <w:bCs/>
                      <w:snapToGrid w:val="0"/>
                      <w:color w:val="000000"/>
                      <w:sz w:val="21"/>
                      <w:szCs w:val="21"/>
                      <w:highlight w:val="none"/>
                    </w:rPr>
                    <w:t>预测结果（dB(A)）</w:t>
                  </w:r>
                </w:p>
              </w:tc>
            </w:tr>
            <w:tr w14:paraId="0F8EBB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35" w:type="pct"/>
                  <w:noWrap w:val="0"/>
                  <w:vAlign w:val="center"/>
                </w:tcPr>
                <w:p w14:paraId="3080C683">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东厂界</w:t>
                  </w:r>
                </w:p>
              </w:tc>
              <w:tc>
                <w:tcPr>
                  <w:tcW w:w="677" w:type="pct"/>
                  <w:noWrap w:val="0"/>
                  <w:vAlign w:val="center"/>
                </w:tcPr>
                <w:p w14:paraId="16CC3CBF">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昼间</w:t>
                  </w:r>
                </w:p>
              </w:tc>
              <w:tc>
                <w:tcPr>
                  <w:tcW w:w="2727" w:type="dxa"/>
                  <w:noWrap w:val="0"/>
                  <w:vAlign w:val="center"/>
                </w:tcPr>
                <w:p w14:paraId="6C1583D6">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lang w:val="en-US" w:eastAsia="zh-CN"/>
                    </w:rPr>
                  </w:pPr>
                  <w:r>
                    <w:rPr>
                      <w:rFonts w:hint="default" w:ascii="Times New Roman" w:hAnsi="Times New Roman" w:eastAsia="宋体" w:cs="Times New Roman"/>
                      <w:snapToGrid w:val="0"/>
                      <w:color w:val="000000"/>
                      <w:sz w:val="21"/>
                      <w:szCs w:val="21"/>
                      <w:highlight w:val="none"/>
                      <w:lang w:val="en-US" w:eastAsia="zh-CN"/>
                    </w:rPr>
                    <w:t>55.82</w:t>
                  </w:r>
                </w:p>
              </w:tc>
              <w:tc>
                <w:tcPr>
                  <w:tcW w:w="1109" w:type="pct"/>
                  <w:noWrap w:val="0"/>
                  <w:vAlign w:val="center"/>
                </w:tcPr>
                <w:p w14:paraId="6BF8D301">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lang w:val="en-US" w:eastAsia="zh-CN"/>
                    </w:rPr>
                  </w:pPr>
                  <w:r>
                    <w:rPr>
                      <w:rFonts w:hint="default" w:ascii="Times New Roman" w:hAnsi="Times New Roman" w:eastAsia="宋体" w:cs="Times New Roman"/>
                      <w:snapToGrid w:val="0"/>
                      <w:color w:val="000000"/>
                      <w:sz w:val="21"/>
                      <w:szCs w:val="21"/>
                      <w:highlight w:val="none"/>
                      <w:lang w:val="en-US" w:eastAsia="zh-CN"/>
                    </w:rPr>
                    <w:t>60</w:t>
                  </w:r>
                </w:p>
              </w:tc>
              <w:tc>
                <w:tcPr>
                  <w:tcW w:w="1069" w:type="pct"/>
                  <w:noWrap w:val="0"/>
                  <w:vAlign w:val="center"/>
                </w:tcPr>
                <w:p w14:paraId="67ADC109">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达标</w:t>
                  </w:r>
                </w:p>
              </w:tc>
            </w:tr>
            <w:tr w14:paraId="17AC2D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35" w:type="pct"/>
                  <w:noWrap w:val="0"/>
                  <w:vAlign w:val="center"/>
                </w:tcPr>
                <w:p w14:paraId="5D649666">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南厂界</w:t>
                  </w:r>
                </w:p>
              </w:tc>
              <w:tc>
                <w:tcPr>
                  <w:tcW w:w="677" w:type="pct"/>
                  <w:noWrap w:val="0"/>
                  <w:vAlign w:val="center"/>
                </w:tcPr>
                <w:p w14:paraId="0E8DF301">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昼间</w:t>
                  </w:r>
                </w:p>
              </w:tc>
              <w:tc>
                <w:tcPr>
                  <w:tcW w:w="2727" w:type="dxa"/>
                  <w:noWrap w:val="0"/>
                  <w:vAlign w:val="center"/>
                </w:tcPr>
                <w:p w14:paraId="32CCDF83">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lang w:val="en-US" w:eastAsia="zh-CN"/>
                    </w:rPr>
                  </w:pPr>
                  <w:r>
                    <w:rPr>
                      <w:rFonts w:hint="default" w:ascii="Times New Roman" w:hAnsi="Times New Roman" w:eastAsia="宋体" w:cs="Times New Roman"/>
                      <w:snapToGrid w:val="0"/>
                      <w:color w:val="000000"/>
                      <w:sz w:val="21"/>
                      <w:szCs w:val="21"/>
                      <w:highlight w:val="none"/>
                      <w:lang w:val="en-US" w:eastAsia="zh-CN"/>
                    </w:rPr>
                    <w:t>46.70</w:t>
                  </w:r>
                </w:p>
              </w:tc>
              <w:tc>
                <w:tcPr>
                  <w:tcW w:w="1109" w:type="pct"/>
                  <w:noWrap w:val="0"/>
                  <w:vAlign w:val="center"/>
                </w:tcPr>
                <w:p w14:paraId="581F186F">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lang w:val="en-US" w:eastAsia="zh-CN"/>
                    </w:rPr>
                    <w:t>60</w:t>
                  </w:r>
                </w:p>
              </w:tc>
              <w:tc>
                <w:tcPr>
                  <w:tcW w:w="1069" w:type="pct"/>
                  <w:noWrap w:val="0"/>
                  <w:vAlign w:val="center"/>
                </w:tcPr>
                <w:p w14:paraId="088EAD2C">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达标</w:t>
                  </w:r>
                </w:p>
              </w:tc>
            </w:tr>
            <w:tr w14:paraId="1E6F5B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35" w:type="pct"/>
                  <w:noWrap w:val="0"/>
                  <w:vAlign w:val="center"/>
                </w:tcPr>
                <w:p w14:paraId="6560A5CD">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西厂界</w:t>
                  </w:r>
                </w:p>
              </w:tc>
              <w:tc>
                <w:tcPr>
                  <w:tcW w:w="677" w:type="pct"/>
                  <w:noWrap w:val="0"/>
                  <w:vAlign w:val="center"/>
                </w:tcPr>
                <w:p w14:paraId="39AD0727">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昼间</w:t>
                  </w:r>
                </w:p>
              </w:tc>
              <w:tc>
                <w:tcPr>
                  <w:tcW w:w="2727" w:type="dxa"/>
                  <w:noWrap w:val="0"/>
                  <w:vAlign w:val="center"/>
                </w:tcPr>
                <w:p w14:paraId="3A104345">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lang w:val="en-US" w:eastAsia="zh-CN"/>
                    </w:rPr>
                  </w:pPr>
                  <w:r>
                    <w:rPr>
                      <w:rFonts w:hint="default" w:ascii="Times New Roman" w:hAnsi="Times New Roman" w:eastAsia="宋体" w:cs="Times New Roman"/>
                      <w:snapToGrid w:val="0"/>
                      <w:color w:val="000000"/>
                      <w:sz w:val="21"/>
                      <w:szCs w:val="21"/>
                      <w:highlight w:val="none"/>
                      <w:lang w:val="en-US" w:eastAsia="zh-CN"/>
                    </w:rPr>
                    <w:t>38.27</w:t>
                  </w:r>
                </w:p>
              </w:tc>
              <w:tc>
                <w:tcPr>
                  <w:tcW w:w="1109" w:type="pct"/>
                  <w:noWrap w:val="0"/>
                  <w:vAlign w:val="center"/>
                </w:tcPr>
                <w:p w14:paraId="346BD960">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lang w:val="en-US" w:eastAsia="zh-CN"/>
                    </w:rPr>
                    <w:t>60</w:t>
                  </w:r>
                </w:p>
              </w:tc>
              <w:tc>
                <w:tcPr>
                  <w:tcW w:w="1069" w:type="pct"/>
                  <w:noWrap w:val="0"/>
                  <w:vAlign w:val="center"/>
                </w:tcPr>
                <w:p w14:paraId="34E9F2AB">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达标</w:t>
                  </w:r>
                </w:p>
              </w:tc>
            </w:tr>
            <w:tr w14:paraId="4A0F76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35" w:type="pct"/>
                  <w:noWrap w:val="0"/>
                  <w:vAlign w:val="center"/>
                </w:tcPr>
                <w:p w14:paraId="3CCA5BBC">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北厂界</w:t>
                  </w:r>
                </w:p>
              </w:tc>
              <w:tc>
                <w:tcPr>
                  <w:tcW w:w="677" w:type="pct"/>
                  <w:noWrap w:val="0"/>
                  <w:vAlign w:val="center"/>
                </w:tcPr>
                <w:p w14:paraId="4F5BA9C6">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昼间</w:t>
                  </w:r>
                </w:p>
              </w:tc>
              <w:tc>
                <w:tcPr>
                  <w:tcW w:w="2727" w:type="dxa"/>
                  <w:noWrap w:val="0"/>
                  <w:vAlign w:val="center"/>
                </w:tcPr>
                <w:p w14:paraId="7D47084D">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lang w:val="en-US" w:eastAsia="zh-CN"/>
                    </w:rPr>
                  </w:pPr>
                  <w:r>
                    <w:rPr>
                      <w:rFonts w:hint="default" w:ascii="Times New Roman" w:hAnsi="Times New Roman" w:eastAsia="宋体" w:cs="Times New Roman"/>
                      <w:snapToGrid w:val="0"/>
                      <w:color w:val="000000"/>
                      <w:sz w:val="21"/>
                      <w:szCs w:val="21"/>
                      <w:highlight w:val="none"/>
                      <w:lang w:val="en-US" w:eastAsia="zh-CN"/>
                    </w:rPr>
                    <w:t>49.61</w:t>
                  </w:r>
                </w:p>
              </w:tc>
              <w:tc>
                <w:tcPr>
                  <w:tcW w:w="1109" w:type="pct"/>
                  <w:noWrap w:val="0"/>
                  <w:vAlign w:val="center"/>
                </w:tcPr>
                <w:p w14:paraId="3117DEEF">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lang w:val="en-US" w:eastAsia="zh-CN"/>
                    </w:rPr>
                    <w:t>60</w:t>
                  </w:r>
                </w:p>
              </w:tc>
              <w:tc>
                <w:tcPr>
                  <w:tcW w:w="1069" w:type="pct"/>
                  <w:noWrap w:val="0"/>
                  <w:vAlign w:val="center"/>
                </w:tcPr>
                <w:p w14:paraId="04CBECE4">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snapToGrid w:val="0"/>
                      <w:color w:val="000000"/>
                      <w:sz w:val="21"/>
                      <w:szCs w:val="21"/>
                      <w:highlight w:val="none"/>
                    </w:rPr>
                  </w:pPr>
                  <w:r>
                    <w:rPr>
                      <w:rFonts w:hint="default" w:ascii="Times New Roman" w:hAnsi="Times New Roman" w:eastAsia="宋体" w:cs="Times New Roman"/>
                      <w:snapToGrid w:val="0"/>
                      <w:color w:val="000000"/>
                      <w:sz w:val="21"/>
                      <w:szCs w:val="21"/>
                      <w:highlight w:val="none"/>
                    </w:rPr>
                    <w:t>达标</w:t>
                  </w:r>
                </w:p>
              </w:tc>
            </w:tr>
          </w:tbl>
          <w:p w14:paraId="4E08BAF5">
            <w:pPr>
              <w:keepNext w:val="0"/>
              <w:keepLines w:val="0"/>
              <w:suppressLineNumbers w:val="0"/>
              <w:adjustRightInd w:val="0"/>
              <w:snapToGrid w:val="0"/>
              <w:spacing w:before="0" w:beforeAutospacing="0" w:after="0" w:afterAutospacing="0" w:line="360" w:lineRule="auto"/>
              <w:ind w:left="0" w:right="0" w:firstLine="340"/>
              <w:jc w:val="left"/>
              <w:rPr>
                <w:rFonts w:hint="default" w:ascii="Times New Roman" w:hAnsi="Times New Roman" w:cs="Times New Roman"/>
                <w:color w:val="000000"/>
                <w:sz w:val="24"/>
                <w:highlight w:val="none"/>
              </w:rPr>
            </w:pPr>
            <w:r>
              <w:rPr>
                <w:rFonts w:hint="default" w:ascii="宋体" w:hAnsi="宋体" w:cs="宋体"/>
                <w:color w:val="000000"/>
                <w:sz w:val="24"/>
                <w:highlight w:val="none"/>
              </w:rPr>
              <w:t>由上表可以看出，</w:t>
            </w:r>
            <w:r>
              <w:rPr>
                <w:rFonts w:hint="eastAsia" w:ascii="宋体" w:hAnsi="宋体" w:cs="宋体"/>
                <w:color w:val="000000"/>
                <w:sz w:val="24"/>
                <w:highlight w:val="none"/>
                <w:lang w:eastAsia="zh-CN"/>
              </w:rPr>
              <w:t>本项目</w:t>
            </w:r>
            <w:r>
              <w:rPr>
                <w:rFonts w:hint="default" w:ascii="宋体" w:hAnsi="宋体" w:cs="宋体"/>
                <w:color w:val="000000"/>
                <w:sz w:val="24"/>
                <w:highlight w:val="none"/>
              </w:rPr>
              <w:t>采取降噪、减振措施后，再经距离衰减，厂界昼间噪声满足《工业企业厂界环境噪声排放标准》</w:t>
            </w:r>
            <w:r>
              <w:rPr>
                <w:rFonts w:hint="default" w:ascii="Times New Roman" w:hAnsi="Times New Roman" w:cs="Times New Roman"/>
                <w:color w:val="000000"/>
                <w:sz w:val="24"/>
                <w:highlight w:val="none"/>
              </w:rPr>
              <w:t>（GB12348-2008）</w:t>
            </w:r>
            <w:r>
              <w:rPr>
                <w:rFonts w:hint="default" w:ascii="宋体" w:hAnsi="宋体" w:cs="宋体"/>
                <w:color w:val="000000"/>
                <w:sz w:val="24"/>
                <w:highlight w:val="none"/>
              </w:rPr>
              <w:t>中的</w:t>
            </w:r>
            <w:r>
              <w:rPr>
                <w:rFonts w:hint="eastAsia" w:ascii="Times New Roman" w:hAnsi="Times New Roman" w:cs="Times New Roman"/>
                <w:color w:val="000000"/>
                <w:sz w:val="24"/>
                <w:highlight w:val="none"/>
                <w:lang w:val="en-US" w:eastAsia="zh-CN"/>
              </w:rPr>
              <w:t>2</w:t>
            </w:r>
            <w:r>
              <w:rPr>
                <w:rFonts w:hint="eastAsia" w:ascii="Times New Roman" w:hAnsi="Times New Roman" w:cs="Times New Roman"/>
                <w:color w:val="000000"/>
                <w:sz w:val="24"/>
                <w:highlight w:val="none"/>
                <w:lang w:eastAsia="zh-CN"/>
              </w:rPr>
              <w:t>类</w:t>
            </w:r>
            <w:r>
              <w:rPr>
                <w:rFonts w:hint="default" w:ascii="宋体" w:hAnsi="宋体" w:cs="宋体"/>
                <w:color w:val="000000"/>
                <w:sz w:val="24"/>
                <w:highlight w:val="none"/>
              </w:rPr>
              <w:t>区噪声排放限值。因此，</w:t>
            </w:r>
            <w:r>
              <w:rPr>
                <w:rFonts w:hint="eastAsia" w:ascii="宋体" w:hAnsi="宋体" w:cs="宋体"/>
                <w:color w:val="000000"/>
                <w:sz w:val="24"/>
                <w:highlight w:val="none"/>
                <w:lang w:eastAsia="zh-CN"/>
              </w:rPr>
              <w:t>本项目</w:t>
            </w:r>
            <w:r>
              <w:rPr>
                <w:rFonts w:hint="default" w:ascii="宋体" w:hAnsi="宋体" w:cs="宋体"/>
                <w:color w:val="000000"/>
                <w:sz w:val="24"/>
                <w:highlight w:val="none"/>
              </w:rPr>
              <w:t>在做好噪声治理措施后，</w:t>
            </w:r>
            <w:r>
              <w:rPr>
                <w:rFonts w:hint="default" w:ascii="Times New Roman" w:hAnsi="Times New Roman" w:cs="Times New Roman"/>
                <w:color w:val="000000"/>
                <w:sz w:val="24"/>
                <w:highlight w:val="none"/>
              </w:rPr>
              <w:t>设备噪声对周围环境不会造成太大影响。</w:t>
            </w:r>
          </w:p>
          <w:p w14:paraId="61791EAE">
            <w:pPr>
              <w:pStyle w:val="2"/>
              <w:keepNext w:val="0"/>
              <w:keepLines w:val="0"/>
              <w:numPr>
                <w:ilvl w:val="0"/>
                <w:numId w:val="7"/>
              </w:numPr>
              <w:suppressLineNumbers w:val="0"/>
              <w:spacing w:before="0" w:beforeAutospacing="0" w:afterAutospacing="0"/>
              <w:ind w:left="0" w:leftChars="0" w:right="0" w:firstLine="240" w:firstLineChars="100"/>
              <w:rPr>
                <w:rFonts w:hint="eastAsia" w:cs="Times New Roman"/>
                <w:color w:val="000000"/>
                <w:sz w:val="24"/>
                <w:highlight w:val="none"/>
              </w:rPr>
            </w:pPr>
            <w:r>
              <w:rPr>
                <w:rFonts w:hint="eastAsia" w:cs="Times New Roman"/>
                <w:color w:val="000000"/>
                <w:sz w:val="24"/>
                <w:highlight w:val="none"/>
              </w:rPr>
              <w:t>噪声监测计划</w:t>
            </w:r>
          </w:p>
          <w:p w14:paraId="44CAF915">
            <w:pPr>
              <w:keepNext w:val="0"/>
              <w:keepLines w:val="0"/>
              <w:suppressLineNumbers w:val="0"/>
              <w:adjustRightInd w:val="0"/>
              <w:snapToGrid w:val="0"/>
              <w:spacing w:before="0" w:beforeAutospacing="0" w:after="0" w:afterAutospacing="0" w:line="360" w:lineRule="auto"/>
              <w:ind w:left="0" w:right="0" w:firstLine="340"/>
              <w:jc w:val="left"/>
              <w:rPr>
                <w:rFonts w:hint="default" w:ascii="宋体" w:hAnsi="宋体" w:eastAsia="宋体" w:cs="宋体"/>
                <w:color w:val="000000"/>
                <w:sz w:val="24"/>
                <w:highlight w:val="none"/>
              </w:rPr>
            </w:pPr>
            <w:r>
              <w:rPr>
                <w:rFonts w:hint="default" w:ascii="宋体" w:hAnsi="宋体" w:eastAsia="宋体" w:cs="宋体"/>
                <w:color w:val="000000"/>
                <w:sz w:val="24"/>
                <w:highlight w:val="none"/>
              </w:rPr>
              <w:t>根据《排污单位自行监测技术指南 总则》（HJ 819-2017)的要求</w:t>
            </w:r>
            <w:r>
              <w:rPr>
                <w:rFonts w:hint="eastAsia" w:ascii="宋体" w:hAnsi="宋体" w:eastAsia="宋体" w:cs="宋体"/>
                <w:color w:val="000000"/>
                <w:sz w:val="24"/>
                <w:highlight w:val="none"/>
              </w:rPr>
              <w:t>，噪声监测频次按下表进行。</w:t>
            </w:r>
          </w:p>
          <w:p w14:paraId="13E783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4-1</w:t>
            </w:r>
            <w:r>
              <w:rPr>
                <w:rFonts w:hint="eastAsia" w:cs="Times New Roman"/>
                <w:b/>
                <w:color w:val="auto"/>
                <w:szCs w:val="21"/>
                <w:highlight w:val="none"/>
                <w:lang w:val="en-US" w:eastAsia="zh-CN"/>
              </w:rPr>
              <w:t>3</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项目噪声监测要求表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2155"/>
              <w:gridCol w:w="5766"/>
            </w:tblGrid>
            <w:tr w14:paraId="62FC0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3" w:type="pct"/>
                  <w:noWrap w:val="0"/>
                  <w:vAlign w:val="center"/>
                </w:tcPr>
                <w:p w14:paraId="31C01DF5">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z w:val="21"/>
                      <w:szCs w:val="21"/>
                      <w:highlight w:val="none"/>
                    </w:rPr>
                    <w:t>项目</w:t>
                  </w:r>
                </w:p>
              </w:tc>
              <w:tc>
                <w:tcPr>
                  <w:tcW w:w="1234" w:type="pct"/>
                  <w:noWrap w:val="0"/>
                  <w:vAlign w:val="center"/>
                </w:tcPr>
                <w:p w14:paraId="441E475D">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z w:val="21"/>
                      <w:szCs w:val="21"/>
                      <w:highlight w:val="none"/>
                    </w:rPr>
                    <w:t>监测项目</w:t>
                  </w:r>
                </w:p>
              </w:tc>
              <w:tc>
                <w:tcPr>
                  <w:tcW w:w="3302" w:type="pct"/>
                  <w:noWrap w:val="0"/>
                  <w:vAlign w:val="center"/>
                </w:tcPr>
                <w:p w14:paraId="678F1403">
                  <w:pPr>
                    <w:pStyle w:val="6"/>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b/>
                      <w:bCs/>
                      <w:snapToGrid w:val="0"/>
                      <w:color w:val="000000"/>
                      <w:sz w:val="21"/>
                      <w:szCs w:val="21"/>
                      <w:highlight w:val="none"/>
                    </w:rPr>
                  </w:pPr>
                  <w:r>
                    <w:rPr>
                      <w:rFonts w:hint="eastAsia" w:ascii="Times New Roman" w:hAnsi="Times New Roman" w:cs="Times New Roman"/>
                      <w:b/>
                      <w:bCs/>
                      <w:snapToGrid w:val="0"/>
                      <w:color w:val="000000"/>
                      <w:sz w:val="21"/>
                      <w:szCs w:val="21"/>
                      <w:highlight w:val="none"/>
                    </w:rPr>
                    <w:t>昼间</w:t>
                  </w:r>
                  <w:r>
                    <w:rPr>
                      <w:rFonts w:hint="default" w:ascii="Times New Roman" w:hAnsi="Times New Roman" w:cs="Times New Roman"/>
                      <w:b/>
                      <w:bCs/>
                      <w:snapToGrid w:val="0"/>
                      <w:color w:val="000000"/>
                      <w:sz w:val="21"/>
                      <w:szCs w:val="21"/>
                      <w:highlight w:val="none"/>
                    </w:rPr>
                    <w:t>Leq</w:t>
                  </w:r>
                </w:p>
              </w:tc>
            </w:tr>
            <w:tr w14:paraId="3CD4A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3" w:type="pct"/>
                  <w:vMerge w:val="restart"/>
                  <w:noWrap w:val="0"/>
                  <w:vAlign w:val="center"/>
                </w:tcPr>
                <w:p w14:paraId="3F5AC735">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噪声</w:t>
                  </w:r>
                </w:p>
              </w:tc>
              <w:tc>
                <w:tcPr>
                  <w:tcW w:w="1234" w:type="pct"/>
                  <w:noWrap w:val="0"/>
                  <w:vAlign w:val="center"/>
                </w:tcPr>
                <w:p w14:paraId="5D6D271F">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监测布点</w:t>
                  </w:r>
                </w:p>
              </w:tc>
              <w:tc>
                <w:tcPr>
                  <w:tcW w:w="3302" w:type="pct"/>
                  <w:noWrap w:val="0"/>
                  <w:vAlign w:val="center"/>
                </w:tcPr>
                <w:p w14:paraId="5798AE86">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东、南、西、北厂界外1m 处。</w:t>
                  </w:r>
                </w:p>
              </w:tc>
            </w:tr>
            <w:tr w14:paraId="446B7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3" w:type="pct"/>
                  <w:vMerge w:val="continue"/>
                  <w:noWrap w:val="0"/>
                  <w:vAlign w:val="center"/>
                </w:tcPr>
                <w:p w14:paraId="555A95CA">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p>
              </w:tc>
              <w:tc>
                <w:tcPr>
                  <w:tcW w:w="1234" w:type="pct"/>
                  <w:noWrap w:val="0"/>
                  <w:vAlign w:val="center"/>
                </w:tcPr>
                <w:p w14:paraId="27262BEA">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监测频率</w:t>
                  </w:r>
                </w:p>
              </w:tc>
              <w:tc>
                <w:tcPr>
                  <w:tcW w:w="3302" w:type="pct"/>
                  <w:noWrap w:val="0"/>
                  <w:vAlign w:val="center"/>
                </w:tcPr>
                <w:p w14:paraId="2E5CDE9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每季度监测一次</w:t>
                  </w:r>
                </w:p>
              </w:tc>
            </w:tr>
            <w:tr w14:paraId="02C26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3" w:type="pct"/>
                  <w:vMerge w:val="continue"/>
                  <w:noWrap w:val="0"/>
                  <w:vAlign w:val="center"/>
                </w:tcPr>
                <w:p w14:paraId="227574A2">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p>
              </w:tc>
              <w:tc>
                <w:tcPr>
                  <w:tcW w:w="1234" w:type="pct"/>
                  <w:noWrap w:val="0"/>
                  <w:vAlign w:val="center"/>
                </w:tcPr>
                <w:p w14:paraId="3A2CAA07">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采样分析、数据处理</w:t>
                  </w:r>
                </w:p>
              </w:tc>
              <w:tc>
                <w:tcPr>
                  <w:tcW w:w="3302" w:type="pct"/>
                  <w:noWrap w:val="0"/>
                  <w:vAlign w:val="center"/>
                </w:tcPr>
                <w:p w14:paraId="4938A7AB">
                  <w:pPr>
                    <w:keepNext w:val="0"/>
                    <w:keepLines w:val="0"/>
                    <w:suppressLineNumbers w:val="0"/>
                    <w:spacing w:before="0" w:beforeAutospacing="0" w:after="0" w:afterAutospacing="0"/>
                    <w:ind w:left="0" w:right="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按照《工业企业厂界噪声测量方法》的有关规定和工业企业噪声监测技术规范进行监测</w:t>
                  </w:r>
                </w:p>
              </w:tc>
            </w:tr>
          </w:tbl>
          <w:p w14:paraId="5FDCA7CE">
            <w:pPr>
              <w:keepNext w:val="0"/>
              <w:keepLines w:val="0"/>
              <w:suppressLineNumbers w:val="0"/>
              <w:adjustRightInd w:val="0"/>
              <w:snapToGrid w:val="0"/>
              <w:spacing w:before="0" w:beforeAutospacing="0" w:after="0" w:afterAutospacing="0" w:line="360" w:lineRule="auto"/>
              <w:ind w:left="340" w:right="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四、固体废物</w:t>
            </w:r>
          </w:p>
          <w:p w14:paraId="4611B3E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本项目产生的固体废物</w:t>
            </w:r>
            <w:r>
              <w:rPr>
                <w:rFonts w:hint="default" w:ascii="Times New Roman" w:hAnsi="Times New Roman" w:cs="Times New Roman"/>
                <w:color w:val="auto"/>
                <w:sz w:val="24"/>
                <w:highlight w:val="none"/>
                <w:lang w:val="en-US" w:eastAsia="zh-CN"/>
              </w:rPr>
              <w:t>为生活垃圾、一般工业固废和危险废物</w:t>
            </w:r>
            <w:r>
              <w:rPr>
                <w:rFonts w:hint="eastAsia" w:ascii="Times New Roman" w:hAnsi="Times New Roman" w:cs="Times New Roman"/>
                <w:color w:val="auto"/>
                <w:sz w:val="24"/>
                <w:highlight w:val="none"/>
                <w:lang w:val="en-US" w:eastAsia="zh-CN"/>
              </w:rPr>
              <w:t>，其中一般工业固废主要包括废包装袋、不合格品、布袋除尘器收集粉尘、废滤料</w:t>
            </w:r>
            <w:r>
              <w:rPr>
                <w:rFonts w:hint="eastAsia" w:cs="Times New Roman"/>
                <w:color w:val="auto"/>
                <w:sz w:val="24"/>
                <w:highlight w:val="none"/>
                <w:lang w:val="en-US" w:eastAsia="zh-CN"/>
              </w:rPr>
              <w:t>、废离子交换树脂</w:t>
            </w:r>
            <w:r>
              <w:rPr>
                <w:rFonts w:hint="eastAsia" w:ascii="Times New Roman" w:hAnsi="Times New Roman" w:cs="Times New Roman"/>
                <w:color w:val="auto"/>
                <w:sz w:val="24"/>
                <w:highlight w:val="none"/>
                <w:lang w:val="en-US" w:eastAsia="zh-CN"/>
              </w:rPr>
              <w:t>；危险废物主要包括废酸桶、污泥、废布袋</w:t>
            </w:r>
            <w:r>
              <w:rPr>
                <w:rFonts w:hint="default" w:ascii="Times New Roman" w:hAnsi="Times New Roman" w:cs="Times New Roman"/>
                <w:color w:val="auto"/>
                <w:sz w:val="24"/>
                <w:highlight w:val="none"/>
                <w:lang w:val="en-US" w:eastAsia="zh-CN"/>
              </w:rPr>
              <w:t>。</w:t>
            </w:r>
          </w:p>
          <w:p w14:paraId="72662E9F">
            <w:pPr>
              <w:keepNext w:val="0"/>
              <w:keepLines w:val="0"/>
              <w:numPr>
                <w:ilvl w:val="0"/>
                <w:numId w:val="8"/>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生活垃圾</w:t>
            </w:r>
          </w:p>
          <w:p w14:paraId="795FA95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生活垃圾以0.5kg/d·人计，本项目共有职工</w:t>
            </w:r>
            <w:r>
              <w:rPr>
                <w:rFonts w:hint="eastAsia" w:ascii="Times New Roman" w:hAnsi="Times New Roman" w:cs="Times New Roman"/>
                <w:color w:val="auto"/>
                <w:sz w:val="24"/>
                <w:highlight w:val="none"/>
                <w:lang w:val="en-US" w:eastAsia="zh-CN"/>
              </w:rPr>
              <w:t>20</w:t>
            </w:r>
            <w:r>
              <w:rPr>
                <w:rFonts w:hint="default" w:ascii="Times New Roman" w:hAnsi="Times New Roman" w:cs="Times New Roman"/>
                <w:color w:val="auto"/>
                <w:sz w:val="24"/>
                <w:highlight w:val="none"/>
              </w:rPr>
              <w:t>人，年运营300天，则产生量为</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t/a，由当地环卫部门统一收集处理。</w:t>
            </w:r>
          </w:p>
          <w:p w14:paraId="4A98AAF9">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2、一般工业固废</w:t>
            </w:r>
          </w:p>
          <w:p w14:paraId="4AAB3DCF">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（1）收集粉尘：</w:t>
            </w:r>
          </w:p>
          <w:p w14:paraId="167BBC17">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布袋除尘器收集粉</w:t>
            </w:r>
            <w:r>
              <w:rPr>
                <w:rFonts w:hint="default" w:ascii="Times New Roman" w:hAnsi="Times New Roman" w:eastAsia="宋体" w:cs="Times New Roman"/>
                <w:color w:val="auto"/>
                <w:kern w:val="2"/>
                <w:sz w:val="24"/>
                <w:szCs w:val="24"/>
                <w:lang w:val="en-US" w:eastAsia="zh-CN" w:bidi="ar-SA"/>
              </w:rPr>
              <w:t>尘</w:t>
            </w:r>
            <w:r>
              <w:rPr>
                <w:rFonts w:hint="eastAsia" w:ascii="Times New Roman" w:hAnsi="Times New Roman" w:eastAsia="宋体" w:cs="Times New Roman"/>
                <w:color w:val="auto"/>
                <w:kern w:val="2"/>
                <w:sz w:val="24"/>
                <w:szCs w:val="24"/>
                <w:lang w:val="en-US" w:eastAsia="zh-CN" w:bidi="ar-SA"/>
              </w:rPr>
              <w:t>量为2.04</w:t>
            </w:r>
            <w:r>
              <w:rPr>
                <w:rFonts w:hint="default" w:ascii="Times New Roman" w:hAnsi="Times New Roman" w:eastAsia="宋体" w:cs="Times New Roman"/>
                <w:color w:val="auto"/>
                <w:kern w:val="2"/>
                <w:sz w:val="24"/>
                <w:szCs w:val="24"/>
                <w:lang w:val="en-US" w:eastAsia="zh-CN" w:bidi="ar-SA"/>
              </w:rPr>
              <w:t>t/a，全部回用生产。</w:t>
            </w:r>
          </w:p>
          <w:p w14:paraId="6FDDAFA7">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不合格产品</w:t>
            </w:r>
          </w:p>
          <w:p w14:paraId="4F3FD064">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根据企业提供资料</w:t>
            </w:r>
            <w:r>
              <w:rPr>
                <w:rFonts w:hint="default" w:ascii="Times New Roman" w:hAnsi="Times New Roman" w:eastAsia="宋体" w:cs="Times New Roman"/>
                <w:color w:val="auto"/>
                <w:kern w:val="2"/>
                <w:sz w:val="24"/>
                <w:szCs w:val="24"/>
                <w:lang w:val="en-US" w:eastAsia="zh-CN" w:bidi="ar-SA"/>
              </w:rPr>
              <w:t>，不合格品</w:t>
            </w:r>
            <w:r>
              <w:rPr>
                <w:rFonts w:hint="eastAsia" w:ascii="Times New Roman" w:hAnsi="Times New Roman" w:cs="Times New Roman"/>
                <w:color w:val="auto"/>
                <w:sz w:val="24"/>
                <w:highlight w:val="none"/>
                <w:lang w:val="en-US" w:eastAsia="zh-CN"/>
              </w:rPr>
              <w:t>产生量为</w:t>
            </w:r>
            <w:r>
              <w:rPr>
                <w:rFonts w:hint="eastAsia" w:ascii="Times New Roman" w:hAnsi="Times New Roman" w:eastAsia="宋体" w:cs="Times New Roman"/>
                <w:color w:val="auto"/>
                <w:kern w:val="2"/>
                <w:sz w:val="24"/>
                <w:szCs w:val="24"/>
                <w:lang w:val="en-US" w:eastAsia="zh-CN" w:bidi="ar-SA"/>
              </w:rPr>
              <w:t>20</w:t>
            </w:r>
            <w:r>
              <w:rPr>
                <w:rFonts w:hint="default" w:ascii="Times New Roman" w:hAnsi="Times New Roman" w:eastAsia="宋体" w:cs="Times New Roman"/>
                <w:color w:val="auto"/>
                <w:kern w:val="2"/>
                <w:sz w:val="24"/>
                <w:szCs w:val="24"/>
                <w:lang w:val="en-US" w:eastAsia="zh-CN" w:bidi="ar-SA"/>
              </w:rPr>
              <w:t>t/a，全部回用生产。</w:t>
            </w:r>
          </w:p>
          <w:p w14:paraId="5766D876">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en-US" w:eastAsia="zh-CN" w:bidi="ar-SA"/>
              </w:rPr>
              <w:t>废包装袋</w:t>
            </w:r>
          </w:p>
          <w:p w14:paraId="602CD99F">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项目高纯晶体氧化铝粉</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干冰</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片碱</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PAC</w:t>
            </w:r>
            <w:r>
              <w:rPr>
                <w:rFonts w:hint="eastAsia" w:ascii="Times New Roman" w:hAnsi="Times New Roman" w:eastAsia="宋体" w:cs="Times New Roman"/>
                <w:color w:val="auto"/>
                <w:kern w:val="2"/>
                <w:sz w:val="24"/>
                <w:szCs w:val="24"/>
                <w:lang w:val="en-US" w:eastAsia="zh-CN" w:bidi="ar-SA"/>
              </w:rPr>
              <w:t>、尿素投料过程会产生一定量的废包装袋</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产生量为30</w:t>
            </w:r>
            <w:r>
              <w:rPr>
                <w:rFonts w:hint="default" w:ascii="Times New Roman" w:hAnsi="Times New Roman" w:eastAsia="宋体" w:cs="Times New Roman"/>
                <w:color w:val="auto"/>
                <w:kern w:val="2"/>
                <w:sz w:val="24"/>
                <w:szCs w:val="24"/>
                <w:lang w:val="en-US" w:eastAsia="zh-CN" w:bidi="ar-SA"/>
              </w:rPr>
              <w:t>t/a，属于一般固体废物，由车间工作人员统一收集后外售给有处置能力和资质单位处置。</w:t>
            </w:r>
          </w:p>
          <w:p w14:paraId="351A0E25">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w:t>
            </w:r>
            <w:r>
              <w:rPr>
                <w:rFonts w:hint="eastAsia" w:ascii="Times New Roman" w:hAnsi="Times New Roman" w:cs="Times New Roman"/>
                <w:color w:val="auto"/>
                <w:sz w:val="24"/>
                <w:highlight w:val="none"/>
                <w:lang w:val="en-US" w:eastAsia="zh-CN"/>
              </w:rPr>
              <w:t>废滤料</w:t>
            </w:r>
          </w:p>
          <w:p w14:paraId="69AFF7D2">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项目滤池中滤料主要成份为石英砂，需定期更换，根据企业提供资料</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cs="Times New Roman"/>
                <w:color w:val="auto"/>
                <w:sz w:val="24"/>
                <w:highlight w:val="none"/>
                <w:lang w:val="en-US" w:eastAsia="zh-CN"/>
              </w:rPr>
              <w:t>废滤料产生量为</w:t>
            </w:r>
            <w:r>
              <w:rPr>
                <w:rFonts w:hint="eastAsia" w:ascii="Times New Roman" w:hAnsi="Times New Roman" w:eastAsia="宋体" w:cs="Times New Roman"/>
                <w:color w:val="auto"/>
                <w:kern w:val="2"/>
                <w:sz w:val="24"/>
                <w:szCs w:val="24"/>
                <w:lang w:val="en-US" w:eastAsia="zh-CN" w:bidi="ar-SA"/>
              </w:rPr>
              <w:t>0.3</w:t>
            </w:r>
            <w:r>
              <w:rPr>
                <w:rFonts w:hint="default" w:ascii="Times New Roman" w:hAnsi="Times New Roman" w:eastAsia="宋体" w:cs="Times New Roman"/>
                <w:color w:val="auto"/>
                <w:kern w:val="2"/>
                <w:sz w:val="24"/>
                <w:szCs w:val="24"/>
                <w:lang w:val="en-US" w:eastAsia="zh-CN" w:bidi="ar-SA"/>
              </w:rPr>
              <w:t>t/a，属于一般固体废物，由车间工作人员统一收集后外售给有处置能力和资质单位处置</w:t>
            </w:r>
            <w:r>
              <w:rPr>
                <w:rFonts w:hint="eastAsia" w:ascii="Times New Roman" w:hAnsi="Times New Roman" w:eastAsia="宋体" w:cs="Times New Roman"/>
                <w:color w:val="auto"/>
                <w:kern w:val="2"/>
                <w:sz w:val="24"/>
                <w:szCs w:val="24"/>
                <w:lang w:val="en-US" w:eastAsia="zh-CN" w:bidi="ar-SA"/>
              </w:rPr>
              <w:t>。</w:t>
            </w:r>
          </w:p>
          <w:p w14:paraId="6BD1201D">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（5）</w:t>
            </w:r>
            <w:r>
              <w:rPr>
                <w:rFonts w:hint="eastAsia" w:ascii="Times New Roman" w:hAnsi="Times New Roman" w:cs="Times New Roman"/>
                <w:color w:val="auto"/>
                <w:sz w:val="24"/>
                <w:highlight w:val="none"/>
                <w:lang w:val="en-US" w:eastAsia="zh-CN"/>
              </w:rPr>
              <w:t>废离子交换树脂</w:t>
            </w:r>
          </w:p>
          <w:p w14:paraId="6A560185">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项目离子交换树脂过滤装置中滤料需定期更换，根据企业提供资料</w:t>
            </w:r>
            <w:r>
              <w:rPr>
                <w:rFonts w:hint="default" w:ascii="Times New Roman" w:hAnsi="Times New Roman" w:eastAsia="宋体" w:cs="Times New Roman"/>
                <w:color w:val="auto"/>
                <w:kern w:val="2"/>
                <w:sz w:val="24"/>
                <w:szCs w:val="24"/>
                <w:lang w:val="en-US" w:eastAsia="zh-CN" w:bidi="ar-SA"/>
              </w:rPr>
              <w:t>，废离子交换树脂</w:t>
            </w:r>
            <w:r>
              <w:rPr>
                <w:rFonts w:hint="eastAsia" w:ascii="Times New Roman" w:hAnsi="Times New Roman" w:cs="Times New Roman"/>
                <w:color w:val="auto"/>
                <w:sz w:val="24"/>
                <w:highlight w:val="none"/>
                <w:lang w:val="en-US" w:eastAsia="zh-CN"/>
              </w:rPr>
              <w:t>产生量为</w:t>
            </w:r>
            <w:r>
              <w:rPr>
                <w:rFonts w:hint="eastAsia" w:ascii="Times New Roman" w:hAnsi="Times New Roman" w:eastAsia="宋体" w:cs="Times New Roman"/>
                <w:color w:val="auto"/>
                <w:kern w:val="2"/>
                <w:sz w:val="24"/>
                <w:szCs w:val="24"/>
                <w:lang w:val="en-US" w:eastAsia="zh-CN" w:bidi="ar-SA"/>
              </w:rPr>
              <w:t>100</w:t>
            </w:r>
            <w:r>
              <w:rPr>
                <w:rFonts w:hint="default" w:ascii="Times New Roman" w:hAnsi="Times New Roman" w:eastAsia="宋体" w:cs="Times New Roman"/>
                <w:color w:val="auto"/>
                <w:kern w:val="2"/>
                <w:sz w:val="24"/>
                <w:szCs w:val="24"/>
                <w:lang w:val="en-US" w:eastAsia="zh-CN" w:bidi="ar-SA"/>
              </w:rPr>
              <w:t>t/a，属于一般固体废物，由车间工作人员统一收集后外售给有处置能力和资质单位处置</w:t>
            </w:r>
            <w:r>
              <w:rPr>
                <w:rFonts w:hint="eastAsia" w:ascii="Times New Roman" w:hAnsi="Times New Roman" w:eastAsia="宋体" w:cs="Times New Roman"/>
                <w:color w:val="auto"/>
                <w:kern w:val="2"/>
                <w:sz w:val="24"/>
                <w:szCs w:val="24"/>
                <w:lang w:val="en-US" w:eastAsia="zh-CN" w:bidi="ar-SA"/>
              </w:rPr>
              <w:t>。</w:t>
            </w:r>
          </w:p>
          <w:p w14:paraId="37C2CF8D">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3、危险废物</w:t>
            </w:r>
          </w:p>
          <w:p w14:paraId="5FF1FDF2">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w:t>
            </w:r>
            <w:r>
              <w:rPr>
                <w:rFonts w:hint="eastAsia" w:ascii="Times New Roman" w:hAnsi="Times New Roman" w:eastAsia="宋体" w:cs="Times New Roman"/>
                <w:color w:val="auto"/>
                <w:kern w:val="2"/>
                <w:sz w:val="24"/>
                <w:szCs w:val="24"/>
                <w:lang w:val="en-US" w:eastAsia="zh-CN" w:bidi="ar-SA"/>
              </w:rPr>
              <w:t>废酸</w:t>
            </w:r>
            <w:r>
              <w:rPr>
                <w:rFonts w:hint="default" w:ascii="Times New Roman" w:hAnsi="Times New Roman" w:eastAsia="宋体" w:cs="Times New Roman"/>
                <w:color w:val="auto"/>
                <w:kern w:val="2"/>
                <w:sz w:val="24"/>
                <w:szCs w:val="24"/>
                <w:lang w:val="en-US" w:eastAsia="zh-CN" w:bidi="ar-SA"/>
              </w:rPr>
              <w:t>桶</w:t>
            </w:r>
          </w:p>
          <w:p w14:paraId="135276F9">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highlight w:val="none"/>
                <w:lang w:val="en-US" w:eastAsia="zh-CN"/>
              </w:rPr>
              <w:t>单个100</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kg</w:t>
            </w:r>
            <w:r>
              <w:rPr>
                <w:rFonts w:hint="eastAsia" w:ascii="Times New Roman" w:hAnsi="Times New Roman" w:eastAsia="宋体" w:cs="Times New Roman"/>
                <w:color w:val="auto"/>
                <w:sz w:val="24"/>
                <w:szCs w:val="24"/>
                <w:highlight w:val="none"/>
                <w:lang w:val="en-US" w:eastAsia="zh-CN"/>
              </w:rPr>
              <w:t>废酸桶</w:t>
            </w:r>
            <w:r>
              <w:rPr>
                <w:rFonts w:hint="default" w:ascii="Times New Roman" w:hAnsi="Times New Roman" w:eastAsia="宋体" w:cs="Times New Roman"/>
                <w:color w:val="auto"/>
                <w:sz w:val="24"/>
                <w:szCs w:val="24"/>
                <w:highlight w:val="none"/>
                <w:lang w:val="en-US" w:eastAsia="zh-CN"/>
              </w:rPr>
              <w:t>净重</w:t>
            </w:r>
            <w:r>
              <w:rPr>
                <w:rFonts w:hint="eastAsia" w:ascii="Times New Roman" w:hAnsi="Times New Roman" w:eastAsia="宋体"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lang w:val="en-US" w:eastAsia="zh-CN"/>
              </w:rPr>
              <w:t>kg，本项目年产生</w:t>
            </w:r>
            <w:r>
              <w:rPr>
                <w:rFonts w:hint="eastAsia" w:ascii="Times New Roman" w:hAnsi="Times New Roman" w:eastAsia="宋体" w:cs="Times New Roman"/>
                <w:color w:val="auto"/>
                <w:sz w:val="24"/>
                <w:szCs w:val="24"/>
                <w:highlight w:val="none"/>
                <w:lang w:val="en-US" w:eastAsia="zh-CN"/>
              </w:rPr>
              <w:t>600</w:t>
            </w:r>
            <w:r>
              <w:rPr>
                <w:rFonts w:hint="default" w:ascii="Times New Roman" w:hAnsi="Times New Roman" w:eastAsia="宋体" w:cs="Times New Roman"/>
                <w:color w:val="auto"/>
                <w:sz w:val="24"/>
                <w:szCs w:val="24"/>
                <w:highlight w:val="none"/>
                <w:lang w:val="en-US" w:eastAsia="zh-CN"/>
              </w:rPr>
              <w:t>个</w:t>
            </w:r>
            <w:r>
              <w:rPr>
                <w:rFonts w:hint="eastAsia" w:ascii="Times New Roman" w:hAnsi="Times New Roman" w:eastAsia="宋体" w:cs="Times New Roman"/>
                <w:color w:val="auto"/>
                <w:sz w:val="24"/>
                <w:szCs w:val="24"/>
                <w:highlight w:val="none"/>
                <w:lang w:val="en-US" w:eastAsia="zh-CN"/>
              </w:rPr>
              <w:t>废酸桶</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废酸桶</w:t>
            </w:r>
            <w:r>
              <w:rPr>
                <w:rFonts w:hint="default" w:ascii="Times New Roman" w:hAnsi="Times New Roman" w:eastAsia="宋体" w:cs="Times New Roman"/>
                <w:color w:val="auto"/>
                <w:sz w:val="24"/>
                <w:szCs w:val="24"/>
                <w:highlight w:val="none"/>
                <w:lang w:val="en-US" w:eastAsia="zh-CN"/>
              </w:rPr>
              <w:t>产生量约</w:t>
            </w:r>
            <w:r>
              <w:rPr>
                <w:rFonts w:hint="eastAsia" w:ascii="Times New Roman" w:hAnsi="Times New Roman" w:eastAsia="宋体" w:cs="Times New Roman"/>
                <w:color w:val="auto"/>
                <w:sz w:val="24"/>
                <w:szCs w:val="24"/>
                <w:highlight w:val="none"/>
                <w:lang w:val="en-US" w:eastAsia="zh-CN"/>
              </w:rPr>
              <w:t>36</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属于危险废物</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危废类别为</w:t>
            </w:r>
            <w:r>
              <w:rPr>
                <w:rFonts w:hint="default" w:ascii="Times New Roman" w:hAnsi="Times New Roman" w:eastAsia="宋体" w:cs="Times New Roman"/>
                <w:b w:val="0"/>
                <w:bCs w:val="0"/>
                <w:color w:val="auto"/>
                <w:sz w:val="24"/>
                <w:szCs w:val="24"/>
                <w:highlight w:val="none"/>
                <w:lang w:val="en-US" w:eastAsia="zh-CN"/>
              </w:rPr>
              <w:t>HW</w:t>
            </w:r>
            <w:r>
              <w:rPr>
                <w:rFonts w:hint="eastAsia" w:ascii="Times New Roman" w:hAnsi="Times New Roman" w:eastAsia="宋体" w:cs="Times New Roman"/>
                <w:b w:val="0"/>
                <w:bCs w:val="0"/>
                <w:color w:val="auto"/>
                <w:sz w:val="24"/>
                <w:szCs w:val="24"/>
                <w:highlight w:val="none"/>
                <w:lang w:val="en-US" w:eastAsia="zh-CN"/>
              </w:rPr>
              <w:t>49其他废物</w:t>
            </w:r>
            <w:r>
              <w:rPr>
                <w:rFonts w:hint="default" w:ascii="Times New Roman" w:hAnsi="Times New Roman" w:cs="Times New Roman"/>
                <w:color w:val="auto"/>
                <w:sz w:val="24"/>
                <w:szCs w:val="24"/>
                <w:highlight w:val="none"/>
              </w:rPr>
              <w:t>，危废代码为</w:t>
            </w:r>
            <w:r>
              <w:rPr>
                <w:rFonts w:hint="default" w:ascii="Times New Roman" w:hAnsi="Times New Roman" w:eastAsia="宋体" w:cs="Times New Roman"/>
                <w:b w:val="0"/>
                <w:bCs w:val="0"/>
                <w:color w:val="auto"/>
                <w:sz w:val="24"/>
                <w:szCs w:val="24"/>
                <w:highlight w:val="none"/>
                <w:lang w:val="en-US" w:eastAsia="zh-CN"/>
              </w:rPr>
              <w:t>900-</w:t>
            </w:r>
            <w:r>
              <w:rPr>
                <w:rFonts w:hint="eastAsia" w:ascii="Times New Roman" w:hAnsi="Times New Roman" w:eastAsia="宋体" w:cs="Times New Roman"/>
                <w:b w:val="0"/>
                <w:bCs w:val="0"/>
                <w:color w:val="auto"/>
                <w:sz w:val="24"/>
                <w:szCs w:val="24"/>
                <w:highlight w:val="none"/>
                <w:lang w:val="en-US" w:eastAsia="zh-CN"/>
              </w:rPr>
              <w:t>041-49</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color w:val="auto"/>
                <w:kern w:val="2"/>
                <w:sz w:val="24"/>
                <w:szCs w:val="24"/>
                <w:lang w:val="en-US" w:eastAsia="zh-CN" w:bidi="ar-SA"/>
              </w:rPr>
              <w:t>集中收集后密封暂存于危险废物暂存间，定期委托有危险废物资质的单位处置</w:t>
            </w:r>
            <w:r>
              <w:rPr>
                <w:rFonts w:hint="default" w:ascii="Times New Roman" w:hAnsi="Times New Roman" w:cs="Times New Roman"/>
                <w:color w:val="auto"/>
                <w:sz w:val="24"/>
                <w:szCs w:val="24"/>
                <w:highlight w:val="none"/>
              </w:rPr>
              <w:t>。</w:t>
            </w:r>
          </w:p>
          <w:p w14:paraId="5585D3AA">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污泥</w:t>
            </w:r>
          </w:p>
          <w:p w14:paraId="7E9EFAD1">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根据企业提供资料，水喷淋循环水池和污水处理设备产生的污泥量为40t/a，</w:t>
            </w:r>
            <w:r>
              <w:rPr>
                <w:rFonts w:hint="default" w:ascii="Times New Roman" w:hAnsi="Times New Roman" w:eastAsia="宋体" w:cs="Times New Roman"/>
                <w:color w:val="auto"/>
                <w:kern w:val="2"/>
                <w:sz w:val="24"/>
                <w:szCs w:val="24"/>
                <w:lang w:val="en-US" w:eastAsia="zh-CN" w:bidi="ar-SA"/>
              </w:rPr>
              <w:t>属于危险废物，危险废物类别HW49其他废物，废物代码</w:t>
            </w:r>
            <w:r>
              <w:rPr>
                <w:rFonts w:hint="eastAsia" w:ascii="Times New Roman" w:hAnsi="Times New Roman" w:eastAsia="宋体" w:cs="Times New Roman"/>
                <w:color w:val="auto"/>
                <w:kern w:val="2"/>
                <w:sz w:val="24"/>
                <w:szCs w:val="24"/>
                <w:lang w:val="en-US" w:eastAsia="zh-CN" w:bidi="ar-SA"/>
              </w:rPr>
              <w:t>772-006-49</w:t>
            </w:r>
            <w:r>
              <w:rPr>
                <w:rFonts w:hint="default" w:ascii="Times New Roman" w:hAnsi="Times New Roman" w:eastAsia="宋体" w:cs="Times New Roman"/>
                <w:color w:val="auto"/>
                <w:kern w:val="2"/>
                <w:sz w:val="24"/>
                <w:szCs w:val="24"/>
                <w:lang w:val="en-US" w:eastAsia="zh-CN" w:bidi="ar-SA"/>
              </w:rPr>
              <w:t>，集中收集后密封暂存于危险废物暂存间，定期委托有危险废物资质的单位处置。</w:t>
            </w:r>
          </w:p>
          <w:p w14:paraId="5EABC547">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3</w:t>
            </w:r>
            <w:r>
              <w:rPr>
                <w:rFonts w:hint="default" w:ascii="Times New Roman" w:hAnsi="Times New Roman" w:eastAsia="宋体" w:cs="Times New Roman"/>
                <w:color w:val="auto"/>
                <w:kern w:val="2"/>
                <w:sz w:val="24"/>
                <w:szCs w:val="24"/>
                <w:lang w:val="en-US" w:eastAsia="zh-CN" w:bidi="ar-SA"/>
              </w:rPr>
              <w:t>）废布袋</w:t>
            </w:r>
          </w:p>
          <w:p w14:paraId="4A75BD5E">
            <w:pPr>
              <w:keepNext w:val="0"/>
              <w:keepLines w:val="0"/>
              <w:numPr>
                <w:ilvl w:val="0"/>
                <w:numId w:val="0"/>
              </w:numPr>
              <w:suppressLineNumbers w:val="0"/>
              <w:adjustRightInd w:val="0"/>
              <w:snapToGrid w:val="0"/>
              <w:spacing w:before="0" w:beforeAutospacing="0" w:after="0" w:afterAutospacing="0" w:line="360" w:lineRule="auto"/>
              <w:ind w:left="0" w:leftChars="0" w:right="0"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lang w:val="en-US" w:eastAsia="zh-CN" w:bidi="ar-SA"/>
              </w:rPr>
              <w:t>项目</w:t>
            </w:r>
            <w:r>
              <w:rPr>
                <w:rFonts w:hint="eastAsia" w:ascii="Times New Roman" w:hAnsi="Times New Roman" w:eastAsia="宋体" w:cs="Times New Roman"/>
                <w:color w:val="auto"/>
                <w:kern w:val="2"/>
                <w:sz w:val="24"/>
                <w:szCs w:val="24"/>
                <w:lang w:val="en-US" w:eastAsia="zh-CN" w:bidi="ar-SA"/>
              </w:rPr>
              <w:t>布袋除尘器</w:t>
            </w:r>
            <w:r>
              <w:rPr>
                <w:rFonts w:hint="default" w:ascii="Times New Roman" w:hAnsi="Times New Roman" w:eastAsia="宋体" w:cs="Times New Roman"/>
                <w:color w:val="auto"/>
                <w:kern w:val="2"/>
                <w:sz w:val="24"/>
                <w:szCs w:val="24"/>
                <w:lang w:val="en-US" w:eastAsia="zh-CN" w:bidi="ar-SA"/>
              </w:rPr>
              <w:t>长时间运行后会产生废布袋，布袋每3个月更换一次，则废布袋产生量为80个/a，</w:t>
            </w:r>
            <w:r>
              <w:rPr>
                <w:rFonts w:hint="eastAsia" w:ascii="Times New Roman" w:hAnsi="Times New Roman" w:eastAsia="宋体" w:cs="Times New Roman"/>
                <w:color w:val="auto"/>
                <w:kern w:val="2"/>
                <w:sz w:val="24"/>
                <w:szCs w:val="24"/>
                <w:lang w:val="en-US" w:eastAsia="zh-CN" w:bidi="ar-SA"/>
              </w:rPr>
              <w:t>约为0.05t/a</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由于废布袋沾染氯化氢，属于</w:t>
            </w:r>
            <w:r>
              <w:rPr>
                <w:rFonts w:hint="default" w:ascii="Times New Roman" w:hAnsi="Times New Roman" w:eastAsia="宋体" w:cs="Times New Roman"/>
                <w:color w:val="auto"/>
                <w:kern w:val="2"/>
                <w:sz w:val="24"/>
                <w:szCs w:val="24"/>
                <w:lang w:val="en-US" w:eastAsia="zh-CN" w:bidi="ar-SA"/>
              </w:rPr>
              <w:t>危险废物，危险废物类别HW49其他废物，废物代码900-041-49，集中收集后密封暂存于危险废物暂存间，定期委托有危险废物资质的单位处置。</w:t>
            </w:r>
          </w:p>
          <w:p w14:paraId="60DBA5D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 w:val="24"/>
                <w:highlight w:val="none"/>
              </w:rPr>
              <w:t>经采取以上措施后，项目运营期间产生的固体废物对周围环境的影响较小</w:t>
            </w:r>
            <w:r>
              <w:rPr>
                <w:rFonts w:hint="default" w:ascii="Times New Roman" w:hAnsi="Times New Roman" w:cs="Times New Roman"/>
                <w:color w:val="auto"/>
                <w:szCs w:val="21"/>
                <w:highlight w:val="none"/>
              </w:rPr>
              <w:t>。</w:t>
            </w:r>
          </w:p>
          <w:p w14:paraId="05C48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4</w:t>
            </w:r>
            <w:r>
              <w:rPr>
                <w:rFonts w:hint="default" w:ascii="Times New Roman" w:hAnsi="Times New Roman" w:eastAsia="宋体" w:cs="Times New Roman"/>
                <w:b/>
                <w:color w:val="auto"/>
                <w:szCs w:val="21"/>
                <w:highlight w:val="none"/>
                <w:lang w:val="en-US" w:eastAsia="zh-CN"/>
              </w:rPr>
              <w:t xml:space="preserve"> 本项目固体废物产生及排放情况</w:t>
            </w:r>
          </w:p>
          <w:tbl>
            <w:tblPr>
              <w:tblStyle w:val="32"/>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453"/>
              <w:gridCol w:w="1415"/>
              <w:gridCol w:w="1157"/>
              <w:gridCol w:w="1114"/>
              <w:gridCol w:w="1093"/>
              <w:gridCol w:w="986"/>
              <w:gridCol w:w="1179"/>
              <w:gridCol w:w="1331"/>
            </w:tblGrid>
            <w:tr w14:paraId="22E968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noWrap w:val="0"/>
                  <w:vAlign w:val="center"/>
                </w:tcPr>
                <w:p w14:paraId="1B59D29B">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415" w:type="dxa"/>
                  <w:noWrap w:val="0"/>
                  <w:vAlign w:val="center"/>
                </w:tcPr>
                <w:p w14:paraId="3BB5E031">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废物名称</w:t>
                  </w:r>
                </w:p>
              </w:tc>
              <w:tc>
                <w:tcPr>
                  <w:tcW w:w="1157" w:type="dxa"/>
                  <w:noWrap w:val="0"/>
                  <w:vAlign w:val="center"/>
                </w:tcPr>
                <w:p w14:paraId="2E78A41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产生环节</w:t>
                  </w:r>
                </w:p>
              </w:tc>
              <w:tc>
                <w:tcPr>
                  <w:tcW w:w="1114" w:type="dxa"/>
                  <w:noWrap w:val="0"/>
                  <w:vAlign w:val="center"/>
                </w:tcPr>
                <w:p w14:paraId="5CFD267F">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废物属性</w:t>
                  </w:r>
                </w:p>
              </w:tc>
              <w:tc>
                <w:tcPr>
                  <w:tcW w:w="1093" w:type="dxa"/>
                  <w:noWrap w:val="0"/>
                  <w:vAlign w:val="center"/>
                </w:tcPr>
                <w:p w14:paraId="3B0992EC">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物理性状</w:t>
                  </w:r>
                </w:p>
              </w:tc>
              <w:tc>
                <w:tcPr>
                  <w:tcW w:w="986" w:type="dxa"/>
                  <w:noWrap w:val="0"/>
                  <w:vAlign w:val="center"/>
                </w:tcPr>
                <w:p w14:paraId="1C72251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产生量</w:t>
                  </w:r>
                </w:p>
              </w:tc>
              <w:tc>
                <w:tcPr>
                  <w:tcW w:w="1179" w:type="dxa"/>
                  <w:noWrap w:val="0"/>
                  <w:vAlign w:val="center"/>
                </w:tcPr>
                <w:p w14:paraId="0C2347E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贮存</w:t>
                  </w:r>
                </w:p>
                <w:p w14:paraId="133DC0C8">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方式</w:t>
                  </w:r>
                </w:p>
              </w:tc>
              <w:tc>
                <w:tcPr>
                  <w:tcW w:w="1331" w:type="dxa"/>
                  <w:noWrap w:val="0"/>
                  <w:vAlign w:val="center"/>
                </w:tcPr>
                <w:p w14:paraId="3B6939C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利用处置方式和去向</w:t>
                  </w:r>
                </w:p>
              </w:tc>
            </w:tr>
            <w:tr w14:paraId="54E880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noWrap w:val="0"/>
                  <w:vAlign w:val="center"/>
                </w:tcPr>
                <w:p w14:paraId="13E705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w:t>
                  </w:r>
                </w:p>
              </w:tc>
              <w:tc>
                <w:tcPr>
                  <w:tcW w:w="1415" w:type="dxa"/>
                  <w:noWrap w:val="0"/>
                  <w:vAlign w:val="center"/>
                </w:tcPr>
                <w:p w14:paraId="4896DD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157" w:type="dxa"/>
                  <w:noWrap w:val="0"/>
                  <w:vAlign w:val="center"/>
                </w:tcPr>
                <w:p w14:paraId="6F4B34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生活过程</w:t>
                  </w:r>
                </w:p>
              </w:tc>
              <w:tc>
                <w:tcPr>
                  <w:tcW w:w="1114" w:type="dxa"/>
                  <w:noWrap w:val="0"/>
                  <w:vAlign w:val="center"/>
                </w:tcPr>
                <w:p w14:paraId="4F010D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093" w:type="dxa"/>
                  <w:noWrap w:val="0"/>
                  <w:vAlign w:val="center"/>
                </w:tcPr>
                <w:p w14:paraId="330260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986" w:type="dxa"/>
                  <w:noWrap w:val="0"/>
                  <w:vAlign w:val="center"/>
                </w:tcPr>
                <w:p w14:paraId="54F442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t/a</w:t>
                  </w:r>
                </w:p>
              </w:tc>
              <w:tc>
                <w:tcPr>
                  <w:tcW w:w="1179" w:type="dxa"/>
                  <w:noWrap w:val="0"/>
                  <w:vAlign w:val="center"/>
                </w:tcPr>
                <w:p w14:paraId="535219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垃圾桶</w:t>
                  </w:r>
                </w:p>
              </w:tc>
              <w:tc>
                <w:tcPr>
                  <w:tcW w:w="1331" w:type="dxa"/>
                  <w:noWrap w:val="0"/>
                  <w:vAlign w:val="center"/>
                </w:tcPr>
                <w:p w14:paraId="2853986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环卫部门统一收集处理</w:t>
                  </w:r>
                </w:p>
              </w:tc>
            </w:tr>
            <w:tr w14:paraId="377229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noWrap w:val="0"/>
                  <w:vAlign w:val="center"/>
                </w:tcPr>
                <w:p w14:paraId="232EC4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415" w:type="dxa"/>
                  <w:noWrap w:val="0"/>
                  <w:vAlign w:val="center"/>
                </w:tcPr>
                <w:p w14:paraId="2792D5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布袋除尘器收集粉尘</w:t>
                  </w:r>
                </w:p>
              </w:tc>
              <w:tc>
                <w:tcPr>
                  <w:tcW w:w="1157" w:type="dxa"/>
                  <w:noWrap w:val="0"/>
                  <w:vAlign w:val="center"/>
                </w:tcPr>
                <w:p w14:paraId="2C6F73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环保设施</w:t>
                  </w:r>
                </w:p>
              </w:tc>
              <w:tc>
                <w:tcPr>
                  <w:tcW w:w="1114" w:type="dxa"/>
                  <w:vMerge w:val="restart"/>
                  <w:noWrap w:val="0"/>
                  <w:vAlign w:val="center"/>
                </w:tcPr>
                <w:p w14:paraId="49B8D3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一般固废</w:t>
                  </w:r>
                </w:p>
              </w:tc>
              <w:tc>
                <w:tcPr>
                  <w:tcW w:w="1093" w:type="dxa"/>
                  <w:noWrap w:val="0"/>
                  <w:vAlign w:val="center"/>
                </w:tcPr>
                <w:p w14:paraId="4284F3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986" w:type="dxa"/>
                  <w:noWrap w:val="0"/>
                  <w:vAlign w:val="center"/>
                </w:tcPr>
                <w:p w14:paraId="514451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2.04</w:t>
                  </w:r>
                  <w:r>
                    <w:rPr>
                      <w:rFonts w:hint="default" w:ascii="Times New Roman" w:hAnsi="Times New Roman" w:eastAsia="宋体" w:cs="Times New Roman"/>
                      <w:color w:val="auto"/>
                      <w:sz w:val="21"/>
                      <w:szCs w:val="21"/>
                      <w:highlight w:val="none"/>
                      <w:lang w:val="en-US" w:eastAsia="zh-CN"/>
                    </w:rPr>
                    <w:t>t/a</w:t>
                  </w:r>
                </w:p>
              </w:tc>
              <w:tc>
                <w:tcPr>
                  <w:tcW w:w="1179" w:type="dxa"/>
                  <w:vMerge w:val="restart"/>
                  <w:noWrap w:val="0"/>
                  <w:vAlign w:val="center"/>
                </w:tcPr>
                <w:p w14:paraId="19EA31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一般工业固体废物区贮存</w:t>
                  </w:r>
                </w:p>
              </w:tc>
              <w:tc>
                <w:tcPr>
                  <w:tcW w:w="1331" w:type="dxa"/>
                  <w:vMerge w:val="restart"/>
                  <w:noWrap w:val="0"/>
                  <w:vAlign w:val="center"/>
                </w:tcPr>
                <w:p w14:paraId="660234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回收利用</w:t>
                  </w:r>
                </w:p>
              </w:tc>
            </w:tr>
            <w:tr w14:paraId="2F2BBC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noWrap w:val="0"/>
                  <w:vAlign w:val="center"/>
                </w:tcPr>
                <w:p w14:paraId="7B68AF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w:t>
                  </w:r>
                </w:p>
              </w:tc>
              <w:tc>
                <w:tcPr>
                  <w:tcW w:w="1415" w:type="dxa"/>
                  <w:noWrap w:val="0"/>
                  <w:vAlign w:val="center"/>
                </w:tcPr>
                <w:p w14:paraId="61D3F1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不合格产品</w:t>
                  </w:r>
                </w:p>
              </w:tc>
              <w:tc>
                <w:tcPr>
                  <w:tcW w:w="1157" w:type="dxa"/>
                  <w:noWrap w:val="0"/>
                  <w:vAlign w:val="center"/>
                </w:tcPr>
                <w:p w14:paraId="2B431B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生产过程</w:t>
                  </w:r>
                </w:p>
              </w:tc>
              <w:tc>
                <w:tcPr>
                  <w:tcW w:w="1114" w:type="dxa"/>
                  <w:vMerge w:val="continue"/>
                  <w:noWrap w:val="0"/>
                  <w:vAlign w:val="center"/>
                </w:tcPr>
                <w:p w14:paraId="6BCE4A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093" w:type="dxa"/>
                  <w:noWrap w:val="0"/>
                  <w:vAlign w:val="center"/>
                </w:tcPr>
                <w:p w14:paraId="280250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986" w:type="dxa"/>
                  <w:noWrap w:val="0"/>
                  <w:vAlign w:val="center"/>
                </w:tcPr>
                <w:p w14:paraId="7A5E954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t/a</w:t>
                  </w:r>
                </w:p>
              </w:tc>
              <w:tc>
                <w:tcPr>
                  <w:tcW w:w="1179" w:type="dxa"/>
                  <w:vMerge w:val="continue"/>
                  <w:noWrap w:val="0"/>
                  <w:vAlign w:val="center"/>
                </w:tcPr>
                <w:p w14:paraId="15173D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331" w:type="dxa"/>
                  <w:vMerge w:val="continue"/>
                  <w:noWrap w:val="0"/>
                  <w:vAlign w:val="center"/>
                </w:tcPr>
                <w:p w14:paraId="14BF998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r>
            <w:tr w14:paraId="30500F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noWrap w:val="0"/>
                  <w:vAlign w:val="center"/>
                </w:tcPr>
                <w:p w14:paraId="63B153E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w:t>
                  </w:r>
                </w:p>
              </w:tc>
              <w:tc>
                <w:tcPr>
                  <w:tcW w:w="1415" w:type="dxa"/>
                  <w:noWrap w:val="0"/>
                  <w:vAlign w:val="center"/>
                </w:tcPr>
                <w:p w14:paraId="75E563C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废包装袋</w:t>
                  </w:r>
                </w:p>
              </w:tc>
              <w:tc>
                <w:tcPr>
                  <w:tcW w:w="1157" w:type="dxa"/>
                  <w:noWrap w:val="0"/>
                  <w:vAlign w:val="center"/>
                </w:tcPr>
                <w:p w14:paraId="55CC57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生产过程</w:t>
                  </w:r>
                </w:p>
              </w:tc>
              <w:tc>
                <w:tcPr>
                  <w:tcW w:w="1114" w:type="dxa"/>
                  <w:vMerge w:val="continue"/>
                  <w:noWrap w:val="0"/>
                  <w:vAlign w:val="center"/>
                </w:tcPr>
                <w:p w14:paraId="01E961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093" w:type="dxa"/>
                  <w:noWrap w:val="0"/>
                  <w:vAlign w:val="center"/>
                </w:tcPr>
                <w:p w14:paraId="4CD79D4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986" w:type="dxa"/>
                  <w:noWrap w:val="0"/>
                  <w:vAlign w:val="center"/>
                </w:tcPr>
                <w:p w14:paraId="452BEF8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t/a</w:t>
                  </w:r>
                </w:p>
              </w:tc>
              <w:tc>
                <w:tcPr>
                  <w:tcW w:w="1179" w:type="dxa"/>
                  <w:vMerge w:val="continue"/>
                  <w:noWrap w:val="0"/>
                  <w:vAlign w:val="center"/>
                </w:tcPr>
                <w:p w14:paraId="51BCA7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1331" w:type="dxa"/>
                  <w:vMerge w:val="restart"/>
                  <w:noWrap w:val="0"/>
                  <w:vAlign w:val="center"/>
                </w:tcPr>
                <w:p w14:paraId="0DC81F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收集后外售给有处置能力和资质单位处置。</w:t>
                  </w:r>
                </w:p>
              </w:tc>
            </w:tr>
            <w:tr w14:paraId="75D84C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shd w:val="clear" w:color="auto" w:fill="auto"/>
                  <w:noWrap w:val="0"/>
                  <w:vAlign w:val="center"/>
                </w:tcPr>
                <w:p w14:paraId="40B8CB4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w:t>
                  </w:r>
                </w:p>
              </w:tc>
              <w:tc>
                <w:tcPr>
                  <w:tcW w:w="1415" w:type="dxa"/>
                  <w:shd w:val="clear" w:color="auto" w:fill="auto"/>
                  <w:noWrap w:val="0"/>
                  <w:vAlign w:val="center"/>
                </w:tcPr>
                <w:p w14:paraId="5F6FE4E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废滤料</w:t>
                  </w:r>
                </w:p>
              </w:tc>
              <w:tc>
                <w:tcPr>
                  <w:tcW w:w="1157" w:type="dxa"/>
                  <w:noWrap w:val="0"/>
                  <w:vAlign w:val="center"/>
                </w:tcPr>
                <w:p w14:paraId="4AD96DF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环保设施</w:t>
                  </w:r>
                </w:p>
              </w:tc>
              <w:tc>
                <w:tcPr>
                  <w:tcW w:w="1114" w:type="dxa"/>
                  <w:vMerge w:val="continue"/>
                  <w:noWrap w:val="0"/>
                  <w:vAlign w:val="center"/>
                </w:tcPr>
                <w:p w14:paraId="02758F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093" w:type="dxa"/>
                  <w:shd w:val="clear" w:color="auto" w:fill="auto"/>
                  <w:noWrap w:val="0"/>
                  <w:vAlign w:val="center"/>
                </w:tcPr>
                <w:p w14:paraId="707620B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固态</w:t>
                  </w:r>
                </w:p>
              </w:tc>
              <w:tc>
                <w:tcPr>
                  <w:tcW w:w="986" w:type="dxa"/>
                  <w:shd w:val="clear" w:color="auto" w:fill="auto"/>
                  <w:noWrap w:val="0"/>
                  <w:vAlign w:val="center"/>
                </w:tcPr>
                <w:p w14:paraId="754DADC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0.3t/a</w:t>
                  </w:r>
                </w:p>
              </w:tc>
              <w:tc>
                <w:tcPr>
                  <w:tcW w:w="1179" w:type="dxa"/>
                  <w:vMerge w:val="continue"/>
                  <w:noWrap w:val="0"/>
                  <w:vAlign w:val="center"/>
                </w:tcPr>
                <w:p w14:paraId="325301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1331" w:type="dxa"/>
                  <w:vMerge w:val="continue"/>
                  <w:noWrap w:val="0"/>
                  <w:vAlign w:val="center"/>
                </w:tcPr>
                <w:p w14:paraId="402D44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r>
            <w:tr w14:paraId="4790EF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shd w:val="clear" w:color="auto" w:fill="auto"/>
                  <w:noWrap w:val="0"/>
                  <w:vAlign w:val="center"/>
                </w:tcPr>
                <w:p w14:paraId="220AA8D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w:t>
                  </w:r>
                </w:p>
              </w:tc>
              <w:tc>
                <w:tcPr>
                  <w:tcW w:w="1415" w:type="dxa"/>
                  <w:noWrap w:val="0"/>
                  <w:vAlign w:val="center"/>
                </w:tcPr>
                <w:p w14:paraId="411978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废离子交换树脂</w:t>
                  </w:r>
                </w:p>
              </w:tc>
              <w:tc>
                <w:tcPr>
                  <w:tcW w:w="1157" w:type="dxa"/>
                  <w:noWrap w:val="0"/>
                  <w:vAlign w:val="center"/>
                </w:tcPr>
                <w:p w14:paraId="397A26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环保设施</w:t>
                  </w:r>
                </w:p>
              </w:tc>
              <w:tc>
                <w:tcPr>
                  <w:tcW w:w="1114" w:type="dxa"/>
                  <w:vMerge w:val="continue"/>
                  <w:noWrap w:val="0"/>
                  <w:vAlign w:val="center"/>
                </w:tcPr>
                <w:p w14:paraId="0BD024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093" w:type="dxa"/>
                  <w:noWrap w:val="0"/>
                  <w:vAlign w:val="center"/>
                </w:tcPr>
                <w:p w14:paraId="7E1217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固态</w:t>
                  </w:r>
                </w:p>
              </w:tc>
              <w:tc>
                <w:tcPr>
                  <w:tcW w:w="986" w:type="dxa"/>
                  <w:noWrap w:val="0"/>
                  <w:vAlign w:val="center"/>
                </w:tcPr>
                <w:p w14:paraId="7E2CDF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r>
                    <w:rPr>
                      <w:rFonts w:hint="eastAsia" w:ascii="Times New Roman" w:hAnsi="Times New Roman" w:eastAsia="宋体" w:cs="Times New Roman"/>
                      <w:color w:val="auto"/>
                      <w:sz w:val="21"/>
                      <w:szCs w:val="21"/>
                      <w:highlight w:val="none"/>
                      <w:lang w:val="en-US" w:eastAsia="zh-CN"/>
                    </w:rPr>
                    <w:t>t/a</w:t>
                  </w:r>
                </w:p>
              </w:tc>
              <w:tc>
                <w:tcPr>
                  <w:tcW w:w="1179" w:type="dxa"/>
                  <w:vMerge w:val="continue"/>
                  <w:noWrap w:val="0"/>
                  <w:vAlign w:val="center"/>
                </w:tcPr>
                <w:p w14:paraId="3BA5C3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1331" w:type="dxa"/>
                  <w:vMerge w:val="continue"/>
                  <w:noWrap w:val="0"/>
                  <w:vAlign w:val="center"/>
                </w:tcPr>
                <w:p w14:paraId="2DA858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r>
            <w:tr w14:paraId="154111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shd w:val="clear" w:color="auto" w:fill="auto"/>
                  <w:noWrap w:val="0"/>
                  <w:vAlign w:val="center"/>
                </w:tcPr>
                <w:p w14:paraId="604CC26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w:t>
                  </w:r>
                </w:p>
              </w:tc>
              <w:tc>
                <w:tcPr>
                  <w:tcW w:w="1415" w:type="dxa"/>
                  <w:shd w:val="clear" w:color="auto" w:fill="auto"/>
                  <w:noWrap w:val="0"/>
                  <w:vAlign w:val="center"/>
                </w:tcPr>
                <w:p w14:paraId="5D5CF78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废酸桶</w:t>
                  </w:r>
                </w:p>
              </w:tc>
              <w:tc>
                <w:tcPr>
                  <w:tcW w:w="1157" w:type="dxa"/>
                  <w:shd w:val="clear" w:color="auto" w:fill="auto"/>
                  <w:noWrap w:val="0"/>
                  <w:vAlign w:val="center"/>
                </w:tcPr>
                <w:p w14:paraId="0584275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生产过程</w:t>
                  </w:r>
                </w:p>
              </w:tc>
              <w:tc>
                <w:tcPr>
                  <w:tcW w:w="1114" w:type="dxa"/>
                  <w:vMerge w:val="restart"/>
                  <w:noWrap w:val="0"/>
                  <w:vAlign w:val="center"/>
                </w:tcPr>
                <w:p w14:paraId="0D2488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w:t>
                  </w:r>
                </w:p>
              </w:tc>
              <w:tc>
                <w:tcPr>
                  <w:tcW w:w="1093" w:type="dxa"/>
                  <w:shd w:val="clear" w:color="auto" w:fill="auto"/>
                  <w:noWrap w:val="0"/>
                  <w:vAlign w:val="center"/>
                </w:tcPr>
                <w:p w14:paraId="2554027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986" w:type="dxa"/>
                  <w:shd w:val="clear" w:color="auto" w:fill="auto"/>
                  <w:noWrap w:val="0"/>
                  <w:vAlign w:val="center"/>
                </w:tcPr>
                <w:p w14:paraId="1744FE1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lang w:val="en-US" w:eastAsia="zh-CN"/>
                    </w:rPr>
                    <w:t>t/a</w:t>
                  </w:r>
                </w:p>
              </w:tc>
              <w:tc>
                <w:tcPr>
                  <w:tcW w:w="1179" w:type="dxa"/>
                  <w:vMerge w:val="restart"/>
                  <w:noWrap w:val="0"/>
                  <w:vAlign w:val="center"/>
                </w:tcPr>
                <w:p w14:paraId="35F110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危废暂存间</w:t>
                  </w:r>
                </w:p>
              </w:tc>
              <w:tc>
                <w:tcPr>
                  <w:tcW w:w="1331" w:type="dxa"/>
                  <w:vMerge w:val="restart"/>
                  <w:noWrap w:val="0"/>
                  <w:vAlign w:val="center"/>
                </w:tcPr>
                <w:p w14:paraId="0013236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委托资质单位处置</w:t>
                  </w:r>
                </w:p>
              </w:tc>
            </w:tr>
            <w:tr w14:paraId="216CFD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shd w:val="clear" w:color="auto" w:fill="auto"/>
                  <w:noWrap w:val="0"/>
                  <w:vAlign w:val="center"/>
                </w:tcPr>
                <w:p w14:paraId="48E8A0F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w:t>
                  </w:r>
                </w:p>
              </w:tc>
              <w:tc>
                <w:tcPr>
                  <w:tcW w:w="1415" w:type="dxa"/>
                  <w:shd w:val="clear" w:color="auto" w:fill="auto"/>
                  <w:noWrap w:val="0"/>
                  <w:vAlign w:val="center"/>
                </w:tcPr>
                <w:p w14:paraId="0AAA96F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污泥</w:t>
                  </w:r>
                </w:p>
              </w:tc>
              <w:tc>
                <w:tcPr>
                  <w:tcW w:w="1157" w:type="dxa"/>
                  <w:shd w:val="clear" w:color="auto" w:fill="auto"/>
                  <w:noWrap w:val="0"/>
                  <w:vAlign w:val="center"/>
                </w:tcPr>
                <w:p w14:paraId="7131DA8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环保设施</w:t>
                  </w:r>
                </w:p>
              </w:tc>
              <w:tc>
                <w:tcPr>
                  <w:tcW w:w="1114" w:type="dxa"/>
                  <w:vMerge w:val="continue"/>
                  <w:noWrap w:val="0"/>
                  <w:vAlign w:val="center"/>
                </w:tcPr>
                <w:p w14:paraId="736AE8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093" w:type="dxa"/>
                  <w:shd w:val="clear" w:color="auto" w:fill="auto"/>
                  <w:noWrap w:val="0"/>
                  <w:vAlign w:val="center"/>
                </w:tcPr>
                <w:p w14:paraId="5654074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986" w:type="dxa"/>
                  <w:shd w:val="clear" w:color="auto" w:fill="auto"/>
                  <w:noWrap w:val="0"/>
                  <w:vAlign w:val="center"/>
                </w:tcPr>
                <w:p w14:paraId="10DF625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t/a</w:t>
                  </w:r>
                </w:p>
              </w:tc>
              <w:tc>
                <w:tcPr>
                  <w:tcW w:w="1179" w:type="dxa"/>
                  <w:vMerge w:val="continue"/>
                  <w:noWrap w:val="0"/>
                  <w:vAlign w:val="center"/>
                </w:tcPr>
                <w:p w14:paraId="710DA7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1331" w:type="dxa"/>
                  <w:vMerge w:val="continue"/>
                  <w:noWrap w:val="0"/>
                  <w:vAlign w:val="center"/>
                </w:tcPr>
                <w:p w14:paraId="152597F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2172AE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453" w:type="dxa"/>
                  <w:noWrap w:val="0"/>
                  <w:vAlign w:val="center"/>
                </w:tcPr>
                <w:p w14:paraId="3438772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w:t>
                  </w:r>
                </w:p>
              </w:tc>
              <w:tc>
                <w:tcPr>
                  <w:tcW w:w="1415" w:type="dxa"/>
                  <w:shd w:val="clear" w:color="auto" w:fill="auto"/>
                  <w:noWrap w:val="0"/>
                  <w:vAlign w:val="center"/>
                </w:tcPr>
                <w:p w14:paraId="2FD2C41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废布袋</w:t>
                  </w:r>
                </w:p>
              </w:tc>
              <w:tc>
                <w:tcPr>
                  <w:tcW w:w="1157" w:type="dxa"/>
                  <w:shd w:val="clear" w:color="auto" w:fill="auto"/>
                  <w:noWrap w:val="0"/>
                  <w:vAlign w:val="center"/>
                </w:tcPr>
                <w:p w14:paraId="24A9941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环保设施</w:t>
                  </w:r>
                </w:p>
              </w:tc>
              <w:tc>
                <w:tcPr>
                  <w:tcW w:w="1114" w:type="dxa"/>
                  <w:vMerge w:val="continue"/>
                  <w:noWrap w:val="0"/>
                  <w:vAlign w:val="center"/>
                </w:tcPr>
                <w:p w14:paraId="1DD2D32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093" w:type="dxa"/>
                  <w:shd w:val="clear" w:color="auto" w:fill="auto"/>
                  <w:noWrap w:val="0"/>
                  <w:vAlign w:val="center"/>
                </w:tcPr>
                <w:p w14:paraId="49A0877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986" w:type="dxa"/>
                  <w:shd w:val="clear" w:color="auto" w:fill="auto"/>
                  <w:noWrap w:val="0"/>
                  <w:vAlign w:val="center"/>
                </w:tcPr>
                <w:p w14:paraId="5244104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c>
                <w:tcPr>
                  <w:tcW w:w="1179" w:type="dxa"/>
                  <w:vMerge w:val="continue"/>
                  <w:noWrap w:val="0"/>
                  <w:vAlign w:val="center"/>
                </w:tcPr>
                <w:p w14:paraId="6F5CB3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1331" w:type="dxa"/>
                  <w:vMerge w:val="continue"/>
                  <w:noWrap w:val="0"/>
                  <w:vAlign w:val="center"/>
                </w:tcPr>
                <w:p w14:paraId="123FE66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r>
          </w:tbl>
          <w:p w14:paraId="24F813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5</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建设项目危险废物贮存场所（设施）基本情况表</w:t>
            </w:r>
          </w:p>
          <w:tbl>
            <w:tblPr>
              <w:tblStyle w:val="32"/>
              <w:tblW w:w="499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387"/>
              <w:gridCol w:w="888"/>
              <w:gridCol w:w="1352"/>
              <w:gridCol w:w="803"/>
              <w:gridCol w:w="1086"/>
              <w:gridCol w:w="672"/>
              <w:gridCol w:w="906"/>
              <w:gridCol w:w="955"/>
              <w:gridCol w:w="755"/>
              <w:gridCol w:w="917"/>
            </w:tblGrid>
            <w:tr w14:paraId="02457C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387" w:type="dxa"/>
                  <w:noWrap w:val="0"/>
                  <w:vAlign w:val="center"/>
                </w:tcPr>
                <w:p w14:paraId="4FBA3801">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888" w:type="dxa"/>
                  <w:noWrap w:val="0"/>
                  <w:vAlign w:val="center"/>
                </w:tcPr>
                <w:p w14:paraId="15A96386">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贮存场所（设施）</w:t>
                  </w:r>
                </w:p>
                <w:p w14:paraId="0AA92B26">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名称</w:t>
                  </w:r>
                </w:p>
              </w:tc>
              <w:tc>
                <w:tcPr>
                  <w:tcW w:w="1352" w:type="dxa"/>
                  <w:noWrap w:val="0"/>
                  <w:vAlign w:val="center"/>
                </w:tcPr>
                <w:p w14:paraId="48383E36">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危险废物名称</w:t>
                  </w:r>
                </w:p>
              </w:tc>
              <w:tc>
                <w:tcPr>
                  <w:tcW w:w="803" w:type="dxa"/>
                  <w:noWrap w:val="0"/>
                  <w:vAlign w:val="center"/>
                </w:tcPr>
                <w:p w14:paraId="57B7824E">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危险废物特性</w:t>
                  </w:r>
                </w:p>
              </w:tc>
              <w:tc>
                <w:tcPr>
                  <w:tcW w:w="1086" w:type="dxa"/>
                  <w:noWrap w:val="0"/>
                  <w:vAlign w:val="center"/>
                </w:tcPr>
                <w:p w14:paraId="3AB82F14">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危险废物代码</w:t>
                  </w:r>
                </w:p>
              </w:tc>
              <w:tc>
                <w:tcPr>
                  <w:tcW w:w="672" w:type="dxa"/>
                  <w:noWrap w:val="0"/>
                  <w:vAlign w:val="center"/>
                </w:tcPr>
                <w:p w14:paraId="2100A36B">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位置</w:t>
                  </w:r>
                </w:p>
              </w:tc>
              <w:tc>
                <w:tcPr>
                  <w:tcW w:w="906" w:type="dxa"/>
                  <w:noWrap w:val="0"/>
                  <w:vAlign w:val="center"/>
                </w:tcPr>
                <w:p w14:paraId="63841526">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占地面积</w:t>
                  </w:r>
                </w:p>
              </w:tc>
              <w:tc>
                <w:tcPr>
                  <w:tcW w:w="955" w:type="dxa"/>
                  <w:noWrap w:val="0"/>
                  <w:vAlign w:val="center"/>
                </w:tcPr>
                <w:p w14:paraId="11124D78">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贮存方式</w:t>
                  </w:r>
                </w:p>
              </w:tc>
              <w:tc>
                <w:tcPr>
                  <w:tcW w:w="755" w:type="dxa"/>
                  <w:noWrap w:val="0"/>
                  <w:vAlign w:val="center"/>
                </w:tcPr>
                <w:p w14:paraId="29F651D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lang w:eastAsia="zh-CN"/>
                    </w:rPr>
                  </w:pPr>
                  <w:r>
                    <w:rPr>
                      <w:rFonts w:hint="eastAsia" w:ascii="Times New Roman" w:hAnsi="Times New Roman" w:cs="Times New Roman"/>
                      <w:b/>
                      <w:bCs/>
                      <w:color w:val="auto"/>
                      <w:szCs w:val="21"/>
                      <w:highlight w:val="none"/>
                      <w:lang w:val="en-US" w:eastAsia="zh-CN"/>
                    </w:rPr>
                    <w:t>储存能力</w:t>
                  </w:r>
                </w:p>
              </w:tc>
              <w:tc>
                <w:tcPr>
                  <w:tcW w:w="917" w:type="dxa"/>
                  <w:noWrap w:val="0"/>
                  <w:vAlign w:val="center"/>
                </w:tcPr>
                <w:p w14:paraId="3280400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贮存周期</w:t>
                  </w:r>
                </w:p>
              </w:tc>
            </w:tr>
            <w:tr w14:paraId="2EC273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387" w:type="dxa"/>
                  <w:noWrap w:val="0"/>
                  <w:vAlign w:val="center"/>
                </w:tcPr>
                <w:p w14:paraId="0B96B6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eastAsia="zh-CN"/>
                    </w:rPr>
                    <w:t>1</w:t>
                  </w:r>
                </w:p>
              </w:tc>
              <w:tc>
                <w:tcPr>
                  <w:tcW w:w="888" w:type="dxa"/>
                  <w:vMerge w:val="restart"/>
                  <w:noWrap w:val="0"/>
                  <w:vAlign w:val="center"/>
                </w:tcPr>
                <w:p w14:paraId="31C8E9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危废</w:t>
                  </w:r>
                </w:p>
                <w:p w14:paraId="55CBC6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暂存间</w:t>
                  </w:r>
                </w:p>
              </w:tc>
              <w:tc>
                <w:tcPr>
                  <w:tcW w:w="1352" w:type="dxa"/>
                  <w:shd w:val="clear" w:color="auto" w:fill="auto"/>
                  <w:noWrap w:val="0"/>
                  <w:vAlign w:val="center"/>
                </w:tcPr>
                <w:p w14:paraId="2D438BB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废酸桶</w:t>
                  </w:r>
                </w:p>
              </w:tc>
              <w:tc>
                <w:tcPr>
                  <w:tcW w:w="803" w:type="dxa"/>
                  <w:shd w:val="clear" w:color="auto" w:fill="auto"/>
                  <w:noWrap w:val="0"/>
                  <w:vAlign w:val="center"/>
                </w:tcPr>
                <w:p w14:paraId="36DE62F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4"/>
                    </w:rPr>
                    <w:t>T/In</w:t>
                  </w:r>
                </w:p>
              </w:tc>
              <w:tc>
                <w:tcPr>
                  <w:tcW w:w="1086" w:type="dxa"/>
                  <w:shd w:val="clear" w:color="auto" w:fill="auto"/>
                  <w:noWrap w:val="0"/>
                  <w:vAlign w:val="center"/>
                </w:tcPr>
                <w:p w14:paraId="2DCBF4E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900-041-49</w:t>
                  </w:r>
                </w:p>
              </w:tc>
              <w:tc>
                <w:tcPr>
                  <w:tcW w:w="672" w:type="dxa"/>
                  <w:vMerge w:val="restart"/>
                  <w:noWrap w:val="0"/>
                  <w:vAlign w:val="center"/>
                </w:tcPr>
                <w:p w14:paraId="7E15EB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厂区内</w:t>
                  </w:r>
                </w:p>
              </w:tc>
              <w:tc>
                <w:tcPr>
                  <w:tcW w:w="906" w:type="dxa"/>
                  <w:vMerge w:val="restart"/>
                  <w:noWrap w:val="0"/>
                  <w:vAlign w:val="center"/>
                </w:tcPr>
                <w:p w14:paraId="4447FBA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p>
              </w:tc>
              <w:tc>
                <w:tcPr>
                  <w:tcW w:w="955" w:type="dxa"/>
                  <w:shd w:val="clear" w:color="auto" w:fill="auto"/>
                  <w:noWrap w:val="0"/>
                  <w:vAlign w:val="center"/>
                </w:tcPr>
                <w:p w14:paraId="1B4DD21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w:t>
                  </w:r>
                </w:p>
              </w:tc>
              <w:tc>
                <w:tcPr>
                  <w:tcW w:w="755" w:type="dxa"/>
                  <w:tcBorders>
                    <w:bottom w:val="single" w:color="auto" w:sz="4" w:space="0"/>
                  </w:tcBorders>
                  <w:shd w:val="clear" w:color="auto" w:fill="auto"/>
                  <w:noWrap w:val="0"/>
                  <w:vAlign w:val="center"/>
                </w:tcPr>
                <w:p w14:paraId="4556DD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13</w:t>
                  </w:r>
                  <w:r>
                    <w:rPr>
                      <w:rFonts w:hint="default" w:ascii="Times New Roman" w:hAnsi="Times New Roman" w:eastAsia="宋体" w:cs="Times New Roman"/>
                      <w:color w:val="auto"/>
                      <w:sz w:val="21"/>
                      <w:szCs w:val="21"/>
                      <w:highlight w:val="none"/>
                      <w:lang w:val="en-US" w:eastAsia="zh-CN"/>
                    </w:rPr>
                    <w:t>t/a</w:t>
                  </w:r>
                </w:p>
              </w:tc>
              <w:tc>
                <w:tcPr>
                  <w:tcW w:w="917" w:type="dxa"/>
                  <w:tcBorders>
                    <w:bottom w:val="single" w:color="auto" w:sz="4" w:space="0"/>
                  </w:tcBorders>
                  <w:shd w:val="clear" w:color="auto" w:fill="auto"/>
                  <w:noWrap w:val="0"/>
                  <w:vAlign w:val="center"/>
                </w:tcPr>
                <w:p w14:paraId="102B085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个月</w:t>
                  </w:r>
                </w:p>
              </w:tc>
            </w:tr>
            <w:tr w14:paraId="45EF25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387" w:type="dxa"/>
                  <w:noWrap w:val="0"/>
                  <w:vAlign w:val="center"/>
                </w:tcPr>
                <w:p w14:paraId="62D1C80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2</w:t>
                  </w:r>
                </w:p>
              </w:tc>
              <w:tc>
                <w:tcPr>
                  <w:tcW w:w="888" w:type="dxa"/>
                  <w:vMerge w:val="continue"/>
                  <w:noWrap w:val="0"/>
                  <w:vAlign w:val="center"/>
                </w:tcPr>
                <w:p w14:paraId="73D9CD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352" w:type="dxa"/>
                  <w:shd w:val="clear" w:color="auto" w:fill="auto"/>
                  <w:noWrap w:val="0"/>
                  <w:vAlign w:val="center"/>
                </w:tcPr>
                <w:p w14:paraId="207A053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污泥</w:t>
                  </w:r>
                </w:p>
              </w:tc>
              <w:tc>
                <w:tcPr>
                  <w:tcW w:w="803" w:type="dxa"/>
                  <w:shd w:val="clear" w:color="auto" w:fill="auto"/>
                  <w:noWrap w:val="0"/>
                  <w:vAlign w:val="center"/>
                </w:tcPr>
                <w:p w14:paraId="03FAC4F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4"/>
                    </w:rPr>
                    <w:t>T/In</w:t>
                  </w:r>
                </w:p>
              </w:tc>
              <w:tc>
                <w:tcPr>
                  <w:tcW w:w="1086" w:type="dxa"/>
                  <w:shd w:val="clear" w:color="auto" w:fill="auto"/>
                  <w:noWrap w:val="0"/>
                  <w:vAlign w:val="center"/>
                </w:tcPr>
                <w:p w14:paraId="42FC433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772-006-49</w:t>
                  </w:r>
                </w:p>
              </w:tc>
              <w:tc>
                <w:tcPr>
                  <w:tcW w:w="672" w:type="dxa"/>
                  <w:vMerge w:val="continue"/>
                  <w:noWrap w:val="0"/>
                  <w:vAlign w:val="center"/>
                </w:tcPr>
                <w:p w14:paraId="032256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906" w:type="dxa"/>
                  <w:vMerge w:val="continue"/>
                  <w:noWrap w:val="0"/>
                  <w:vAlign w:val="center"/>
                </w:tcPr>
                <w:p w14:paraId="1BD1BA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955" w:type="dxa"/>
                  <w:shd w:val="clear" w:color="auto" w:fill="auto"/>
                  <w:noWrap w:val="0"/>
                  <w:vAlign w:val="center"/>
                </w:tcPr>
                <w:p w14:paraId="0AA96B6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袋装</w:t>
                  </w:r>
                </w:p>
              </w:tc>
              <w:tc>
                <w:tcPr>
                  <w:tcW w:w="755" w:type="dxa"/>
                  <w:tcBorders>
                    <w:top w:val="single" w:color="auto" w:sz="4" w:space="0"/>
                    <w:bottom w:val="single" w:color="auto" w:sz="4" w:space="0"/>
                  </w:tcBorders>
                  <w:shd w:val="clear" w:color="auto" w:fill="auto"/>
                  <w:noWrap w:val="0"/>
                  <w:vAlign w:val="center"/>
                </w:tcPr>
                <w:p w14:paraId="2096923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t/a</w:t>
                  </w:r>
                </w:p>
              </w:tc>
              <w:tc>
                <w:tcPr>
                  <w:tcW w:w="917" w:type="dxa"/>
                  <w:tcBorders>
                    <w:top w:val="single" w:color="auto" w:sz="4" w:space="0"/>
                    <w:bottom w:val="single" w:color="auto" w:sz="4" w:space="0"/>
                  </w:tcBorders>
                  <w:shd w:val="clear" w:color="auto" w:fill="auto"/>
                  <w:noWrap w:val="0"/>
                  <w:vAlign w:val="center"/>
                </w:tcPr>
                <w:p w14:paraId="3D25193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个月</w:t>
                  </w:r>
                </w:p>
              </w:tc>
            </w:tr>
            <w:tr w14:paraId="3B15B1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jc w:val="center"/>
              </w:trPr>
              <w:tc>
                <w:tcPr>
                  <w:tcW w:w="387" w:type="dxa"/>
                  <w:noWrap w:val="0"/>
                  <w:vAlign w:val="center"/>
                </w:tcPr>
                <w:p w14:paraId="467BB0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3</w:t>
                  </w:r>
                </w:p>
              </w:tc>
              <w:tc>
                <w:tcPr>
                  <w:tcW w:w="888" w:type="dxa"/>
                  <w:vMerge w:val="continue"/>
                  <w:noWrap w:val="0"/>
                  <w:vAlign w:val="center"/>
                </w:tcPr>
                <w:p w14:paraId="624E54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352" w:type="dxa"/>
                  <w:shd w:val="clear" w:color="auto" w:fill="auto"/>
                  <w:noWrap w:val="0"/>
                  <w:vAlign w:val="center"/>
                </w:tcPr>
                <w:p w14:paraId="780C9AF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废布袋</w:t>
                  </w:r>
                </w:p>
              </w:tc>
              <w:tc>
                <w:tcPr>
                  <w:tcW w:w="803" w:type="dxa"/>
                  <w:shd w:val="clear" w:color="auto" w:fill="auto"/>
                  <w:noWrap w:val="0"/>
                  <w:vAlign w:val="center"/>
                </w:tcPr>
                <w:p w14:paraId="1C0ED02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4"/>
                    </w:rPr>
                    <w:t>T/In</w:t>
                  </w:r>
                </w:p>
              </w:tc>
              <w:tc>
                <w:tcPr>
                  <w:tcW w:w="1086" w:type="dxa"/>
                  <w:shd w:val="clear" w:color="auto" w:fill="auto"/>
                  <w:noWrap w:val="0"/>
                  <w:vAlign w:val="center"/>
                </w:tcPr>
                <w:p w14:paraId="5D7FC22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900-041-49</w:t>
                  </w:r>
                </w:p>
              </w:tc>
              <w:tc>
                <w:tcPr>
                  <w:tcW w:w="672" w:type="dxa"/>
                  <w:vMerge w:val="continue"/>
                  <w:noWrap w:val="0"/>
                  <w:vAlign w:val="center"/>
                </w:tcPr>
                <w:p w14:paraId="0A36B8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906" w:type="dxa"/>
                  <w:vMerge w:val="continue"/>
                  <w:noWrap w:val="0"/>
                  <w:vAlign w:val="center"/>
                </w:tcPr>
                <w:p w14:paraId="392642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955" w:type="dxa"/>
                  <w:shd w:val="clear" w:color="auto" w:fill="auto"/>
                  <w:noWrap w:val="0"/>
                  <w:vAlign w:val="center"/>
                </w:tcPr>
                <w:p w14:paraId="16E0DFC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袋装</w:t>
                  </w:r>
                </w:p>
              </w:tc>
              <w:tc>
                <w:tcPr>
                  <w:tcW w:w="755" w:type="dxa"/>
                  <w:tcBorders>
                    <w:top w:val="single" w:color="auto" w:sz="4" w:space="0"/>
                    <w:bottom w:val="single" w:color="auto" w:sz="4" w:space="0"/>
                  </w:tcBorders>
                  <w:shd w:val="clear" w:color="auto" w:fill="auto"/>
                  <w:noWrap w:val="0"/>
                  <w:vAlign w:val="center"/>
                </w:tcPr>
                <w:p w14:paraId="2ED2DFD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0.05t/a</w:t>
                  </w:r>
                </w:p>
              </w:tc>
              <w:tc>
                <w:tcPr>
                  <w:tcW w:w="917" w:type="dxa"/>
                  <w:tcBorders>
                    <w:top w:val="single" w:color="auto" w:sz="4" w:space="0"/>
                    <w:bottom w:val="single" w:color="auto" w:sz="4" w:space="0"/>
                  </w:tcBorders>
                  <w:shd w:val="clear" w:color="auto" w:fill="auto"/>
                  <w:noWrap w:val="0"/>
                  <w:vAlign w:val="center"/>
                </w:tcPr>
                <w:p w14:paraId="2B8710F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1个月</w:t>
                  </w:r>
                </w:p>
              </w:tc>
            </w:tr>
          </w:tbl>
          <w:p w14:paraId="7405F8CC">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highlight w:val="none"/>
                <w:lang w:val="en-US" w:eastAsia="zh-CN"/>
              </w:rPr>
            </w:pPr>
            <w:r>
              <w:rPr>
                <w:rFonts w:hint="default" w:ascii="Times New Roman" w:hAnsi="Times New Roman" w:eastAsia="宋体" w:cs="Times New Roman"/>
                <w:b w:val="0"/>
                <w:bCs w:val="0"/>
                <w:color w:val="auto"/>
                <w:sz w:val="24"/>
                <w:szCs w:val="32"/>
                <w:highlight w:val="none"/>
                <w:lang w:val="en-US" w:eastAsia="zh-CN"/>
              </w:rPr>
              <w:t>4、固废管理情况</w:t>
            </w:r>
          </w:p>
          <w:p w14:paraId="612178B0">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本项目在车间内设置</w:t>
            </w:r>
            <w:r>
              <w:rPr>
                <w:rFonts w:hint="eastAsia" w:ascii="Times New Roman" w:hAnsi="Times New Roman" w:eastAsia="宋体" w:cs="Times New Roman"/>
                <w:color w:val="auto"/>
                <w:sz w:val="24"/>
                <w:szCs w:val="32"/>
                <w:highlight w:val="none"/>
                <w:lang w:val="en-US" w:eastAsia="zh-CN"/>
              </w:rPr>
              <w:t>20</w:t>
            </w:r>
            <w:r>
              <w:rPr>
                <w:rFonts w:hint="default" w:ascii="Times New Roman" w:hAnsi="Times New Roman" w:eastAsia="宋体" w:cs="Times New Roman"/>
                <w:color w:val="auto"/>
                <w:sz w:val="24"/>
                <w:szCs w:val="32"/>
                <w:highlight w:val="none"/>
                <w:lang w:val="en-US" w:eastAsia="zh-CN"/>
              </w:rPr>
              <w:t>m</w:t>
            </w:r>
            <w:r>
              <w:rPr>
                <w:rFonts w:hint="default" w:ascii="Times New Roman" w:hAnsi="Times New Roman" w:eastAsia="宋体" w:cs="Times New Roman"/>
                <w:color w:val="auto"/>
                <w:sz w:val="24"/>
                <w:szCs w:val="32"/>
                <w:highlight w:val="none"/>
                <w:vertAlign w:val="superscript"/>
                <w:lang w:val="en-US" w:eastAsia="zh-CN"/>
              </w:rPr>
              <w:t>2</w:t>
            </w:r>
            <w:r>
              <w:rPr>
                <w:rFonts w:hint="default" w:ascii="Times New Roman" w:hAnsi="Times New Roman" w:eastAsia="宋体" w:cs="Times New Roman"/>
                <w:color w:val="auto"/>
                <w:sz w:val="24"/>
                <w:szCs w:val="32"/>
                <w:highlight w:val="none"/>
                <w:lang w:val="en-US" w:eastAsia="zh-CN"/>
              </w:rPr>
              <w:t xml:space="preserve">的危废暂存间，本次环评针对固废管理提出以下要求： </w:t>
            </w:r>
          </w:p>
          <w:p w14:paraId="1232D2B1">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（1）危险废物</w:t>
            </w:r>
          </w:p>
          <w:p w14:paraId="32B6B465">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危险废物执行《危险废物贮存污染控制标准》（GB 18597-2023）标准。</w:t>
            </w:r>
          </w:p>
          <w:p w14:paraId="369C7E7F">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①贮存场所</w:t>
            </w:r>
          </w:p>
          <w:p w14:paraId="42E1D505">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危废暂存间建设按照《危险废物贮存污染控制标准》（GB18597-2023）标准要求进行建设。贮存场地进行防渗处理，采用2毫米厚高密度聚乙烯，渗透系数≤10</w:t>
            </w:r>
            <w:r>
              <w:rPr>
                <w:rFonts w:hint="default" w:ascii="Times New Roman" w:hAnsi="Times New Roman" w:eastAsia="宋体" w:cs="Times New Roman"/>
                <w:color w:val="auto"/>
                <w:sz w:val="24"/>
                <w:szCs w:val="32"/>
                <w:highlight w:val="none"/>
                <w:vertAlign w:val="superscript"/>
                <w:lang w:val="en-US" w:eastAsia="zh-CN"/>
              </w:rPr>
              <w:t>-10</w:t>
            </w:r>
            <w:r>
              <w:rPr>
                <w:rFonts w:hint="default" w:ascii="Times New Roman" w:hAnsi="Times New Roman" w:eastAsia="宋体" w:cs="Times New Roman"/>
                <w:color w:val="auto"/>
                <w:sz w:val="24"/>
                <w:szCs w:val="32"/>
                <w:highlight w:val="none"/>
                <w:lang w:val="en-US" w:eastAsia="zh-CN"/>
              </w:rPr>
              <w:t>cm/s，且做到防雨和防晒。</w:t>
            </w:r>
          </w:p>
          <w:p w14:paraId="3D12688F">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项目危险废物贮存采取单独分类收集、独自通过桶装/袋装密闭储存。危废库内设置危废分区和桶架，并设置废液收集导流措施，用于各自桶装危废堆存。禁止混合收集、贮存、运输、处置性质不相容而未经安全性处置的危险废物。</w:t>
            </w:r>
          </w:p>
          <w:p w14:paraId="5B661D6E">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对危险废物的容器和包装物以及收集、贮存处置危险废物的设施、场所，必须设置危险废物识别标志、标识，危险废物容器和包装袋上设立危险废物明显标志。处置单位应及时将固废运走，危险废物在厂内存储不超过一年。</w:t>
            </w:r>
          </w:p>
          <w:p w14:paraId="7F59554F">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危险废物暂存场所（危废间）应满足“四防”（防风、防雨、防晒、防渗漏）要求，采取防渗措施和渗漏收集措施，并设置警示标示。在采取严格防治措施的前提下，危险废物贮存场所不会造成不利环境影响。</w:t>
            </w:r>
          </w:p>
          <w:p w14:paraId="5F747BF0">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②运输过程</w:t>
            </w:r>
          </w:p>
          <w:p w14:paraId="1D8FB24A">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本项目危险废物产生及危废库、运输通道均已采取硬化和防腐防渗措施，因此危险废物从产生工艺环节运输到暂存场所的过程中产生散落和泄漏均会将影响控制在厂区内，不会对周边环境敏感点及地下水环境产生不利影响。</w:t>
            </w:r>
          </w:p>
          <w:p w14:paraId="6FCDB990">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③委托利用或者处置</w:t>
            </w:r>
          </w:p>
          <w:p w14:paraId="249F950B">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企业需建立完善危险废物管理台账，如实记录危险废物贮存、利用、处置相关情况，制定危险废物管理计划并报环保局备案，如实申报危险废物种类、产生量、流向、贮存、处置等有关情况。</w:t>
            </w:r>
          </w:p>
          <w:p w14:paraId="081BA154">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危险废物委托必须委托具有相应危险废物经营资质的单位利用处置，签订委托处理协议，危险废物转移严格执行《危险废物转移管理办法》（2021年11月30日生态环境部、公安部、交通运输部令第23号公布）。</w:t>
            </w:r>
          </w:p>
          <w:p w14:paraId="70FF3F80">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本项目危险废物均委托有资质的单位进行处置，不会产生显著的环境影响。</w:t>
            </w:r>
          </w:p>
          <w:p w14:paraId="36EC19A8">
            <w:pPr>
              <w:keepNext w:val="0"/>
              <w:keepLines w:val="0"/>
              <w:pageBreakBefore w:val="0"/>
              <w:widowControl/>
              <w:suppressLineNumbers w:val="0"/>
              <w:kinsoku/>
              <w:wordWrap/>
              <w:overflowPunct/>
              <w:topLinePunct w:val="0"/>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综上分析，拟建项目运营期内严格落实本此评价提出的各项固废处理处置措施后，一般固体废物可满足《中华人民共和国固体废物污染环境防治法（2020 修订）》的相应规定；危险废物可满足《危险废物贮存污染控制标准》（GB18597-2023）中的相应规定，对周围环境影响不大。</w:t>
            </w:r>
          </w:p>
          <w:p w14:paraId="4FECD7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6</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US" w:eastAsia="zh-CN"/>
              </w:rPr>
              <w:t>监测计划一览表</w:t>
            </w:r>
          </w:p>
          <w:tbl>
            <w:tblPr>
              <w:tblStyle w:val="32"/>
              <w:tblW w:w="4995" w:type="pct"/>
              <w:tblInd w:w="6"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33"/>
              <w:gridCol w:w="2324"/>
              <w:gridCol w:w="2991"/>
              <w:gridCol w:w="2378"/>
            </w:tblGrid>
            <w:tr w14:paraId="41CDAA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92" w:type="pct"/>
                  <w:tcBorders>
                    <w:tl2br w:val="nil"/>
                    <w:tr2bl w:val="nil"/>
                  </w:tcBorders>
                  <w:noWrap w:val="0"/>
                  <w:vAlign w:val="center"/>
                </w:tcPr>
                <w:p w14:paraId="74EF41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环境要素</w:t>
                  </w:r>
                </w:p>
              </w:tc>
              <w:tc>
                <w:tcPr>
                  <w:tcW w:w="1331" w:type="pct"/>
                  <w:tcBorders>
                    <w:tl2br w:val="nil"/>
                    <w:tr2bl w:val="nil"/>
                  </w:tcBorders>
                  <w:noWrap w:val="0"/>
                  <w:vAlign w:val="center"/>
                </w:tcPr>
                <w:p w14:paraId="3F428C3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监测位置</w:t>
                  </w:r>
                </w:p>
              </w:tc>
              <w:tc>
                <w:tcPr>
                  <w:tcW w:w="1713" w:type="pct"/>
                  <w:tcBorders>
                    <w:tl2br w:val="nil"/>
                    <w:tr2bl w:val="nil"/>
                  </w:tcBorders>
                  <w:noWrap w:val="0"/>
                  <w:vAlign w:val="center"/>
                </w:tcPr>
                <w:p w14:paraId="5040E13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监测项目</w:t>
                  </w:r>
                </w:p>
              </w:tc>
              <w:tc>
                <w:tcPr>
                  <w:tcW w:w="1362" w:type="pct"/>
                  <w:tcBorders>
                    <w:tl2br w:val="nil"/>
                    <w:tr2bl w:val="nil"/>
                  </w:tcBorders>
                  <w:noWrap w:val="0"/>
                  <w:vAlign w:val="center"/>
                </w:tcPr>
                <w:p w14:paraId="2A1B1BB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监测频次</w:t>
                  </w:r>
                </w:p>
              </w:tc>
            </w:tr>
            <w:tr w14:paraId="6460FD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92" w:type="pct"/>
                  <w:tcBorders>
                    <w:tl2br w:val="nil"/>
                    <w:tr2bl w:val="nil"/>
                  </w:tcBorders>
                  <w:noWrap w:val="0"/>
                  <w:vAlign w:val="center"/>
                </w:tcPr>
                <w:p w14:paraId="2D7F7F8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固废</w:t>
                  </w:r>
                </w:p>
              </w:tc>
              <w:tc>
                <w:tcPr>
                  <w:tcW w:w="1331" w:type="pct"/>
                  <w:tcBorders>
                    <w:tl2br w:val="nil"/>
                    <w:tr2bl w:val="nil"/>
                  </w:tcBorders>
                  <w:noWrap w:val="0"/>
                  <w:vAlign w:val="center"/>
                </w:tcPr>
                <w:p w14:paraId="28E3A8D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统计各类固废量</w:t>
                  </w:r>
                </w:p>
              </w:tc>
              <w:tc>
                <w:tcPr>
                  <w:tcW w:w="1713" w:type="pct"/>
                  <w:tcBorders>
                    <w:tl2br w:val="nil"/>
                    <w:tr2bl w:val="nil"/>
                  </w:tcBorders>
                  <w:noWrap w:val="0"/>
                  <w:vAlign w:val="center"/>
                </w:tcPr>
                <w:p w14:paraId="261C7A1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产生量、贮存状况、处置去向</w:t>
                  </w:r>
                </w:p>
              </w:tc>
              <w:tc>
                <w:tcPr>
                  <w:tcW w:w="1362" w:type="pct"/>
                  <w:tcBorders>
                    <w:tl2br w:val="nil"/>
                    <w:tr2bl w:val="nil"/>
                  </w:tcBorders>
                  <w:noWrap w:val="0"/>
                  <w:vAlign w:val="center"/>
                </w:tcPr>
                <w:p w14:paraId="43F80B7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每季度统计一次</w:t>
                  </w:r>
                </w:p>
              </w:tc>
            </w:tr>
          </w:tbl>
          <w:p w14:paraId="26CD0E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综上，项目各类固废均能得到有效处理，对周围环境影响较小。</w:t>
            </w:r>
          </w:p>
          <w:p w14:paraId="7D2A9510">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五、土壤及地下水</w:t>
            </w:r>
          </w:p>
          <w:p w14:paraId="3BF511D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（1）污染源、类型及途径</w:t>
            </w:r>
          </w:p>
          <w:p w14:paraId="4066E37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项目产生的废水主要为</w:t>
            </w:r>
            <w:r>
              <w:rPr>
                <w:rFonts w:hint="eastAsia" w:ascii="Times New Roman" w:hAnsi="Times New Roman" w:cs="Times New Roman"/>
                <w:color w:val="auto"/>
                <w:sz w:val="24"/>
                <w:highlight w:val="none"/>
                <w:lang w:val="en-US" w:eastAsia="zh-CN"/>
              </w:rPr>
              <w:t>生活污水经化粪池处理</w:t>
            </w:r>
            <w:r>
              <w:rPr>
                <w:rFonts w:hint="default" w:ascii="Times New Roman" w:hAnsi="Times New Roman" w:cs="Times New Roman"/>
                <w:color w:val="auto"/>
                <w:sz w:val="24"/>
                <w:highlight w:val="none"/>
                <w:lang w:val="en-US" w:eastAsia="zh-CN"/>
              </w:rPr>
              <w:t>，压滤废水、</w:t>
            </w:r>
            <w:r>
              <w:rPr>
                <w:rFonts w:hint="eastAsia" w:ascii="Times New Roman" w:hAnsi="Times New Roman" w:cs="Times New Roman"/>
                <w:color w:val="auto"/>
                <w:sz w:val="24"/>
                <w:highlight w:val="none"/>
                <w:lang w:val="en-US" w:eastAsia="zh-CN"/>
              </w:rPr>
              <w:t>水喷淋废水</w:t>
            </w:r>
            <w:r>
              <w:rPr>
                <w:rFonts w:hint="default" w:ascii="Times New Roman" w:hAnsi="Times New Roman" w:cs="Times New Roman"/>
                <w:color w:val="auto"/>
                <w:sz w:val="24"/>
                <w:highlight w:val="none"/>
                <w:lang w:val="en-US" w:eastAsia="zh-CN"/>
              </w:rPr>
              <w:t>通过厂区污水设备处理达标后，与生活污水一同经污水管网排入至葛洲坝水务淄博淄川有限公司</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化粪池</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污水处理设备</w:t>
            </w:r>
            <w:r>
              <w:rPr>
                <w:rFonts w:hint="default" w:ascii="Times New Roman" w:hAnsi="Times New Roman" w:cs="Times New Roman"/>
                <w:color w:val="auto"/>
                <w:sz w:val="24"/>
                <w:highlight w:val="none"/>
              </w:rPr>
              <w:t>泄漏下渗可能会对地下水、土壤产生影响。</w:t>
            </w:r>
            <w:r>
              <w:rPr>
                <w:rFonts w:hint="default" w:ascii="Times New Roman" w:hAnsi="Times New Roman" w:cs="Times New Roman"/>
                <w:color w:val="auto"/>
                <w:sz w:val="24"/>
                <w:highlight w:val="none"/>
                <w:lang w:val="en-US" w:eastAsia="zh-CN"/>
              </w:rPr>
              <w:t>因本项目是租赁现有闲置厂房，因此本项目生产车间及其配套附属范围之内区域需要按照下表防渗等级一览表达到相关防渗等级要求。</w:t>
            </w:r>
          </w:p>
          <w:p w14:paraId="446F113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（2）分区防控措施</w:t>
            </w:r>
          </w:p>
          <w:p w14:paraId="1CBA2EA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为预防项目对地下水、土壤产生污染，应落实严格的防控措施。从源头尽可能减少污染物的排放，构建完善的废气、废水收集处理系统。本项目分区防渗见下表。 </w:t>
            </w:r>
          </w:p>
          <w:p w14:paraId="5292DB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baseline"/>
              <w:rPr>
                <w:rFonts w:hint="default" w:ascii="Times New Roman" w:hAnsi="Times New Roman" w:eastAsia="宋体" w:cs="Times New Roman"/>
                <w:b/>
                <w:color w:val="auto"/>
                <w:szCs w:val="21"/>
                <w:highlight w:val="none"/>
                <w:lang w:val="en-GB" w:eastAsia="zh-CN"/>
              </w:rPr>
            </w:pPr>
            <w:r>
              <w:rPr>
                <w:rFonts w:hint="default" w:ascii="Times New Roman" w:hAnsi="Times New Roman" w:eastAsia="宋体" w:cs="Times New Roman"/>
                <w:b/>
                <w:color w:val="auto"/>
                <w:szCs w:val="21"/>
                <w:highlight w:val="none"/>
                <w:lang w:val="en-GB"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7</w:t>
            </w:r>
            <w:r>
              <w:rPr>
                <w:rFonts w:hint="eastAsia"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lang w:val="en-GB" w:eastAsia="zh-CN"/>
              </w:rPr>
              <w:t>拟建项目污染区划分及防渗等级一览表</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390"/>
              <w:gridCol w:w="1946"/>
              <w:gridCol w:w="5398"/>
            </w:tblGrid>
            <w:tr w14:paraId="764E34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435" w:type="dxa"/>
                  <w:tcBorders>
                    <w:tl2br w:val="nil"/>
                    <w:tr2bl w:val="nil"/>
                  </w:tcBorders>
                  <w:noWrap w:val="0"/>
                  <w:vAlign w:val="center"/>
                </w:tcPr>
                <w:p w14:paraId="4C680E2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分区</w:t>
                  </w:r>
                </w:p>
              </w:tc>
              <w:tc>
                <w:tcPr>
                  <w:tcW w:w="2012" w:type="dxa"/>
                  <w:tcBorders>
                    <w:tl2br w:val="nil"/>
                    <w:tr2bl w:val="nil"/>
                  </w:tcBorders>
                  <w:noWrap w:val="0"/>
                  <w:vAlign w:val="center"/>
                </w:tcPr>
                <w:p w14:paraId="2253AD7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厂内分区</w:t>
                  </w:r>
                </w:p>
              </w:tc>
              <w:tc>
                <w:tcPr>
                  <w:tcW w:w="5598" w:type="dxa"/>
                  <w:tcBorders>
                    <w:tl2br w:val="nil"/>
                    <w:tr2bl w:val="nil"/>
                  </w:tcBorders>
                  <w:noWrap w:val="0"/>
                  <w:vAlign w:val="center"/>
                </w:tcPr>
                <w:p w14:paraId="7BB1A4F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防渗等级要求</w:t>
                  </w:r>
                </w:p>
              </w:tc>
            </w:tr>
            <w:tr w14:paraId="6AC301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435" w:type="dxa"/>
                  <w:tcBorders>
                    <w:tl2br w:val="nil"/>
                    <w:tr2bl w:val="nil"/>
                  </w:tcBorders>
                  <w:noWrap w:val="0"/>
                  <w:vAlign w:val="center"/>
                </w:tcPr>
                <w:p w14:paraId="6728617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简单防渗</w:t>
                  </w:r>
                </w:p>
              </w:tc>
              <w:tc>
                <w:tcPr>
                  <w:tcW w:w="2012" w:type="dxa"/>
                  <w:tcBorders>
                    <w:tl2br w:val="nil"/>
                    <w:tr2bl w:val="nil"/>
                  </w:tcBorders>
                  <w:noWrap w:val="0"/>
                  <w:vAlign w:val="center"/>
                </w:tcPr>
                <w:p w14:paraId="41BB7A5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办公室</w:t>
                  </w:r>
                </w:p>
              </w:tc>
              <w:tc>
                <w:tcPr>
                  <w:tcW w:w="5598" w:type="dxa"/>
                  <w:tcBorders>
                    <w:tl2br w:val="nil"/>
                    <w:tr2bl w:val="nil"/>
                  </w:tcBorders>
                  <w:noWrap w:val="0"/>
                  <w:vAlign w:val="center"/>
                </w:tcPr>
                <w:p w14:paraId="6AC9D84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 w:val="21"/>
                      <w:szCs w:val="21"/>
                      <w:highlight w:val="none"/>
                    </w:rPr>
                    <w:t>一般地面硬化措施</w:t>
                  </w:r>
                </w:p>
              </w:tc>
            </w:tr>
            <w:tr w14:paraId="61DA3D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435" w:type="dxa"/>
                  <w:tcBorders>
                    <w:tl2br w:val="nil"/>
                    <w:tr2bl w:val="nil"/>
                  </w:tcBorders>
                  <w:noWrap w:val="0"/>
                  <w:vAlign w:val="center"/>
                </w:tcPr>
                <w:p w14:paraId="30BC19E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一般防渗区</w:t>
                  </w:r>
                </w:p>
              </w:tc>
              <w:tc>
                <w:tcPr>
                  <w:tcW w:w="2012" w:type="dxa"/>
                  <w:tcBorders>
                    <w:tl2br w:val="nil"/>
                    <w:tr2bl w:val="nil"/>
                  </w:tcBorders>
                  <w:noWrap w:val="0"/>
                  <w:vAlign w:val="center"/>
                </w:tcPr>
                <w:p w14:paraId="50B704E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仓库</w:t>
                  </w:r>
                </w:p>
              </w:tc>
              <w:tc>
                <w:tcPr>
                  <w:tcW w:w="5598" w:type="dxa"/>
                  <w:tcBorders>
                    <w:tl2br w:val="nil"/>
                    <w:tr2bl w:val="nil"/>
                  </w:tcBorders>
                  <w:noWrap w:val="0"/>
                  <w:vAlign w:val="center"/>
                </w:tcPr>
                <w:p w14:paraId="6C4F40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防渗层要求达到等效粘土防渗层厚度1.5米以上、渗透系数不大于10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cm/s，或参照GB16889执行防渗处理</w:t>
                  </w:r>
                </w:p>
              </w:tc>
            </w:tr>
            <w:tr w14:paraId="6A07E1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435" w:type="dxa"/>
                  <w:tcBorders>
                    <w:tl2br w:val="nil"/>
                    <w:tr2bl w:val="nil"/>
                  </w:tcBorders>
                  <w:noWrap w:val="0"/>
                  <w:vAlign w:val="center"/>
                </w:tcPr>
                <w:p w14:paraId="6CACB9D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重点防渗区</w:t>
                  </w:r>
                </w:p>
              </w:tc>
              <w:tc>
                <w:tcPr>
                  <w:tcW w:w="2012" w:type="dxa"/>
                  <w:tcBorders>
                    <w:tl2br w:val="nil"/>
                    <w:tr2bl w:val="nil"/>
                  </w:tcBorders>
                  <w:noWrap w:val="0"/>
                  <w:vAlign w:val="center"/>
                </w:tcPr>
                <w:p w14:paraId="75C7A74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生产车间</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危废暂</w:t>
                  </w:r>
                  <w:r>
                    <w:rPr>
                      <w:rFonts w:hint="default" w:ascii="Times New Roman" w:hAnsi="Times New Roman" w:cs="Times New Roman"/>
                      <w:color w:val="auto"/>
                      <w:szCs w:val="21"/>
                      <w:highlight w:val="none"/>
                      <w:lang w:val="en-US" w:eastAsia="zh-CN"/>
                    </w:rPr>
                    <w:t>存间</w:t>
                  </w:r>
                  <w:r>
                    <w:rPr>
                      <w:rFonts w:hint="eastAsia" w:ascii="Times New Roman" w:hAnsi="Times New Roman" w:cs="Times New Roman"/>
                      <w:color w:val="auto"/>
                      <w:szCs w:val="21"/>
                      <w:highlight w:val="none"/>
                      <w:lang w:val="en-US" w:eastAsia="zh-CN"/>
                    </w:rPr>
                    <w:t>、盐酸仓库、废水处理区域</w:t>
                  </w:r>
                </w:p>
              </w:tc>
              <w:tc>
                <w:tcPr>
                  <w:tcW w:w="5598" w:type="dxa"/>
                  <w:tcBorders>
                    <w:tl2br w:val="nil"/>
                    <w:tr2bl w:val="nil"/>
                  </w:tcBorders>
                  <w:noWrap w:val="0"/>
                  <w:vAlign w:val="center"/>
                </w:tcPr>
                <w:p w14:paraId="50BB0DB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防渗层要求达到等效粘土防渗层厚度6米以上、渗透系数不大于10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cm/s；或参照GB18598执行防渗处理</w:t>
                  </w:r>
                </w:p>
              </w:tc>
            </w:tr>
          </w:tbl>
          <w:p w14:paraId="062A65F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此外，在项目营运过程中，对项目涉及的用水、集水管道等应进行严格排查，对存在防渗漏洞的地方进行及时修复，杜绝污水跑、冒、滴、漏；对污水收集、转输环节以及垃圾收集装置均按规定进行严格的防范措施。做好固废收集、暂存、转运等管理工作。 </w:t>
            </w:r>
          </w:p>
          <w:p w14:paraId="010CD8F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因此</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项目运营期间</w:t>
            </w:r>
            <w:r>
              <w:rPr>
                <w:rFonts w:hint="default" w:ascii="Times New Roman" w:hAnsi="Times New Roman" w:cs="Times New Roman"/>
                <w:color w:val="auto"/>
                <w:sz w:val="24"/>
                <w:highlight w:val="none"/>
                <w:lang w:val="en-US" w:eastAsia="zh-CN"/>
              </w:rPr>
              <w:t>危废暂存间</w:t>
            </w:r>
            <w:r>
              <w:rPr>
                <w:rFonts w:hint="default" w:ascii="Times New Roman" w:hAnsi="Times New Roman" w:cs="Times New Roman"/>
                <w:color w:val="auto"/>
                <w:sz w:val="24"/>
                <w:highlight w:val="none"/>
              </w:rPr>
              <w:t xml:space="preserve">等均满足防渗要求，对地下水、土壤环境产生的影响很小。 </w:t>
            </w:r>
          </w:p>
          <w:p w14:paraId="23DC1E3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（3）</w:t>
            </w:r>
            <w:r>
              <w:rPr>
                <w:rFonts w:hint="default" w:ascii="Times New Roman" w:hAnsi="Times New Roman" w:cs="Times New Roman"/>
                <w:color w:val="auto"/>
                <w:sz w:val="24"/>
                <w:highlight w:val="none"/>
                <w:lang w:val="en-US" w:eastAsia="zh-CN"/>
              </w:rPr>
              <w:t>环境影响</w:t>
            </w:r>
          </w:p>
          <w:p w14:paraId="6C6C550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本项目运营过程中不涉及危险化学品及环境风险物质存储，无土壤及地下水污染源。</w:t>
            </w:r>
          </w:p>
          <w:p w14:paraId="2A9718E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eastAsia" w:ascii="Times New Roman" w:hAnsi="Times New Roman" w:cs="Times New Roman"/>
                <w:color w:val="auto"/>
                <w:sz w:val="24"/>
                <w:highlight w:val="none"/>
                <w:lang w:val="en-US" w:eastAsia="zh-CN"/>
              </w:rPr>
              <w:t>废水</w:t>
            </w:r>
            <w:r>
              <w:rPr>
                <w:rFonts w:hint="default" w:ascii="Times New Roman" w:hAnsi="Times New Roman" w:cs="Times New Roman"/>
                <w:color w:val="auto"/>
                <w:sz w:val="24"/>
                <w:highlight w:val="none"/>
              </w:rPr>
              <w:t>水质较简单，生产过程中加强生产管理，车间内做好防渗要求，从源头上降低对土壤及地下水环境的影响，经采取措施后，本项目对周边土壤及地下水环境影响较小。</w:t>
            </w:r>
          </w:p>
          <w:p w14:paraId="70703BA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（4）跟踪监测要求</w:t>
            </w:r>
          </w:p>
          <w:p w14:paraId="3CA1619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本项目</w:t>
            </w:r>
            <w:r>
              <w:rPr>
                <w:rFonts w:hint="eastAsia" w:ascii="Times New Roman" w:hAnsi="Times New Roman" w:cs="Times New Roman"/>
                <w:color w:val="auto"/>
                <w:sz w:val="24"/>
                <w:highlight w:val="none"/>
                <w:lang w:val="en-US" w:eastAsia="zh-CN"/>
              </w:rPr>
              <w:t>租赁现有厂房，</w:t>
            </w:r>
            <w:r>
              <w:rPr>
                <w:rFonts w:hint="default" w:ascii="Times New Roman" w:hAnsi="Times New Roman" w:cs="Times New Roman"/>
                <w:color w:val="auto"/>
                <w:sz w:val="24"/>
                <w:highlight w:val="none"/>
                <w:lang w:val="en-US" w:eastAsia="zh-CN"/>
              </w:rPr>
              <w:t>已做好车间地面防渗，且该单位不属于土壤污染重点监管单位。因此无需开展土壤、地下水跟踪监测</w:t>
            </w:r>
            <w:r>
              <w:rPr>
                <w:rFonts w:hint="default" w:ascii="Times New Roman" w:hAnsi="Times New Roman" w:cs="Times New Roman"/>
                <w:color w:val="auto"/>
                <w:sz w:val="24"/>
                <w:highlight w:val="none"/>
              </w:rPr>
              <w:t>。</w:t>
            </w:r>
          </w:p>
          <w:p w14:paraId="69C93610">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六、生态</w:t>
            </w:r>
          </w:p>
          <w:p w14:paraId="589C36D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本项目利用已建好厂房进行建设</w:t>
            </w:r>
            <w:r>
              <w:rPr>
                <w:rFonts w:hint="default" w:ascii="Times New Roman" w:hAnsi="Times New Roman" w:cs="Times New Roman"/>
                <w:color w:val="auto"/>
                <w:sz w:val="24"/>
                <w:highlight w:val="none"/>
              </w:rPr>
              <w:t>，对周边生态环境基本无影响。</w:t>
            </w:r>
          </w:p>
          <w:p w14:paraId="49235897">
            <w:pPr>
              <w:keepNext w:val="0"/>
              <w:keepLines w:val="0"/>
              <w:suppressLineNumbers w:val="0"/>
              <w:adjustRightInd w:val="0"/>
              <w:snapToGrid w:val="0"/>
              <w:spacing w:before="0" w:beforeAutospacing="0" w:after="0" w:afterAutospacing="0" w:line="360" w:lineRule="auto"/>
              <w:ind w:left="420" w:right="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七、环境风险</w:t>
            </w:r>
          </w:p>
          <w:p w14:paraId="613BB3A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本项目所涉及的风险物质为</w:t>
            </w:r>
            <w:r>
              <w:rPr>
                <w:rFonts w:hint="eastAsia" w:ascii="Times New Roman" w:hAnsi="Times New Roman" w:eastAsia="宋体" w:cs="Times New Roman"/>
                <w:color w:val="auto"/>
                <w:sz w:val="24"/>
                <w:highlight w:val="none"/>
                <w:lang w:val="en-US" w:eastAsia="zh-CN"/>
              </w:rPr>
              <w:t>盐酸、天然气（甲烷）</w:t>
            </w:r>
            <w:r>
              <w:rPr>
                <w:rFonts w:hint="default" w:ascii="Times New Roman" w:hAnsi="Times New Roman" w:eastAsia="宋体" w:cs="Times New Roman"/>
                <w:color w:val="auto"/>
                <w:sz w:val="24"/>
                <w:highlight w:val="none"/>
                <w:lang w:val="en-US" w:eastAsia="zh-CN"/>
              </w:rPr>
              <w:t>，Q值&gt;1，需要做环境风险专项评价，根据《建设项目环境风险评价技术导则》（HJ169-2018）可知，本项目大气环境风险潜势为Ⅲ，进行二级评价；地表水环境风险潜势为Ⅲ，进行二级评价；地下水环境风险潜势为Ⅲ，进行二级评价。建设项目环境风险潜势综合等级为Ⅲ，项目的环境风险评价等级为二级。</w:t>
            </w:r>
          </w:p>
          <w:p w14:paraId="1EAD37B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eastAsia="zh-CN"/>
              </w:rPr>
              <w:t>本评价制定了一系列的风险防范措施、应急预案以及应急监测方案，可将事故风险概率和影响程度降至最低。通过采取有效的预防措施和制定完善的应急救援预案，严格执行项目安全评价提出的安全对策措施，本项目的环境风险是可以防控的，具体内容详见环境风险专项评价。</w:t>
            </w:r>
          </w:p>
          <w:p w14:paraId="79C62AEB">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color w:val="auto"/>
                <w:szCs w:val="21"/>
                <w:highlight w:val="none"/>
              </w:rPr>
            </w:pPr>
            <w:r>
              <w:rPr>
                <w:rFonts w:hint="default" w:ascii="Times New Roman" w:hAnsi="Times New Roman" w:cs="Times New Roman"/>
                <w:b/>
                <w:bCs/>
                <w:color w:val="auto"/>
                <w:sz w:val="24"/>
                <w:szCs w:val="32"/>
                <w:highlight w:val="none"/>
              </w:rPr>
              <w:t>八、“三同时”竣工验收一览表</w:t>
            </w:r>
          </w:p>
          <w:p w14:paraId="2AAB1540">
            <w:pPr>
              <w:keepNext w:val="0"/>
              <w:keepLines w:val="0"/>
              <w:widowControl/>
              <w:suppressLineNumbers w:val="0"/>
              <w:spacing w:before="0" w:beforeAutospacing="0" w:after="0" w:afterAutospacing="0"/>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20</w:t>
            </w:r>
            <w:r>
              <w:rPr>
                <w:rFonts w:hint="eastAsia"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三同时验收汇总表</w:t>
            </w:r>
          </w:p>
          <w:tbl>
            <w:tblPr>
              <w:tblStyle w:val="32"/>
              <w:tblW w:w="498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6" w:type="dxa"/>
                <w:bottom w:w="0" w:type="dxa"/>
                <w:right w:w="6" w:type="dxa"/>
              </w:tblCellMar>
            </w:tblPr>
            <w:tblGrid>
              <w:gridCol w:w="503"/>
              <w:gridCol w:w="332"/>
              <w:gridCol w:w="615"/>
              <w:gridCol w:w="905"/>
              <w:gridCol w:w="2343"/>
              <w:gridCol w:w="1497"/>
              <w:gridCol w:w="2517"/>
            </w:tblGrid>
            <w:tr w14:paraId="7F3BC5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tblHeader/>
                <w:jc w:val="center"/>
              </w:trPr>
              <w:tc>
                <w:tcPr>
                  <w:tcW w:w="288" w:type="pct"/>
                  <w:tcBorders>
                    <w:tl2br w:val="nil"/>
                    <w:tr2bl w:val="nil"/>
                  </w:tcBorders>
                  <w:noWrap w:val="0"/>
                  <w:vAlign w:val="center"/>
                </w:tcPr>
                <w:p w14:paraId="100B58E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项目</w:t>
                  </w:r>
                </w:p>
              </w:tc>
              <w:tc>
                <w:tcPr>
                  <w:tcW w:w="1062" w:type="pct"/>
                  <w:gridSpan w:val="3"/>
                  <w:tcBorders>
                    <w:tl2br w:val="nil"/>
                    <w:tr2bl w:val="nil"/>
                  </w:tcBorders>
                  <w:noWrap w:val="0"/>
                  <w:vAlign w:val="center"/>
                </w:tcPr>
                <w:p w14:paraId="1A8272B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污染源</w:t>
                  </w:r>
                </w:p>
              </w:tc>
              <w:tc>
                <w:tcPr>
                  <w:tcW w:w="1344" w:type="pct"/>
                  <w:tcBorders>
                    <w:tl2br w:val="nil"/>
                    <w:tr2bl w:val="nil"/>
                  </w:tcBorders>
                  <w:noWrap w:val="0"/>
                  <w:vAlign w:val="center"/>
                </w:tcPr>
                <w:p w14:paraId="33DEE0E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治理及处置措施</w:t>
                  </w:r>
                </w:p>
              </w:tc>
              <w:tc>
                <w:tcPr>
                  <w:tcW w:w="859" w:type="pct"/>
                  <w:tcBorders>
                    <w:tl2br w:val="nil"/>
                    <w:tr2bl w:val="nil"/>
                  </w:tcBorders>
                  <w:noWrap w:val="0"/>
                  <w:vAlign w:val="center"/>
                </w:tcPr>
                <w:p w14:paraId="3949AA2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验收内容</w:t>
                  </w:r>
                </w:p>
              </w:tc>
              <w:tc>
                <w:tcPr>
                  <w:tcW w:w="1444" w:type="pct"/>
                  <w:tcBorders>
                    <w:tl2br w:val="nil"/>
                    <w:tr2bl w:val="nil"/>
                  </w:tcBorders>
                  <w:noWrap w:val="0"/>
                  <w:vAlign w:val="center"/>
                </w:tcPr>
                <w:p w14:paraId="53F776D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验收标准</w:t>
                  </w:r>
                </w:p>
              </w:tc>
            </w:tr>
            <w:tr w14:paraId="7C8D7C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tblHeader/>
                <w:jc w:val="center"/>
              </w:trPr>
              <w:tc>
                <w:tcPr>
                  <w:tcW w:w="288" w:type="pct"/>
                  <w:vMerge w:val="restart"/>
                  <w:tcBorders>
                    <w:tl2br w:val="nil"/>
                    <w:tr2bl w:val="nil"/>
                  </w:tcBorders>
                  <w:noWrap w:val="0"/>
                  <w:vAlign w:val="center"/>
                </w:tcPr>
                <w:p w14:paraId="23ADE818">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190" w:type="pct"/>
                  <w:vMerge w:val="restart"/>
                  <w:tcBorders>
                    <w:right w:val="single" w:color="auto" w:sz="4" w:space="0"/>
                    <w:tl2br w:val="nil"/>
                    <w:tr2bl w:val="nil"/>
                  </w:tcBorders>
                  <w:noWrap w:val="0"/>
                  <w:vAlign w:val="center"/>
                </w:tcPr>
                <w:p w14:paraId="6A6191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有组织</w:t>
                  </w:r>
                </w:p>
              </w:tc>
              <w:tc>
                <w:tcPr>
                  <w:tcW w:w="352" w:type="pct"/>
                  <w:vMerge w:val="restart"/>
                  <w:tcBorders>
                    <w:left w:val="single" w:color="auto" w:sz="4" w:space="0"/>
                    <w:right w:val="single" w:color="auto" w:sz="4" w:space="0"/>
                    <w:tl2br w:val="nil"/>
                    <w:tr2bl w:val="nil"/>
                  </w:tcBorders>
                  <w:noWrap w:val="0"/>
                  <w:vAlign w:val="center"/>
                </w:tcPr>
                <w:p w14:paraId="4CA6FB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DA001</w:t>
                  </w:r>
                </w:p>
              </w:tc>
              <w:tc>
                <w:tcPr>
                  <w:tcW w:w="519" w:type="pct"/>
                  <w:tcBorders>
                    <w:left w:val="single" w:color="auto" w:sz="4" w:space="0"/>
                    <w:tl2br w:val="nil"/>
                    <w:tr2bl w:val="nil"/>
                  </w:tcBorders>
                  <w:noWrap w:val="0"/>
                  <w:vAlign w:val="center"/>
                </w:tcPr>
                <w:p w14:paraId="522A94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氯化氢</w:t>
                  </w:r>
                </w:p>
              </w:tc>
              <w:tc>
                <w:tcPr>
                  <w:tcW w:w="1344" w:type="pct"/>
                  <w:vMerge w:val="restart"/>
                  <w:tcBorders>
                    <w:tl2br w:val="nil"/>
                    <w:tr2bl w:val="nil"/>
                  </w:tcBorders>
                  <w:noWrap w:val="0"/>
                  <w:vAlign w:val="center"/>
                </w:tcPr>
                <w:p w14:paraId="609BD4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盐酸配置过程产生的氯化氢，一次搅拌投料过程产生的氯化氢、颗粒物一同由密闭管道收集，经二级水喷淋+除雾器+布袋除尘器处理后</w:t>
                  </w:r>
                  <w:r>
                    <w:rPr>
                      <w:rFonts w:hint="default" w:ascii="Times New Roman" w:hAnsi="Times New Roman" w:eastAsia="宋体" w:cs="Times New Roman"/>
                      <w:color w:val="auto"/>
                      <w:szCs w:val="21"/>
                      <w:highlight w:val="none"/>
                      <w:lang w:val="en-US" w:eastAsia="zh-CN"/>
                    </w:rPr>
                    <w:t>，由15m高DA001排气筒有组织排放</w:t>
                  </w:r>
                </w:p>
              </w:tc>
              <w:tc>
                <w:tcPr>
                  <w:tcW w:w="859" w:type="pct"/>
                  <w:tcBorders>
                    <w:tl2br w:val="nil"/>
                    <w:tr2bl w:val="nil"/>
                  </w:tcBorders>
                  <w:noWrap w:val="0"/>
                  <w:vAlign w:val="center"/>
                </w:tcPr>
                <w:p w14:paraId="17ECEE16">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有组织排放浓度&lt;</w:t>
                  </w:r>
                  <w:r>
                    <w:rPr>
                      <w:rFonts w:hint="eastAsia"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mg/m³</w:t>
                  </w:r>
                  <w:r>
                    <w:rPr>
                      <w:rFonts w:hint="default" w:ascii="Times New Roman" w:hAnsi="Times New Roman" w:cs="Times New Roman"/>
                      <w:color w:val="auto"/>
                      <w:highlight w:val="none"/>
                      <w:lang w:val="en-US" w:eastAsia="zh-CN"/>
                    </w:rPr>
                    <w:t>（0.26kg/h）</w:t>
                  </w:r>
                </w:p>
              </w:tc>
              <w:tc>
                <w:tcPr>
                  <w:tcW w:w="1444" w:type="pct"/>
                  <w:tcBorders>
                    <w:bottom w:val="single" w:color="auto" w:sz="4" w:space="0"/>
                    <w:tl2br w:val="nil"/>
                    <w:tr2bl w:val="nil"/>
                  </w:tcBorders>
                  <w:noWrap w:val="0"/>
                  <w:vAlign w:val="center"/>
                </w:tcPr>
                <w:p w14:paraId="6FCB92EB">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《大气污染物综合排放标准》（GB16297-1996）表2中污染物排放限值</w:t>
                  </w:r>
                </w:p>
              </w:tc>
            </w:tr>
            <w:tr w14:paraId="4F1F5A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tblHeader/>
                <w:jc w:val="center"/>
              </w:trPr>
              <w:tc>
                <w:tcPr>
                  <w:tcW w:w="288" w:type="pct"/>
                  <w:vMerge w:val="continue"/>
                  <w:tcBorders>
                    <w:tl2br w:val="nil"/>
                    <w:tr2bl w:val="nil"/>
                  </w:tcBorders>
                  <w:noWrap w:val="0"/>
                  <w:vAlign w:val="center"/>
                </w:tcPr>
                <w:p w14:paraId="0E29231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p>
              </w:tc>
              <w:tc>
                <w:tcPr>
                  <w:tcW w:w="190" w:type="pct"/>
                  <w:vMerge w:val="continue"/>
                  <w:tcBorders>
                    <w:right w:val="single" w:color="auto" w:sz="4" w:space="0"/>
                    <w:tl2br w:val="nil"/>
                    <w:tr2bl w:val="nil"/>
                  </w:tcBorders>
                  <w:noWrap w:val="0"/>
                  <w:vAlign w:val="center"/>
                </w:tcPr>
                <w:p w14:paraId="497C98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352" w:type="pct"/>
                  <w:vMerge w:val="continue"/>
                  <w:tcBorders>
                    <w:left w:val="single" w:color="auto" w:sz="4" w:space="0"/>
                    <w:bottom w:val="single" w:color="auto" w:sz="4" w:space="0"/>
                    <w:right w:val="single" w:color="auto" w:sz="4" w:space="0"/>
                    <w:tl2br w:val="nil"/>
                    <w:tr2bl w:val="nil"/>
                  </w:tcBorders>
                  <w:noWrap w:val="0"/>
                  <w:vAlign w:val="center"/>
                </w:tcPr>
                <w:p w14:paraId="01F68F2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519" w:type="pct"/>
                  <w:tcBorders>
                    <w:left w:val="single" w:color="auto" w:sz="4" w:space="0"/>
                    <w:bottom w:val="single" w:color="auto" w:sz="4" w:space="0"/>
                    <w:tl2br w:val="nil"/>
                    <w:tr2bl w:val="nil"/>
                  </w:tcBorders>
                  <w:noWrap w:val="0"/>
                  <w:vAlign w:val="center"/>
                </w:tcPr>
                <w:p w14:paraId="5C08ECD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颗粒物</w:t>
                  </w:r>
                </w:p>
              </w:tc>
              <w:tc>
                <w:tcPr>
                  <w:tcW w:w="1344" w:type="pct"/>
                  <w:vMerge w:val="continue"/>
                  <w:tcBorders>
                    <w:bottom w:val="single" w:color="auto" w:sz="4" w:space="0"/>
                    <w:tl2br w:val="nil"/>
                    <w:tr2bl w:val="nil"/>
                  </w:tcBorders>
                  <w:noWrap w:val="0"/>
                  <w:vAlign w:val="center"/>
                </w:tcPr>
                <w:p w14:paraId="3C2959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859" w:type="pct"/>
                  <w:tcBorders>
                    <w:top w:val="single" w:color="auto" w:sz="4" w:space="0"/>
                    <w:bottom w:val="single" w:color="auto" w:sz="4" w:space="0"/>
                    <w:tl2br w:val="nil"/>
                    <w:tr2bl w:val="nil"/>
                  </w:tcBorders>
                  <w:noWrap w:val="0"/>
                  <w:vAlign w:val="center"/>
                </w:tcPr>
                <w:p w14:paraId="3AB6D6C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有组织排放浓度&lt;10</w:t>
                  </w:r>
                  <w:r>
                    <w:rPr>
                      <w:rFonts w:hint="default" w:ascii="Times New Roman" w:hAnsi="Times New Roman" w:cs="Times New Roman"/>
                      <w:color w:val="auto"/>
                      <w:highlight w:val="none"/>
                    </w:rPr>
                    <w:t>mg/m³</w:t>
                  </w:r>
                </w:p>
              </w:tc>
              <w:tc>
                <w:tcPr>
                  <w:tcW w:w="1444" w:type="pct"/>
                  <w:vMerge w:val="restart"/>
                  <w:tcBorders>
                    <w:top w:val="single" w:color="auto" w:sz="4" w:space="0"/>
                    <w:tl2br w:val="nil"/>
                    <w:tr2bl w:val="nil"/>
                  </w:tcBorders>
                  <w:noWrap w:val="0"/>
                  <w:vAlign w:val="center"/>
                </w:tcPr>
                <w:p w14:paraId="03B39799">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山东省地方标准《区域性大气污染物综合排放标准》（DB37/2376-2019）表1重点控制区标准限值</w:t>
                  </w:r>
                </w:p>
              </w:tc>
            </w:tr>
            <w:tr w14:paraId="2EE58F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149" w:hRule="atLeast"/>
                <w:tblHeader/>
                <w:jc w:val="center"/>
              </w:trPr>
              <w:tc>
                <w:tcPr>
                  <w:tcW w:w="288" w:type="pct"/>
                  <w:vMerge w:val="continue"/>
                  <w:tcBorders>
                    <w:tl2br w:val="nil"/>
                    <w:tr2bl w:val="nil"/>
                  </w:tcBorders>
                  <w:noWrap w:val="0"/>
                  <w:vAlign w:val="center"/>
                </w:tcPr>
                <w:p w14:paraId="24F0C92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p>
              </w:tc>
              <w:tc>
                <w:tcPr>
                  <w:tcW w:w="190" w:type="pct"/>
                  <w:vMerge w:val="continue"/>
                  <w:tcBorders>
                    <w:right w:val="single" w:color="auto" w:sz="4" w:space="0"/>
                    <w:tl2br w:val="nil"/>
                    <w:tr2bl w:val="nil"/>
                  </w:tcBorders>
                  <w:noWrap w:val="0"/>
                  <w:vAlign w:val="center"/>
                </w:tcPr>
                <w:p w14:paraId="1CEF42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352" w:type="pct"/>
                  <w:vMerge w:val="restart"/>
                  <w:tcBorders>
                    <w:top w:val="single" w:color="auto" w:sz="4" w:space="0"/>
                    <w:left w:val="single" w:color="auto" w:sz="4" w:space="0"/>
                    <w:right w:val="single" w:color="auto" w:sz="4" w:space="0"/>
                    <w:tl2br w:val="nil"/>
                    <w:tr2bl w:val="nil"/>
                  </w:tcBorders>
                  <w:noWrap w:val="0"/>
                  <w:vAlign w:val="center"/>
                </w:tcPr>
                <w:p w14:paraId="62219B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DA002</w:t>
                  </w:r>
                </w:p>
              </w:tc>
              <w:tc>
                <w:tcPr>
                  <w:tcW w:w="519" w:type="pct"/>
                  <w:tcBorders>
                    <w:top w:val="single" w:color="auto" w:sz="4" w:space="0"/>
                    <w:left w:val="single" w:color="auto" w:sz="4" w:space="0"/>
                    <w:tl2br w:val="nil"/>
                    <w:tr2bl w:val="nil"/>
                  </w:tcBorders>
                  <w:noWrap w:val="0"/>
                  <w:vAlign w:val="center"/>
                </w:tcPr>
                <w:p w14:paraId="32AF06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颗粒物</w:t>
                  </w:r>
                </w:p>
              </w:tc>
              <w:tc>
                <w:tcPr>
                  <w:tcW w:w="1344" w:type="pct"/>
                  <w:vMerge w:val="restart"/>
                  <w:tcBorders>
                    <w:top w:val="single" w:color="auto" w:sz="4" w:space="0"/>
                    <w:tl2br w:val="nil"/>
                    <w:tr2bl w:val="nil"/>
                  </w:tcBorders>
                  <w:noWrap w:val="0"/>
                  <w:vAlign w:val="center"/>
                </w:tcPr>
                <w:p w14:paraId="774C0E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烘干过程产生的颗粒物、二氧化硫、氮氧化物由密闭管道收集，经SNCR脱硝装置+布袋除尘器处理后，与SNCR脱硝设备逃逸的氨一同由15m高DA002排气筒有组织排放</w:t>
                  </w:r>
                </w:p>
              </w:tc>
              <w:tc>
                <w:tcPr>
                  <w:tcW w:w="859" w:type="pct"/>
                  <w:tcBorders>
                    <w:top w:val="single" w:color="auto" w:sz="4" w:space="0"/>
                    <w:tl2br w:val="nil"/>
                    <w:tr2bl w:val="nil"/>
                  </w:tcBorders>
                  <w:noWrap w:val="0"/>
                  <w:vAlign w:val="center"/>
                </w:tcPr>
                <w:p w14:paraId="6B9F144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有组织排放浓度&lt;10</w:t>
                  </w:r>
                  <w:r>
                    <w:rPr>
                      <w:rFonts w:hint="default" w:ascii="Times New Roman" w:hAnsi="Times New Roman" w:cs="Times New Roman"/>
                      <w:color w:val="auto"/>
                      <w:highlight w:val="none"/>
                    </w:rPr>
                    <w:t>mg/m³</w:t>
                  </w:r>
                </w:p>
              </w:tc>
              <w:tc>
                <w:tcPr>
                  <w:tcW w:w="1444" w:type="pct"/>
                  <w:vMerge w:val="continue"/>
                  <w:tcBorders>
                    <w:tl2br w:val="nil"/>
                    <w:tr2bl w:val="nil"/>
                  </w:tcBorders>
                  <w:noWrap w:val="0"/>
                  <w:vAlign w:val="center"/>
                </w:tcPr>
                <w:p w14:paraId="412E918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Cs w:val="21"/>
                      <w:highlight w:val="none"/>
                    </w:rPr>
                  </w:pPr>
                </w:p>
              </w:tc>
            </w:tr>
            <w:tr w14:paraId="786DB2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149" w:hRule="atLeast"/>
                <w:tblHeader/>
                <w:jc w:val="center"/>
              </w:trPr>
              <w:tc>
                <w:tcPr>
                  <w:tcW w:w="288" w:type="pct"/>
                  <w:vMerge w:val="continue"/>
                  <w:tcBorders>
                    <w:tl2br w:val="nil"/>
                    <w:tr2bl w:val="nil"/>
                  </w:tcBorders>
                  <w:noWrap w:val="0"/>
                  <w:vAlign w:val="center"/>
                </w:tcPr>
                <w:p w14:paraId="5018547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rPr>
                  </w:pPr>
                </w:p>
              </w:tc>
              <w:tc>
                <w:tcPr>
                  <w:tcW w:w="190" w:type="pct"/>
                  <w:vMerge w:val="continue"/>
                  <w:tcBorders>
                    <w:right w:val="single" w:color="auto" w:sz="4" w:space="0"/>
                    <w:tl2br w:val="nil"/>
                    <w:tr2bl w:val="nil"/>
                  </w:tcBorders>
                  <w:noWrap w:val="0"/>
                  <w:vAlign w:val="center"/>
                </w:tcPr>
                <w:p w14:paraId="2F04304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rPr>
                  </w:pPr>
                </w:p>
              </w:tc>
              <w:tc>
                <w:tcPr>
                  <w:tcW w:w="352" w:type="pct"/>
                  <w:vMerge w:val="continue"/>
                  <w:tcBorders>
                    <w:left w:val="single" w:color="auto" w:sz="4" w:space="0"/>
                    <w:right w:val="single" w:color="auto" w:sz="4" w:space="0"/>
                    <w:tl2br w:val="nil"/>
                    <w:tr2bl w:val="nil"/>
                  </w:tcBorders>
                  <w:noWrap w:val="0"/>
                  <w:vAlign w:val="center"/>
                </w:tcPr>
                <w:p w14:paraId="4D7E123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rPr>
                  </w:pPr>
                </w:p>
              </w:tc>
              <w:tc>
                <w:tcPr>
                  <w:tcW w:w="519" w:type="pct"/>
                  <w:tcBorders>
                    <w:top w:val="single" w:color="auto" w:sz="4" w:space="0"/>
                    <w:left w:val="single" w:color="auto" w:sz="4" w:space="0"/>
                    <w:tl2br w:val="nil"/>
                    <w:tr2bl w:val="nil"/>
                  </w:tcBorders>
                  <w:noWrap w:val="0"/>
                  <w:vAlign w:val="center"/>
                </w:tcPr>
                <w:p w14:paraId="774D027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二氧化硫</w:t>
                  </w:r>
                </w:p>
              </w:tc>
              <w:tc>
                <w:tcPr>
                  <w:tcW w:w="1344" w:type="pct"/>
                  <w:vMerge w:val="continue"/>
                  <w:tcBorders>
                    <w:tl2br w:val="nil"/>
                    <w:tr2bl w:val="nil"/>
                  </w:tcBorders>
                  <w:noWrap w:val="0"/>
                  <w:vAlign w:val="center"/>
                </w:tcPr>
                <w:p w14:paraId="43A3F56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859" w:type="pct"/>
                  <w:tcBorders>
                    <w:top w:val="single" w:color="auto" w:sz="4" w:space="0"/>
                    <w:tl2br w:val="nil"/>
                    <w:tr2bl w:val="nil"/>
                  </w:tcBorders>
                  <w:noWrap w:val="0"/>
                  <w:vAlign w:val="center"/>
                </w:tcPr>
                <w:p w14:paraId="626EA16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有组织排放浓度&lt;</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mg/m³</w:t>
                  </w:r>
                </w:p>
              </w:tc>
              <w:tc>
                <w:tcPr>
                  <w:tcW w:w="1444" w:type="pct"/>
                  <w:vMerge w:val="continue"/>
                  <w:tcBorders>
                    <w:tl2br w:val="nil"/>
                    <w:tr2bl w:val="nil"/>
                  </w:tcBorders>
                  <w:noWrap w:val="0"/>
                  <w:vAlign w:val="center"/>
                </w:tcPr>
                <w:p w14:paraId="01AA376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r>
            <w:tr w14:paraId="332273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149" w:hRule="atLeast"/>
                <w:tblHeader/>
                <w:jc w:val="center"/>
              </w:trPr>
              <w:tc>
                <w:tcPr>
                  <w:tcW w:w="288" w:type="pct"/>
                  <w:vMerge w:val="continue"/>
                  <w:tcBorders>
                    <w:tl2br w:val="nil"/>
                    <w:tr2bl w:val="nil"/>
                  </w:tcBorders>
                  <w:noWrap w:val="0"/>
                  <w:vAlign w:val="center"/>
                </w:tcPr>
                <w:p w14:paraId="0F1E789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190" w:type="pct"/>
                  <w:vMerge w:val="continue"/>
                  <w:tcBorders>
                    <w:right w:val="single" w:color="auto" w:sz="4" w:space="0"/>
                    <w:tl2br w:val="nil"/>
                    <w:tr2bl w:val="nil"/>
                  </w:tcBorders>
                  <w:noWrap w:val="0"/>
                  <w:vAlign w:val="center"/>
                </w:tcPr>
                <w:p w14:paraId="3356FF6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352" w:type="pct"/>
                  <w:vMerge w:val="continue"/>
                  <w:tcBorders>
                    <w:left w:val="single" w:color="auto" w:sz="4" w:space="0"/>
                    <w:right w:val="single" w:color="auto" w:sz="4" w:space="0"/>
                    <w:tl2br w:val="nil"/>
                    <w:tr2bl w:val="nil"/>
                  </w:tcBorders>
                  <w:noWrap w:val="0"/>
                  <w:vAlign w:val="center"/>
                </w:tcPr>
                <w:p w14:paraId="7B076AD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519" w:type="pct"/>
                  <w:tcBorders>
                    <w:top w:val="single" w:color="auto" w:sz="4" w:space="0"/>
                    <w:left w:val="single" w:color="auto" w:sz="4" w:space="0"/>
                    <w:tl2br w:val="nil"/>
                    <w:tr2bl w:val="nil"/>
                  </w:tcBorders>
                  <w:noWrap w:val="0"/>
                  <w:vAlign w:val="center"/>
                </w:tcPr>
                <w:p w14:paraId="758BEA3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氮氧化物</w:t>
                  </w:r>
                </w:p>
              </w:tc>
              <w:tc>
                <w:tcPr>
                  <w:tcW w:w="1344" w:type="pct"/>
                  <w:vMerge w:val="continue"/>
                  <w:tcBorders>
                    <w:tl2br w:val="nil"/>
                    <w:tr2bl w:val="nil"/>
                  </w:tcBorders>
                  <w:noWrap w:val="0"/>
                  <w:vAlign w:val="center"/>
                </w:tcPr>
                <w:p w14:paraId="6C26909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859" w:type="pct"/>
                  <w:tcBorders>
                    <w:top w:val="single" w:color="auto" w:sz="4" w:space="0"/>
                    <w:tl2br w:val="nil"/>
                    <w:tr2bl w:val="nil"/>
                  </w:tcBorders>
                  <w:noWrap w:val="0"/>
                  <w:vAlign w:val="center"/>
                </w:tcPr>
                <w:p w14:paraId="0D5918B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有组织排放浓度&lt;1</w:t>
                  </w: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mg/m³</w:t>
                  </w:r>
                </w:p>
              </w:tc>
              <w:tc>
                <w:tcPr>
                  <w:tcW w:w="1444" w:type="pct"/>
                  <w:vMerge w:val="continue"/>
                  <w:tcBorders>
                    <w:tl2br w:val="nil"/>
                    <w:tr2bl w:val="nil"/>
                  </w:tcBorders>
                  <w:noWrap w:val="0"/>
                  <w:vAlign w:val="center"/>
                </w:tcPr>
                <w:p w14:paraId="34027E5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r>
            <w:tr w14:paraId="342AC2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149" w:hRule="atLeast"/>
                <w:tblHeader/>
                <w:jc w:val="center"/>
              </w:trPr>
              <w:tc>
                <w:tcPr>
                  <w:tcW w:w="288" w:type="pct"/>
                  <w:vMerge w:val="continue"/>
                  <w:tcBorders>
                    <w:tl2br w:val="nil"/>
                    <w:tr2bl w:val="nil"/>
                  </w:tcBorders>
                  <w:noWrap w:val="0"/>
                  <w:vAlign w:val="center"/>
                </w:tcPr>
                <w:p w14:paraId="02519BD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190" w:type="pct"/>
                  <w:vMerge w:val="continue"/>
                  <w:tcBorders>
                    <w:right w:val="single" w:color="auto" w:sz="4" w:space="0"/>
                    <w:tl2br w:val="nil"/>
                    <w:tr2bl w:val="nil"/>
                  </w:tcBorders>
                  <w:noWrap w:val="0"/>
                  <w:vAlign w:val="center"/>
                </w:tcPr>
                <w:p w14:paraId="42577AB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352" w:type="pct"/>
                  <w:vMerge w:val="continue"/>
                  <w:tcBorders>
                    <w:left w:val="single" w:color="auto" w:sz="4" w:space="0"/>
                    <w:right w:val="single" w:color="auto" w:sz="4" w:space="0"/>
                    <w:tl2br w:val="nil"/>
                    <w:tr2bl w:val="nil"/>
                  </w:tcBorders>
                  <w:noWrap w:val="0"/>
                  <w:vAlign w:val="center"/>
                </w:tcPr>
                <w:p w14:paraId="7481286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519" w:type="pct"/>
                  <w:tcBorders>
                    <w:top w:val="single" w:color="auto" w:sz="4" w:space="0"/>
                    <w:left w:val="single" w:color="auto" w:sz="4" w:space="0"/>
                    <w:tl2br w:val="nil"/>
                    <w:tr2bl w:val="nil"/>
                  </w:tcBorders>
                  <w:noWrap w:val="0"/>
                  <w:vAlign w:val="center"/>
                </w:tcPr>
                <w:p w14:paraId="3AD96DA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氨</w:t>
                  </w:r>
                </w:p>
              </w:tc>
              <w:tc>
                <w:tcPr>
                  <w:tcW w:w="1344" w:type="pct"/>
                  <w:vMerge w:val="continue"/>
                  <w:tcBorders>
                    <w:tl2br w:val="nil"/>
                    <w:tr2bl w:val="nil"/>
                  </w:tcBorders>
                  <w:noWrap w:val="0"/>
                  <w:vAlign w:val="center"/>
                </w:tcPr>
                <w:p w14:paraId="48F597D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859" w:type="pct"/>
                  <w:tcBorders>
                    <w:top w:val="single" w:color="auto" w:sz="4" w:space="0"/>
                    <w:tl2br w:val="nil"/>
                    <w:tr2bl w:val="nil"/>
                  </w:tcBorders>
                  <w:noWrap w:val="0"/>
                  <w:vAlign w:val="center"/>
                </w:tcPr>
                <w:p w14:paraId="6362EC3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有组织排放浓度&lt;</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mg/m³</w:t>
                  </w:r>
                </w:p>
              </w:tc>
              <w:tc>
                <w:tcPr>
                  <w:tcW w:w="1444" w:type="pct"/>
                  <w:tcBorders>
                    <w:tl2br w:val="nil"/>
                    <w:tr2bl w:val="nil"/>
                  </w:tcBorders>
                  <w:noWrap w:val="0"/>
                  <w:vAlign w:val="center"/>
                </w:tcPr>
                <w:p w14:paraId="631599E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《工业锅炉污染防治可行技术指南》（HJ 1178-2021）中SNCR脱硝技术控制要求</w:t>
                  </w:r>
                </w:p>
              </w:tc>
            </w:tr>
            <w:tr w14:paraId="291DA4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tblHeader/>
                <w:jc w:val="center"/>
              </w:trPr>
              <w:tc>
                <w:tcPr>
                  <w:tcW w:w="288" w:type="pct"/>
                  <w:vMerge w:val="continue"/>
                  <w:tcBorders>
                    <w:tl2br w:val="nil"/>
                    <w:tr2bl w:val="nil"/>
                  </w:tcBorders>
                  <w:noWrap w:val="0"/>
                  <w:vAlign w:val="center"/>
                </w:tcPr>
                <w:p w14:paraId="3F3649A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543" w:type="pct"/>
                  <w:gridSpan w:val="2"/>
                  <w:vMerge w:val="restart"/>
                  <w:tcBorders>
                    <w:tl2br w:val="nil"/>
                    <w:tr2bl w:val="nil"/>
                  </w:tcBorders>
                  <w:noWrap w:val="0"/>
                  <w:vAlign w:val="center"/>
                </w:tcPr>
                <w:p w14:paraId="4D8AD6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无组织</w:t>
                  </w:r>
                </w:p>
              </w:tc>
              <w:tc>
                <w:tcPr>
                  <w:tcW w:w="519" w:type="pct"/>
                  <w:tcBorders>
                    <w:tl2br w:val="nil"/>
                    <w:tr2bl w:val="nil"/>
                  </w:tcBorders>
                  <w:noWrap w:val="0"/>
                  <w:vAlign w:val="center"/>
                </w:tcPr>
                <w:p w14:paraId="3262C2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氯化氢</w:t>
                  </w:r>
                </w:p>
              </w:tc>
              <w:tc>
                <w:tcPr>
                  <w:tcW w:w="1344" w:type="pct"/>
                  <w:vMerge w:val="restart"/>
                  <w:tcBorders>
                    <w:tl2br w:val="nil"/>
                    <w:tr2bl w:val="nil"/>
                  </w:tcBorders>
                  <w:noWrap w:val="0"/>
                  <w:vAlign w:val="center"/>
                </w:tcPr>
                <w:p w14:paraId="4B866E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厂房阻隔、厂区绿化</w:t>
                  </w:r>
                </w:p>
              </w:tc>
              <w:tc>
                <w:tcPr>
                  <w:tcW w:w="859" w:type="pct"/>
                  <w:tcBorders>
                    <w:bottom w:val="single" w:color="auto" w:sz="4" w:space="0"/>
                    <w:tl2br w:val="nil"/>
                    <w:tr2bl w:val="nil"/>
                  </w:tcBorders>
                  <w:noWrap w:val="0"/>
                  <w:vAlign w:val="center"/>
                </w:tcPr>
                <w:p w14:paraId="7A5CFFE2">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厂界浓度限值&lt;</w:t>
                  </w:r>
                  <w:r>
                    <w:rPr>
                      <w:rFonts w:hint="eastAsia" w:ascii="Times New Roman" w:hAnsi="Times New Roman" w:eastAsia="宋体" w:cs="Times New Roman"/>
                      <w:color w:val="auto"/>
                      <w:szCs w:val="21"/>
                      <w:highlight w:val="none"/>
                      <w:lang w:val="en-US" w:eastAsia="zh-CN"/>
                    </w:rPr>
                    <w:t>0.2</w:t>
                  </w:r>
                  <w:r>
                    <w:rPr>
                      <w:rFonts w:hint="default" w:ascii="Times New Roman" w:hAnsi="Times New Roman" w:eastAsia="宋体" w:cs="Times New Roman"/>
                      <w:color w:val="auto"/>
                      <w:szCs w:val="21"/>
                      <w:highlight w:val="none"/>
                      <w:lang w:val="en-US" w:eastAsia="zh-CN"/>
                    </w:rPr>
                    <w:t>mg/m</w:t>
                  </w:r>
                  <w:r>
                    <w:rPr>
                      <w:rFonts w:hint="default" w:ascii="Times New Roman" w:hAnsi="Times New Roman" w:eastAsia="宋体" w:cs="Times New Roman"/>
                      <w:color w:val="auto"/>
                      <w:szCs w:val="21"/>
                      <w:highlight w:val="none"/>
                      <w:vertAlign w:val="superscript"/>
                      <w:lang w:val="en-US" w:eastAsia="zh-CN"/>
                    </w:rPr>
                    <w:t>3</w:t>
                  </w:r>
                </w:p>
              </w:tc>
              <w:tc>
                <w:tcPr>
                  <w:tcW w:w="1444" w:type="pct"/>
                  <w:vMerge w:val="restart"/>
                  <w:tcBorders>
                    <w:tl2br w:val="nil"/>
                    <w:tr2bl w:val="nil"/>
                  </w:tcBorders>
                  <w:noWrap w:val="0"/>
                  <w:vAlign w:val="center"/>
                </w:tcPr>
                <w:p w14:paraId="162212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zh-CN" w:eastAsia="zh-CN"/>
                    </w:rPr>
                  </w:pPr>
                  <w:r>
                    <w:rPr>
                      <w:rFonts w:hint="default" w:ascii="Times New Roman" w:hAnsi="Times New Roman" w:eastAsia="宋体" w:cs="Times New Roman"/>
                      <w:color w:val="auto"/>
                      <w:szCs w:val="21"/>
                      <w:highlight w:val="none"/>
                      <w:lang w:val="zh-CN" w:eastAsia="zh-CN"/>
                    </w:rPr>
                    <w:t>《大气污染物综合排放标准》（GB16297-1996）表2中无组织排放监控浓度限值要求</w:t>
                  </w:r>
                </w:p>
              </w:tc>
            </w:tr>
            <w:tr w14:paraId="2DBC64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tblHeader/>
                <w:jc w:val="center"/>
              </w:trPr>
              <w:tc>
                <w:tcPr>
                  <w:tcW w:w="288" w:type="pct"/>
                  <w:vMerge w:val="continue"/>
                  <w:tcBorders>
                    <w:tl2br w:val="nil"/>
                    <w:tr2bl w:val="nil"/>
                  </w:tcBorders>
                  <w:noWrap w:val="0"/>
                  <w:vAlign w:val="center"/>
                </w:tcPr>
                <w:p w14:paraId="4E3395F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543" w:type="pct"/>
                  <w:gridSpan w:val="2"/>
                  <w:vMerge w:val="continue"/>
                  <w:tcBorders>
                    <w:tl2br w:val="nil"/>
                    <w:tr2bl w:val="nil"/>
                  </w:tcBorders>
                  <w:noWrap w:val="0"/>
                  <w:vAlign w:val="center"/>
                </w:tcPr>
                <w:p w14:paraId="01D658B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p>
              </w:tc>
              <w:tc>
                <w:tcPr>
                  <w:tcW w:w="519" w:type="pct"/>
                  <w:tcBorders>
                    <w:top w:val="single" w:color="auto" w:sz="4" w:space="0"/>
                    <w:tl2br w:val="nil"/>
                    <w:tr2bl w:val="nil"/>
                  </w:tcBorders>
                  <w:noWrap w:val="0"/>
                  <w:vAlign w:val="center"/>
                </w:tcPr>
                <w:p w14:paraId="4CA48B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颗粒物</w:t>
                  </w:r>
                </w:p>
              </w:tc>
              <w:tc>
                <w:tcPr>
                  <w:tcW w:w="1344" w:type="pct"/>
                  <w:vMerge w:val="continue"/>
                  <w:tcBorders>
                    <w:tl2br w:val="nil"/>
                    <w:tr2bl w:val="nil"/>
                  </w:tcBorders>
                  <w:noWrap w:val="0"/>
                  <w:vAlign w:val="center"/>
                </w:tcPr>
                <w:p w14:paraId="55372E3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p>
              </w:tc>
              <w:tc>
                <w:tcPr>
                  <w:tcW w:w="859" w:type="pct"/>
                  <w:tcBorders>
                    <w:top w:val="single" w:color="auto" w:sz="4" w:space="0"/>
                    <w:tl2br w:val="nil"/>
                    <w:tr2bl w:val="nil"/>
                  </w:tcBorders>
                  <w:noWrap w:val="0"/>
                  <w:vAlign w:val="center"/>
                </w:tcPr>
                <w:p w14:paraId="241CAA3D">
                  <w:pPr>
                    <w:pStyle w:val="8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eastAsia="宋体" w:cs="Times New Roman"/>
                      <w:color w:val="auto"/>
                      <w:szCs w:val="21"/>
                      <w:highlight w:val="none"/>
                      <w:lang w:val="en-US" w:eastAsia="zh-CN"/>
                    </w:rPr>
                    <w:t>厂界浓度限值&lt;1mg/m</w:t>
                  </w:r>
                  <w:r>
                    <w:rPr>
                      <w:rFonts w:hint="default" w:ascii="Times New Roman" w:hAnsi="Times New Roman" w:eastAsia="宋体" w:cs="Times New Roman"/>
                      <w:color w:val="auto"/>
                      <w:szCs w:val="21"/>
                      <w:highlight w:val="none"/>
                      <w:vertAlign w:val="superscript"/>
                      <w:lang w:val="en-US" w:eastAsia="zh-CN"/>
                    </w:rPr>
                    <w:t>3</w:t>
                  </w:r>
                </w:p>
              </w:tc>
              <w:tc>
                <w:tcPr>
                  <w:tcW w:w="1444" w:type="pct"/>
                  <w:vMerge w:val="continue"/>
                  <w:tcBorders>
                    <w:tl2br w:val="nil"/>
                    <w:tr2bl w:val="nil"/>
                  </w:tcBorders>
                  <w:noWrap w:val="0"/>
                  <w:vAlign w:val="center"/>
                </w:tcPr>
                <w:p w14:paraId="695CD37C">
                  <w:pPr>
                    <w:keepNext w:val="0"/>
                    <w:keepLines w:val="0"/>
                    <w:suppressLineNumbers w:val="0"/>
                    <w:autoSpaceDE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zh-CN" w:eastAsia="zh-CN"/>
                    </w:rPr>
                  </w:pPr>
                </w:p>
              </w:tc>
            </w:tr>
            <w:tr w14:paraId="5231E0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jc w:val="center"/>
              </w:trPr>
              <w:tc>
                <w:tcPr>
                  <w:tcW w:w="288" w:type="pct"/>
                  <w:tcBorders>
                    <w:tl2br w:val="nil"/>
                    <w:tr2bl w:val="nil"/>
                  </w:tcBorders>
                  <w:noWrap w:val="0"/>
                  <w:vAlign w:val="center"/>
                </w:tcPr>
                <w:p w14:paraId="7E35849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1062" w:type="pct"/>
                  <w:gridSpan w:val="3"/>
                  <w:tcBorders>
                    <w:tl2br w:val="nil"/>
                    <w:tr2bl w:val="nil"/>
                  </w:tcBorders>
                  <w:noWrap w:val="0"/>
                  <w:vAlign w:val="center"/>
                </w:tcPr>
                <w:p w14:paraId="7BEF35E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生活污水</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压滤废水、</w:t>
                  </w:r>
                  <w:r>
                    <w:rPr>
                      <w:rFonts w:hint="eastAsia" w:ascii="Times New Roman" w:hAnsi="Times New Roman" w:cs="Times New Roman"/>
                      <w:color w:val="auto"/>
                      <w:szCs w:val="21"/>
                      <w:highlight w:val="none"/>
                      <w:lang w:val="en-US" w:eastAsia="zh-CN"/>
                    </w:rPr>
                    <w:t>水喷淋废水</w:t>
                  </w:r>
                </w:p>
              </w:tc>
              <w:tc>
                <w:tcPr>
                  <w:tcW w:w="1344" w:type="pct"/>
                  <w:tcBorders>
                    <w:tl2br w:val="nil"/>
                    <w:tr2bl w:val="nil"/>
                  </w:tcBorders>
                  <w:noWrap w:val="0"/>
                  <w:vAlign w:val="center"/>
                </w:tcPr>
                <w:p w14:paraId="0CACDCB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本项目生活污水经化粪池处理，压滤废水、水喷淋废水通过厂区污水设备处理达标后，与生活污水一同经污水管网排入至葛洲坝水务淄博淄川有限公司</w:t>
                  </w:r>
                </w:p>
              </w:tc>
              <w:tc>
                <w:tcPr>
                  <w:tcW w:w="859" w:type="pct"/>
                  <w:tcBorders>
                    <w:tl2br w:val="nil"/>
                    <w:tr2bl w:val="nil"/>
                  </w:tcBorders>
                  <w:noWrap w:val="0"/>
                  <w:vAlign w:val="center"/>
                </w:tcPr>
                <w:p w14:paraId="1D9C01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COD：500mg/L；氨氮：45mg/L；SS：400mg/L；全盐量3000mg/L</w:t>
                  </w:r>
                </w:p>
              </w:tc>
              <w:tc>
                <w:tcPr>
                  <w:tcW w:w="1444" w:type="pct"/>
                  <w:tcBorders>
                    <w:tl2br w:val="nil"/>
                    <w:tr2bl w:val="nil"/>
                  </w:tcBorders>
                  <w:noWrap w:val="0"/>
                  <w:vAlign w:val="center"/>
                </w:tcPr>
                <w:p w14:paraId="084CF4A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《污水综合排放标准》（GB 8978-1996）表4三级标准及</w:t>
                  </w:r>
                  <w:r>
                    <w:rPr>
                      <w:rFonts w:hint="default" w:ascii="Times New Roman" w:hAnsi="Times New Roman" w:eastAsia="宋体" w:cs="Times New Roman"/>
                      <w:color w:val="auto"/>
                      <w:szCs w:val="21"/>
                      <w:highlight w:val="none"/>
                      <w:lang w:eastAsia="zh-CN"/>
                    </w:rPr>
                    <w:t>葛洲坝水务淄博淄川有限公司</w:t>
                  </w:r>
                  <w:r>
                    <w:rPr>
                      <w:rFonts w:hint="default" w:ascii="Times New Roman" w:hAnsi="Times New Roman" w:eastAsia="宋体" w:cs="Times New Roman"/>
                      <w:color w:val="auto"/>
                      <w:szCs w:val="21"/>
                      <w:highlight w:val="none"/>
                    </w:rPr>
                    <w:t>进水水质要求</w:t>
                  </w:r>
                  <w:r>
                    <w:rPr>
                      <w:rFonts w:hint="default" w:ascii="Times New Roman" w:hAnsi="Times New Roman" w:eastAsia="宋体" w:cs="Times New Roman"/>
                      <w:color w:val="auto"/>
                      <w:szCs w:val="21"/>
                      <w:highlight w:val="none"/>
                      <w:lang w:val="en-US" w:eastAsia="zh-CN"/>
                    </w:rPr>
                    <w:t>和《流域水污染物综合排放标准 第3部分：小清河流域》表2中全盐量限值要求</w:t>
                  </w:r>
                </w:p>
              </w:tc>
            </w:tr>
            <w:tr w14:paraId="76B95F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jc w:val="center"/>
              </w:trPr>
              <w:tc>
                <w:tcPr>
                  <w:tcW w:w="288" w:type="pct"/>
                  <w:tcBorders>
                    <w:tl2br w:val="nil"/>
                    <w:tr2bl w:val="nil"/>
                  </w:tcBorders>
                  <w:noWrap w:val="0"/>
                  <w:vAlign w:val="center"/>
                </w:tcPr>
                <w:p w14:paraId="4A9CB2B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062" w:type="pct"/>
                  <w:gridSpan w:val="3"/>
                  <w:tcBorders>
                    <w:tl2br w:val="nil"/>
                    <w:tr2bl w:val="nil"/>
                  </w:tcBorders>
                  <w:noWrap w:val="0"/>
                  <w:vAlign w:val="center"/>
                </w:tcPr>
                <w:p w14:paraId="573FA82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产噪设备</w:t>
                  </w:r>
                </w:p>
              </w:tc>
              <w:tc>
                <w:tcPr>
                  <w:tcW w:w="1344" w:type="pct"/>
                  <w:tcBorders>
                    <w:tl2br w:val="nil"/>
                    <w:tr2bl w:val="nil"/>
                  </w:tcBorders>
                  <w:noWrap w:val="0"/>
                  <w:vAlign w:val="center"/>
                </w:tcPr>
                <w:p w14:paraId="199457B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设置减振基座，厂房隔声</w:t>
                  </w:r>
                </w:p>
              </w:tc>
              <w:tc>
                <w:tcPr>
                  <w:tcW w:w="859" w:type="pct"/>
                  <w:tcBorders>
                    <w:tl2br w:val="nil"/>
                    <w:tr2bl w:val="nil"/>
                  </w:tcBorders>
                  <w:noWrap w:val="0"/>
                  <w:vAlign w:val="center"/>
                </w:tcPr>
                <w:p w14:paraId="467B98D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隔声、减振</w:t>
                  </w:r>
                </w:p>
              </w:tc>
              <w:tc>
                <w:tcPr>
                  <w:tcW w:w="1444" w:type="pct"/>
                  <w:tcBorders>
                    <w:tl2br w:val="nil"/>
                    <w:tr2bl w:val="nil"/>
                  </w:tcBorders>
                  <w:noWrap w:val="0"/>
                  <w:vAlign w:val="center"/>
                </w:tcPr>
                <w:p w14:paraId="5E84097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《工业企业厂界环境噪声排放标准》（GB12348-2008）</w:t>
                  </w:r>
                  <w:r>
                    <w:rPr>
                      <w:rFonts w:hint="eastAsia"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r>
            <w:tr w14:paraId="781C7D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jc w:val="center"/>
              </w:trPr>
              <w:tc>
                <w:tcPr>
                  <w:tcW w:w="288" w:type="pct"/>
                  <w:vMerge w:val="restart"/>
                  <w:tcBorders>
                    <w:tl2br w:val="nil"/>
                    <w:tr2bl w:val="nil"/>
                  </w:tcBorders>
                  <w:noWrap w:val="0"/>
                  <w:vAlign w:val="center"/>
                </w:tcPr>
                <w:p w14:paraId="6BCCB0F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w:t>
                  </w:r>
                </w:p>
                <w:p w14:paraId="60DCA5A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062" w:type="pct"/>
                  <w:gridSpan w:val="3"/>
                  <w:tcBorders>
                    <w:bottom w:val="single" w:color="auto" w:sz="4" w:space="0"/>
                    <w:tl2br w:val="nil"/>
                    <w:tr2bl w:val="nil"/>
                  </w:tcBorders>
                  <w:noWrap w:val="0"/>
                  <w:vAlign w:val="center"/>
                </w:tcPr>
                <w:p w14:paraId="38D860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生活垃圾</w:t>
                  </w:r>
                </w:p>
              </w:tc>
              <w:tc>
                <w:tcPr>
                  <w:tcW w:w="1344" w:type="pct"/>
                  <w:tcBorders>
                    <w:bottom w:val="single" w:color="auto" w:sz="4" w:space="0"/>
                    <w:tl2br w:val="nil"/>
                    <w:tr2bl w:val="nil"/>
                  </w:tcBorders>
                  <w:noWrap w:val="0"/>
                  <w:vAlign w:val="center"/>
                </w:tcPr>
                <w:p w14:paraId="68F643B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由当地环卫部门统一收集处理</w:t>
                  </w:r>
                </w:p>
              </w:tc>
              <w:tc>
                <w:tcPr>
                  <w:tcW w:w="859" w:type="pct"/>
                  <w:tcBorders>
                    <w:bottom w:val="single" w:color="auto" w:sz="4" w:space="0"/>
                    <w:tl2br w:val="nil"/>
                    <w:tr2bl w:val="nil"/>
                  </w:tcBorders>
                  <w:noWrap w:val="0"/>
                  <w:vAlign w:val="center"/>
                </w:tcPr>
                <w:p w14:paraId="0EBC602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垃圾桶</w:t>
                  </w:r>
                </w:p>
              </w:tc>
              <w:tc>
                <w:tcPr>
                  <w:tcW w:w="1444" w:type="pct"/>
                  <w:tcBorders>
                    <w:bottom w:val="single" w:color="auto" w:sz="4" w:space="0"/>
                    <w:tl2br w:val="nil"/>
                    <w:tr2bl w:val="nil"/>
                  </w:tcBorders>
                  <w:noWrap w:val="0"/>
                  <w:vAlign w:val="center"/>
                </w:tcPr>
                <w:p w14:paraId="20AB6B2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0D7889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jc w:val="center"/>
              </w:trPr>
              <w:tc>
                <w:tcPr>
                  <w:tcW w:w="288" w:type="pct"/>
                  <w:vMerge w:val="continue"/>
                  <w:tcBorders>
                    <w:tl2br w:val="nil"/>
                    <w:tr2bl w:val="nil"/>
                  </w:tcBorders>
                  <w:noWrap w:val="0"/>
                  <w:vAlign w:val="center"/>
                </w:tcPr>
                <w:p w14:paraId="5576CFF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062" w:type="pct"/>
                  <w:gridSpan w:val="3"/>
                  <w:tcBorders>
                    <w:top w:val="single" w:color="auto" w:sz="4" w:space="0"/>
                    <w:tl2br w:val="nil"/>
                    <w:tr2bl w:val="nil"/>
                  </w:tcBorders>
                  <w:noWrap w:val="0"/>
                  <w:vAlign w:val="center"/>
                </w:tcPr>
                <w:p w14:paraId="180ACB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布袋除尘器收集粉尘</w:t>
                  </w:r>
                </w:p>
              </w:tc>
              <w:tc>
                <w:tcPr>
                  <w:tcW w:w="1344" w:type="pct"/>
                  <w:vMerge w:val="restart"/>
                  <w:tcBorders>
                    <w:top w:val="single" w:color="auto" w:sz="4" w:space="0"/>
                    <w:tl2br w:val="nil"/>
                    <w:tr2bl w:val="nil"/>
                  </w:tcBorders>
                  <w:noWrap w:val="0"/>
                  <w:vAlign w:val="center"/>
                </w:tcPr>
                <w:p w14:paraId="4C21A82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回收利用</w:t>
                  </w:r>
                </w:p>
              </w:tc>
              <w:tc>
                <w:tcPr>
                  <w:tcW w:w="859" w:type="pct"/>
                  <w:vMerge w:val="restart"/>
                  <w:tcBorders>
                    <w:top w:val="single" w:color="auto" w:sz="4" w:space="0"/>
                    <w:tl2br w:val="nil"/>
                    <w:tr2bl w:val="nil"/>
                  </w:tcBorders>
                  <w:noWrap w:val="0"/>
                  <w:vAlign w:val="center"/>
                </w:tcPr>
                <w:p w14:paraId="7D03A1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一般固废暂存间</w:t>
                  </w:r>
                </w:p>
              </w:tc>
              <w:tc>
                <w:tcPr>
                  <w:tcW w:w="1444" w:type="pct"/>
                  <w:vMerge w:val="restart"/>
                  <w:tcBorders>
                    <w:top w:val="single" w:color="auto" w:sz="4" w:space="0"/>
                    <w:tl2br w:val="nil"/>
                    <w:tr2bl w:val="nil"/>
                  </w:tcBorders>
                  <w:noWrap w:val="0"/>
                  <w:vAlign w:val="center"/>
                </w:tcPr>
                <w:p w14:paraId="7C3EFB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szCs w:val="21"/>
                      <w:highlight w:val="none"/>
                    </w:rPr>
                    <w:t>《中华人民共和国固体废物污染环境防治法》</w:t>
                  </w:r>
                  <w:r>
                    <w:rPr>
                      <w:rFonts w:hint="eastAsia" w:ascii="Times New Roman" w:hAnsi="Times New Roman" w:cs="Times New Roman"/>
                      <w:bCs/>
                      <w:szCs w:val="21"/>
                      <w:highlight w:val="none"/>
                      <w:lang w:eastAsia="zh-CN"/>
                    </w:rPr>
                    <w:t>（</w:t>
                  </w:r>
                  <w:r>
                    <w:rPr>
                      <w:rFonts w:hint="default" w:ascii="Times New Roman" w:hAnsi="Times New Roman" w:cs="Times New Roman"/>
                      <w:bCs/>
                      <w:szCs w:val="21"/>
                      <w:highlight w:val="none"/>
                    </w:rPr>
                    <w:t>中华人民共和国主席令第四十三号)</w:t>
                  </w:r>
                </w:p>
              </w:tc>
            </w:tr>
            <w:tr w14:paraId="3A8201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454" w:hRule="atLeast"/>
                <w:jc w:val="center"/>
              </w:trPr>
              <w:tc>
                <w:tcPr>
                  <w:tcW w:w="288" w:type="pct"/>
                  <w:vMerge w:val="continue"/>
                  <w:tcBorders>
                    <w:tl2br w:val="nil"/>
                    <w:tr2bl w:val="nil"/>
                  </w:tcBorders>
                  <w:noWrap w:val="0"/>
                  <w:vAlign w:val="center"/>
                </w:tcPr>
                <w:p w14:paraId="5C24A335">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p>
              </w:tc>
              <w:tc>
                <w:tcPr>
                  <w:tcW w:w="1062" w:type="pct"/>
                  <w:gridSpan w:val="3"/>
                  <w:tcBorders>
                    <w:top w:val="single" w:color="auto" w:sz="4" w:space="0"/>
                    <w:tl2br w:val="nil"/>
                    <w:tr2bl w:val="nil"/>
                  </w:tcBorders>
                  <w:noWrap w:val="0"/>
                  <w:vAlign w:val="center"/>
                </w:tcPr>
                <w:p w14:paraId="7916EA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不合格产品</w:t>
                  </w:r>
                </w:p>
              </w:tc>
              <w:tc>
                <w:tcPr>
                  <w:tcW w:w="1344" w:type="pct"/>
                  <w:vMerge w:val="continue"/>
                  <w:tcBorders>
                    <w:bottom w:val="single" w:color="auto" w:sz="4" w:space="0"/>
                    <w:tl2br w:val="nil"/>
                    <w:tr2bl w:val="nil"/>
                  </w:tcBorders>
                  <w:noWrap w:val="0"/>
                  <w:vAlign w:val="center"/>
                </w:tcPr>
                <w:p w14:paraId="3E1E78E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lang w:val="en-US" w:eastAsia="zh-CN"/>
                    </w:rPr>
                  </w:pPr>
                </w:p>
              </w:tc>
              <w:tc>
                <w:tcPr>
                  <w:tcW w:w="859" w:type="pct"/>
                  <w:vMerge w:val="continue"/>
                  <w:tcBorders>
                    <w:tl2br w:val="nil"/>
                    <w:tr2bl w:val="nil"/>
                  </w:tcBorders>
                  <w:noWrap w:val="0"/>
                  <w:vAlign w:val="center"/>
                </w:tcPr>
                <w:p w14:paraId="54493C6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lang w:val="en-US" w:eastAsia="zh-CN"/>
                    </w:rPr>
                  </w:pPr>
                </w:p>
              </w:tc>
              <w:tc>
                <w:tcPr>
                  <w:tcW w:w="1444" w:type="pct"/>
                  <w:vMerge w:val="continue"/>
                  <w:tcBorders>
                    <w:tl2br w:val="nil"/>
                    <w:tr2bl w:val="nil"/>
                  </w:tcBorders>
                  <w:noWrap w:val="0"/>
                  <w:vAlign w:val="center"/>
                </w:tcPr>
                <w:p w14:paraId="036B3F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r>
            <w:tr w14:paraId="3FF062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377" w:hRule="atLeast"/>
                <w:jc w:val="center"/>
              </w:trPr>
              <w:tc>
                <w:tcPr>
                  <w:tcW w:w="288" w:type="pct"/>
                  <w:vMerge w:val="continue"/>
                  <w:tcBorders>
                    <w:tl2br w:val="nil"/>
                    <w:tr2bl w:val="nil"/>
                  </w:tcBorders>
                  <w:noWrap w:val="0"/>
                  <w:vAlign w:val="center"/>
                </w:tcPr>
                <w:p w14:paraId="0D920498">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p>
              </w:tc>
              <w:tc>
                <w:tcPr>
                  <w:tcW w:w="1062" w:type="pct"/>
                  <w:gridSpan w:val="3"/>
                  <w:tcBorders>
                    <w:top w:val="single" w:color="auto" w:sz="4" w:space="0"/>
                    <w:tl2br w:val="nil"/>
                    <w:tr2bl w:val="nil"/>
                  </w:tcBorders>
                  <w:noWrap w:val="0"/>
                  <w:vAlign w:val="center"/>
                </w:tcPr>
                <w:p w14:paraId="5EDDAE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废滤料</w:t>
                  </w:r>
                </w:p>
              </w:tc>
              <w:tc>
                <w:tcPr>
                  <w:tcW w:w="1344" w:type="pct"/>
                  <w:vMerge w:val="restart"/>
                  <w:tcBorders>
                    <w:top w:val="single" w:color="auto" w:sz="4" w:space="0"/>
                    <w:tl2br w:val="nil"/>
                    <w:tr2bl w:val="nil"/>
                  </w:tcBorders>
                  <w:noWrap w:val="0"/>
                  <w:vAlign w:val="center"/>
                </w:tcPr>
                <w:p w14:paraId="10B98B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统一收集后外售给有处置能力和资质单位处置</w:t>
                  </w:r>
                </w:p>
              </w:tc>
              <w:tc>
                <w:tcPr>
                  <w:tcW w:w="859" w:type="pct"/>
                  <w:vMerge w:val="continue"/>
                  <w:tcBorders>
                    <w:tl2br w:val="nil"/>
                    <w:tr2bl w:val="nil"/>
                  </w:tcBorders>
                  <w:noWrap w:val="0"/>
                  <w:vAlign w:val="center"/>
                </w:tcPr>
                <w:p w14:paraId="6A4078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1444" w:type="pct"/>
                  <w:vMerge w:val="continue"/>
                  <w:tcBorders>
                    <w:tl2br w:val="nil"/>
                    <w:tr2bl w:val="nil"/>
                  </w:tcBorders>
                  <w:noWrap w:val="0"/>
                  <w:vAlign w:val="center"/>
                </w:tcPr>
                <w:p w14:paraId="0C97F55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14:paraId="71B740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377" w:hRule="atLeast"/>
                <w:jc w:val="center"/>
              </w:trPr>
              <w:tc>
                <w:tcPr>
                  <w:tcW w:w="288" w:type="pct"/>
                  <w:vMerge w:val="continue"/>
                  <w:tcBorders>
                    <w:tl2br w:val="nil"/>
                    <w:tr2bl w:val="nil"/>
                  </w:tcBorders>
                  <w:noWrap w:val="0"/>
                  <w:vAlign w:val="center"/>
                </w:tcPr>
                <w:p w14:paraId="18F953DF">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p>
              </w:tc>
              <w:tc>
                <w:tcPr>
                  <w:tcW w:w="1062" w:type="pct"/>
                  <w:gridSpan w:val="3"/>
                  <w:tcBorders>
                    <w:top w:val="single" w:color="auto" w:sz="4" w:space="0"/>
                    <w:tl2br w:val="nil"/>
                    <w:tr2bl w:val="nil"/>
                  </w:tcBorders>
                  <w:noWrap w:val="0"/>
                  <w:vAlign w:val="center"/>
                </w:tcPr>
                <w:p w14:paraId="219B3DF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废离子交换树</w:t>
                  </w:r>
                </w:p>
              </w:tc>
              <w:tc>
                <w:tcPr>
                  <w:tcW w:w="1344" w:type="pct"/>
                  <w:vMerge w:val="continue"/>
                  <w:tcBorders>
                    <w:tl2br w:val="nil"/>
                    <w:tr2bl w:val="nil"/>
                  </w:tcBorders>
                  <w:noWrap w:val="0"/>
                  <w:vAlign w:val="center"/>
                </w:tcPr>
                <w:p w14:paraId="2E2508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859" w:type="pct"/>
                  <w:vMerge w:val="continue"/>
                  <w:tcBorders>
                    <w:tl2br w:val="nil"/>
                    <w:tr2bl w:val="nil"/>
                  </w:tcBorders>
                  <w:noWrap w:val="0"/>
                  <w:vAlign w:val="center"/>
                </w:tcPr>
                <w:p w14:paraId="3C8B62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1444" w:type="pct"/>
                  <w:vMerge w:val="continue"/>
                  <w:tcBorders>
                    <w:tl2br w:val="nil"/>
                    <w:tr2bl w:val="nil"/>
                  </w:tcBorders>
                  <w:noWrap w:val="0"/>
                  <w:vAlign w:val="center"/>
                </w:tcPr>
                <w:p w14:paraId="591A9EE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14:paraId="2EB3AD7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155" w:hRule="atLeast"/>
                <w:jc w:val="center"/>
              </w:trPr>
              <w:tc>
                <w:tcPr>
                  <w:tcW w:w="288" w:type="pct"/>
                  <w:vMerge w:val="continue"/>
                  <w:tcBorders>
                    <w:tl2br w:val="nil"/>
                    <w:tr2bl w:val="nil"/>
                  </w:tcBorders>
                  <w:noWrap w:val="0"/>
                  <w:vAlign w:val="center"/>
                </w:tcPr>
                <w:p w14:paraId="2927C57B">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p>
              </w:tc>
              <w:tc>
                <w:tcPr>
                  <w:tcW w:w="1062" w:type="pct"/>
                  <w:gridSpan w:val="3"/>
                  <w:tcBorders>
                    <w:top w:val="single" w:color="auto" w:sz="4" w:space="0"/>
                    <w:tl2br w:val="nil"/>
                    <w:tr2bl w:val="nil"/>
                  </w:tcBorders>
                  <w:noWrap w:val="0"/>
                  <w:vAlign w:val="center"/>
                </w:tcPr>
                <w:p w14:paraId="02365B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废包装袋</w:t>
                  </w:r>
                </w:p>
              </w:tc>
              <w:tc>
                <w:tcPr>
                  <w:tcW w:w="1344" w:type="pct"/>
                  <w:vMerge w:val="continue"/>
                  <w:tcBorders>
                    <w:tl2br w:val="nil"/>
                    <w:tr2bl w:val="nil"/>
                  </w:tcBorders>
                  <w:noWrap w:val="0"/>
                  <w:vAlign w:val="center"/>
                </w:tcPr>
                <w:p w14:paraId="1E9195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859" w:type="pct"/>
                  <w:vMerge w:val="continue"/>
                  <w:tcBorders>
                    <w:tl2br w:val="nil"/>
                    <w:tr2bl w:val="nil"/>
                  </w:tcBorders>
                  <w:noWrap w:val="0"/>
                  <w:vAlign w:val="center"/>
                </w:tcPr>
                <w:p w14:paraId="435DAC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p>
              </w:tc>
              <w:tc>
                <w:tcPr>
                  <w:tcW w:w="1444" w:type="pct"/>
                  <w:vMerge w:val="continue"/>
                  <w:tcBorders>
                    <w:tl2br w:val="nil"/>
                    <w:tr2bl w:val="nil"/>
                  </w:tcBorders>
                  <w:noWrap w:val="0"/>
                  <w:vAlign w:val="center"/>
                </w:tcPr>
                <w:p w14:paraId="4A991CA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14:paraId="3BC429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90" w:hRule="atLeast"/>
                <w:jc w:val="center"/>
              </w:trPr>
              <w:tc>
                <w:tcPr>
                  <w:tcW w:w="288" w:type="pct"/>
                  <w:vMerge w:val="continue"/>
                  <w:tcBorders>
                    <w:tl2br w:val="nil"/>
                    <w:tr2bl w:val="nil"/>
                  </w:tcBorders>
                  <w:noWrap w:val="0"/>
                  <w:vAlign w:val="center"/>
                </w:tcPr>
                <w:p w14:paraId="690A51E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062" w:type="pct"/>
                  <w:gridSpan w:val="3"/>
                  <w:tcBorders>
                    <w:tl2br w:val="nil"/>
                    <w:tr2bl w:val="nil"/>
                  </w:tcBorders>
                  <w:shd w:val="clear" w:color="auto" w:fill="auto"/>
                  <w:noWrap w:val="0"/>
                  <w:vAlign w:val="center"/>
                </w:tcPr>
                <w:p w14:paraId="6C214F2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废酸桶</w:t>
                  </w:r>
                </w:p>
              </w:tc>
              <w:tc>
                <w:tcPr>
                  <w:tcW w:w="1344" w:type="pct"/>
                  <w:vMerge w:val="restart"/>
                  <w:tcBorders>
                    <w:tl2br w:val="nil"/>
                    <w:tr2bl w:val="nil"/>
                  </w:tcBorders>
                  <w:noWrap w:val="0"/>
                  <w:vAlign w:val="center"/>
                </w:tcPr>
                <w:p w14:paraId="380685F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委托有资质的单位进行处理处置</w:t>
                  </w:r>
                </w:p>
              </w:tc>
              <w:tc>
                <w:tcPr>
                  <w:tcW w:w="859" w:type="pct"/>
                  <w:vMerge w:val="restart"/>
                  <w:tcBorders>
                    <w:tl2br w:val="nil"/>
                    <w:tr2bl w:val="nil"/>
                  </w:tcBorders>
                  <w:noWrap w:val="0"/>
                  <w:vAlign w:val="center"/>
                </w:tcPr>
                <w:p w14:paraId="0C70FE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危废暂存间</w:t>
                  </w:r>
                </w:p>
              </w:tc>
              <w:tc>
                <w:tcPr>
                  <w:tcW w:w="1444" w:type="pct"/>
                  <w:vMerge w:val="restart"/>
                  <w:tcBorders>
                    <w:tl2br w:val="nil"/>
                    <w:tr2bl w:val="nil"/>
                  </w:tcBorders>
                  <w:noWrap w:val="0"/>
                  <w:vAlign w:val="center"/>
                </w:tcPr>
                <w:p w14:paraId="3BF18C5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《危险废物贮存污染控制标准》（GB18597-2023）</w:t>
                  </w:r>
                </w:p>
              </w:tc>
            </w:tr>
            <w:tr w14:paraId="64FBA3F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90" w:hRule="atLeast"/>
                <w:jc w:val="center"/>
              </w:trPr>
              <w:tc>
                <w:tcPr>
                  <w:tcW w:w="288" w:type="pct"/>
                  <w:vMerge w:val="continue"/>
                  <w:tcBorders>
                    <w:tl2br w:val="nil"/>
                    <w:tr2bl w:val="nil"/>
                  </w:tcBorders>
                  <w:noWrap w:val="0"/>
                  <w:vAlign w:val="center"/>
                </w:tcPr>
                <w:p w14:paraId="34C7E97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062" w:type="pct"/>
                  <w:gridSpan w:val="3"/>
                  <w:tcBorders>
                    <w:tl2br w:val="nil"/>
                    <w:tr2bl w:val="nil"/>
                  </w:tcBorders>
                  <w:shd w:val="clear" w:color="auto" w:fill="auto"/>
                  <w:noWrap w:val="0"/>
                  <w:vAlign w:val="center"/>
                </w:tcPr>
                <w:p w14:paraId="6C30567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污泥</w:t>
                  </w:r>
                </w:p>
              </w:tc>
              <w:tc>
                <w:tcPr>
                  <w:tcW w:w="1344" w:type="pct"/>
                  <w:vMerge w:val="continue"/>
                  <w:tcBorders>
                    <w:tl2br w:val="nil"/>
                    <w:tr2bl w:val="nil"/>
                  </w:tcBorders>
                  <w:noWrap w:val="0"/>
                  <w:vAlign w:val="center"/>
                </w:tcPr>
                <w:p w14:paraId="3290209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c>
                <w:tcPr>
                  <w:tcW w:w="859" w:type="pct"/>
                  <w:vMerge w:val="continue"/>
                  <w:tcBorders>
                    <w:tl2br w:val="nil"/>
                    <w:tr2bl w:val="nil"/>
                  </w:tcBorders>
                  <w:noWrap w:val="0"/>
                  <w:vAlign w:val="center"/>
                </w:tcPr>
                <w:p w14:paraId="5BE2E90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444" w:type="pct"/>
                  <w:vMerge w:val="continue"/>
                  <w:tcBorders>
                    <w:tl2br w:val="nil"/>
                    <w:tr2bl w:val="nil"/>
                  </w:tcBorders>
                  <w:noWrap w:val="0"/>
                  <w:vAlign w:val="center"/>
                </w:tcPr>
                <w:p w14:paraId="05DD2EF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14:paraId="4030DC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6" w:type="dxa"/>
                  <w:bottom w:w="0" w:type="dxa"/>
                  <w:right w:w="6" w:type="dxa"/>
                </w:tblCellMar>
              </w:tblPrEx>
              <w:trPr>
                <w:trHeight w:val="90" w:hRule="atLeast"/>
                <w:jc w:val="center"/>
              </w:trPr>
              <w:tc>
                <w:tcPr>
                  <w:tcW w:w="288" w:type="pct"/>
                  <w:vMerge w:val="continue"/>
                  <w:tcBorders>
                    <w:tl2br w:val="nil"/>
                    <w:tr2bl w:val="nil"/>
                  </w:tcBorders>
                  <w:noWrap w:val="0"/>
                  <w:vAlign w:val="center"/>
                </w:tcPr>
                <w:p w14:paraId="0C47D71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062" w:type="pct"/>
                  <w:gridSpan w:val="3"/>
                  <w:tcBorders>
                    <w:tl2br w:val="nil"/>
                    <w:tr2bl w:val="nil"/>
                  </w:tcBorders>
                  <w:shd w:val="clear" w:color="auto" w:fill="auto"/>
                  <w:noWrap w:val="0"/>
                  <w:vAlign w:val="center"/>
                </w:tcPr>
                <w:p w14:paraId="580DC1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废布袋</w:t>
                  </w:r>
                </w:p>
              </w:tc>
              <w:tc>
                <w:tcPr>
                  <w:tcW w:w="1344" w:type="pct"/>
                  <w:vMerge w:val="continue"/>
                  <w:tcBorders>
                    <w:tl2br w:val="nil"/>
                    <w:tr2bl w:val="nil"/>
                  </w:tcBorders>
                  <w:noWrap w:val="0"/>
                  <w:vAlign w:val="center"/>
                </w:tcPr>
                <w:p w14:paraId="1A110DC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p>
              </w:tc>
              <w:tc>
                <w:tcPr>
                  <w:tcW w:w="859" w:type="pct"/>
                  <w:vMerge w:val="continue"/>
                  <w:tcBorders>
                    <w:tl2br w:val="nil"/>
                    <w:tr2bl w:val="nil"/>
                  </w:tcBorders>
                  <w:noWrap w:val="0"/>
                  <w:vAlign w:val="center"/>
                </w:tcPr>
                <w:p w14:paraId="14D1008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c>
                <w:tcPr>
                  <w:tcW w:w="1444" w:type="pct"/>
                  <w:vMerge w:val="continue"/>
                  <w:tcBorders>
                    <w:tl2br w:val="nil"/>
                    <w:tr2bl w:val="nil"/>
                  </w:tcBorders>
                  <w:noWrap w:val="0"/>
                  <w:vAlign w:val="center"/>
                </w:tcPr>
                <w:p w14:paraId="59BC00E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bl>
          <w:p w14:paraId="71C9FE2F">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九、环境管理</w:t>
            </w:r>
          </w:p>
          <w:p w14:paraId="47B9F841">
            <w:pPr>
              <w:pStyle w:val="7"/>
              <w:keepNext w:val="0"/>
              <w:keepLines w:val="0"/>
              <w:suppressLineNumbers w:val="0"/>
              <w:adjustRightIn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（1）环境信息公开</w:t>
            </w:r>
          </w:p>
          <w:p w14:paraId="009B61DC">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068ADA11">
            <w:pPr>
              <w:pStyle w:val="7"/>
              <w:keepNext w:val="0"/>
              <w:keepLines w:val="0"/>
              <w:suppressLineNumbers w:val="0"/>
              <w:adjustRightIn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（2）环保机构职责</w:t>
            </w:r>
          </w:p>
          <w:p w14:paraId="5C47DB7A">
            <w:pPr>
              <w:pStyle w:val="7"/>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本项目环境管理机构应履行以下主要职责：</w:t>
            </w:r>
          </w:p>
          <w:p w14:paraId="3C2E2522">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①组织宣传贯彻国家和地方的环境保护方针、政策、标准，对企业员工进行环保知识教育；</w:t>
            </w:r>
          </w:p>
          <w:p w14:paraId="672E6359">
            <w:pPr>
              <w:pStyle w:val="7"/>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②组织制定和修改项目的环境保护管理规章制度并监督执行；</w:t>
            </w:r>
          </w:p>
          <w:p w14:paraId="1E8DBE80">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③根据国家、地方政府等规定的环境质量要求，结合本项目实际情况制定并组织实施各项环境保护规则和计划，协调经济发展和环境保护之间的关系；</w:t>
            </w:r>
          </w:p>
          <w:p w14:paraId="6169F6F4">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④检查项目环境保护设施运行状况，配合厂内日常环境监测，确保各污染物控制措施可靠、有效；</w:t>
            </w:r>
          </w:p>
          <w:p w14:paraId="5A851FB7">
            <w:pPr>
              <w:pStyle w:val="7"/>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⑤对可能造成的环境污染及时向上级汇报，并提出防治、应急措施；</w:t>
            </w:r>
          </w:p>
          <w:p w14:paraId="5D010751">
            <w:pPr>
              <w:pStyle w:val="7"/>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⑥组织开展项目的环境保护专业技术培训，提高员工环保素质；</w:t>
            </w:r>
          </w:p>
          <w:p w14:paraId="1BE927E6">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⑦接受地方环保局的业务指导和监督，按要求上报各项管理工作的执行情况及有关环境数据，为区域整体环境管理服务；</w:t>
            </w:r>
          </w:p>
          <w:p w14:paraId="685E50E6">
            <w:pPr>
              <w:pStyle w:val="7"/>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⑧推广应用环境保护先进技术和经验。</w:t>
            </w:r>
          </w:p>
          <w:p w14:paraId="6754C5D7">
            <w:pPr>
              <w:pStyle w:val="7"/>
              <w:keepNext w:val="0"/>
              <w:keepLines w:val="0"/>
              <w:suppressLineNumbers w:val="0"/>
              <w:adjustRightIn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（3）环境保护管理制度</w:t>
            </w:r>
          </w:p>
          <w:p w14:paraId="52DBA7AC">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①对技术工人进行上岗前的环保知识法规教育及操作规范的培训，使各项环保设施的操作规范化，保证环保设施的正常运转；</w:t>
            </w:r>
          </w:p>
          <w:p w14:paraId="2737361A">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②定期向环保主管部门汇报环保工作情况，污染治理设施运行情况，监视性监测结果；</w:t>
            </w:r>
          </w:p>
          <w:p w14:paraId="7F9A3BE8">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③加强环境监测工作，重点是各污染源的监测，并注意做好记录，监测中如发现异常情况应及时向有关部门通报，及时采取应急措施，防止事故排放；</w:t>
            </w:r>
          </w:p>
          <w:p w14:paraId="6546B53F">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④建立本企业的环境保护工作档案，包括污染物排放情况；污染治理设施的运行、操作和管理情况；监测记录；污染事故情况及有关记录；其他与污染防治有关的情况和资料等。</w:t>
            </w:r>
          </w:p>
          <w:p w14:paraId="0292ACEE">
            <w:pPr>
              <w:pStyle w:val="7"/>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⑤贯彻落实建设项目环境影响评价和“三同时”制度</w:t>
            </w:r>
          </w:p>
          <w:p w14:paraId="5518F4B4">
            <w:pPr>
              <w:pStyle w:val="7"/>
              <w:keepNext w:val="0"/>
              <w:keepLines w:val="0"/>
              <w:suppressLineNumbers w:val="0"/>
              <w:adjustRightIn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（4）环保设施运行维护制度</w:t>
            </w:r>
          </w:p>
          <w:p w14:paraId="4316A755">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①制定各环保设施操作规程，定期维修制度，使各项环保设施在生产过程中处于良好地运行状态；</w:t>
            </w:r>
          </w:p>
          <w:p w14:paraId="0E169D57">
            <w:pPr>
              <w:pStyle w:val="7"/>
              <w:keepNext w:val="0"/>
              <w:keepLines w:val="0"/>
              <w:suppressLineNumbers w:val="0"/>
              <w:adjustRightInd w:val="0"/>
              <w:spacing w:before="0" w:beforeAutospacing="0" w:after="0" w:afterAutospacing="0" w:line="360" w:lineRule="auto"/>
              <w:ind w:left="0" w:right="0"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②加强对环保设施的运行管理，制定定期维修制度，如环保设施出现故障，应立即停产检修，严禁事故排放；</w:t>
            </w:r>
          </w:p>
          <w:p w14:paraId="115595F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p w14:paraId="1A83ECCD">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（5）环境监测</w:t>
            </w:r>
          </w:p>
          <w:p w14:paraId="73BDF52F">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行业特点，上级环保部门有关法规条例，结合本工程的实际情况，企业应对常规项目及特征污染物进行日常监测，特征污染物企业需具备自主监测能力。在不具备监测条件的情况下，可委托具有监测能力的当地环境监测站及相关机构进行监测。</w:t>
            </w:r>
          </w:p>
          <w:p w14:paraId="3AAA93D7">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根据《排污单位自行监测技术指南总则》（HJ 819-2017</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和</w:t>
            </w:r>
            <w:r>
              <w:rPr>
                <w:rFonts w:hint="eastAsia" w:ascii="Times New Roman" w:hAnsi="Times New Roman" w:cs="Times New Roman"/>
                <w:color w:val="auto"/>
                <w:sz w:val="24"/>
                <w:szCs w:val="32"/>
                <w:highlight w:val="none"/>
                <w:lang w:val="en-US" w:eastAsia="zh-CN"/>
              </w:rPr>
              <w:t>《排污许可证申请与核发技术规范 石墨及其他非金属矿物制品制造》（HJ1119-2020）</w:t>
            </w:r>
            <w:r>
              <w:rPr>
                <w:rFonts w:hint="default" w:ascii="Times New Roman" w:hAnsi="Times New Roman" w:cs="Times New Roman"/>
                <w:color w:val="auto"/>
                <w:sz w:val="24"/>
                <w:szCs w:val="32"/>
                <w:highlight w:val="none"/>
              </w:rPr>
              <w:t>的要求，针对拟建项目所排污染物情况，设置监测计划。详见下表。</w:t>
            </w:r>
          </w:p>
          <w:p w14:paraId="591FA128">
            <w:pPr>
              <w:keepNext w:val="0"/>
              <w:keepLines w:val="0"/>
              <w:widowControl/>
              <w:suppressLineNumbers w:val="0"/>
              <w:spacing w:before="0" w:beforeAutospacing="0" w:after="0" w:afterAutospacing="0"/>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21</w:t>
            </w:r>
            <w:r>
              <w:rPr>
                <w:rFonts w:hint="eastAsia"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拟建项目监测计划一览表</w:t>
            </w:r>
          </w:p>
          <w:tbl>
            <w:tblPr>
              <w:tblStyle w:val="32"/>
              <w:tblW w:w="875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305"/>
              <w:gridCol w:w="1788"/>
              <w:gridCol w:w="3903"/>
              <w:gridCol w:w="1763"/>
            </w:tblGrid>
            <w:tr w14:paraId="1345E5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744" w:type="pct"/>
                  <w:tcBorders>
                    <w:tl2br w:val="nil"/>
                    <w:tr2bl w:val="nil"/>
                  </w:tcBorders>
                  <w:noWrap w:val="0"/>
                  <w:vAlign w:val="center"/>
                </w:tcPr>
                <w:p w14:paraId="6FAE759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环境要素</w:t>
                  </w:r>
                </w:p>
              </w:tc>
              <w:tc>
                <w:tcPr>
                  <w:tcW w:w="1020" w:type="pct"/>
                  <w:tcBorders>
                    <w:tl2br w:val="nil"/>
                    <w:tr2bl w:val="nil"/>
                  </w:tcBorders>
                  <w:noWrap w:val="0"/>
                  <w:vAlign w:val="center"/>
                </w:tcPr>
                <w:p w14:paraId="1609047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监测点位</w:t>
                  </w:r>
                </w:p>
              </w:tc>
              <w:tc>
                <w:tcPr>
                  <w:tcW w:w="2227" w:type="pct"/>
                  <w:tcBorders>
                    <w:tl2br w:val="nil"/>
                    <w:tr2bl w:val="nil"/>
                  </w:tcBorders>
                  <w:noWrap w:val="0"/>
                  <w:vAlign w:val="center"/>
                </w:tcPr>
                <w:p w14:paraId="377DB64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监测项目</w:t>
                  </w:r>
                </w:p>
              </w:tc>
              <w:tc>
                <w:tcPr>
                  <w:tcW w:w="1006" w:type="pct"/>
                  <w:tcBorders>
                    <w:tl2br w:val="nil"/>
                    <w:tr2bl w:val="nil"/>
                  </w:tcBorders>
                  <w:noWrap w:val="0"/>
                  <w:vAlign w:val="center"/>
                </w:tcPr>
                <w:p w14:paraId="1AD6096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r>
            <w:tr w14:paraId="37D46D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744" w:type="pct"/>
                  <w:vMerge w:val="restart"/>
                  <w:tcBorders>
                    <w:tl2br w:val="nil"/>
                    <w:tr2bl w:val="nil"/>
                  </w:tcBorders>
                  <w:noWrap w:val="0"/>
                  <w:vAlign w:val="center"/>
                </w:tcPr>
                <w:p w14:paraId="52C93A4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1020" w:type="pct"/>
                  <w:tcBorders>
                    <w:bottom w:val="single" w:color="auto" w:sz="4" w:space="0"/>
                    <w:tl2br w:val="nil"/>
                    <w:tr2bl w:val="nil"/>
                  </w:tcBorders>
                  <w:noWrap w:val="0"/>
                  <w:vAlign w:val="center"/>
                </w:tcPr>
                <w:p w14:paraId="7CB0B0F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DA001</w:t>
                  </w:r>
                </w:p>
              </w:tc>
              <w:tc>
                <w:tcPr>
                  <w:tcW w:w="2227" w:type="pct"/>
                  <w:tcBorders>
                    <w:bottom w:val="single" w:color="auto" w:sz="4" w:space="0"/>
                    <w:tl2br w:val="nil"/>
                    <w:tr2bl w:val="nil"/>
                  </w:tcBorders>
                  <w:noWrap w:val="0"/>
                  <w:vAlign w:val="center"/>
                </w:tcPr>
                <w:p w14:paraId="6494A3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氯化氢</w:t>
                  </w:r>
                  <w:r>
                    <w:rPr>
                      <w:rFonts w:hint="default" w:ascii="Times New Roman" w:hAnsi="Times New Roman" w:eastAsia="宋体" w:cs="Times New Roman"/>
                      <w:color w:val="auto"/>
                      <w:kern w:val="2"/>
                      <w:sz w:val="21"/>
                      <w:szCs w:val="21"/>
                      <w:highlight w:val="none"/>
                      <w:lang w:val="en-US" w:eastAsia="zh-CN" w:bidi="ar-SA"/>
                    </w:rPr>
                    <w:t>、颗粒物</w:t>
                  </w:r>
                </w:p>
              </w:tc>
              <w:tc>
                <w:tcPr>
                  <w:tcW w:w="1006" w:type="pct"/>
                  <w:vMerge w:val="restart"/>
                  <w:tcBorders>
                    <w:tl2br w:val="nil"/>
                    <w:tr2bl w:val="nil"/>
                  </w:tcBorders>
                  <w:noWrap w:val="0"/>
                  <w:vAlign w:val="center"/>
                </w:tcPr>
                <w:p w14:paraId="7701D1D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每</w:t>
                  </w:r>
                  <w:r>
                    <w:rPr>
                      <w:rFonts w:hint="default" w:ascii="Times New Roman" w:hAnsi="Times New Roman" w:cs="Times New Roman"/>
                      <w:color w:val="auto"/>
                      <w:kern w:val="2"/>
                      <w:sz w:val="21"/>
                      <w:szCs w:val="21"/>
                      <w:highlight w:val="none"/>
                      <w:lang w:val="en-US" w:eastAsia="zh-CN" w:bidi="ar-SA"/>
                    </w:rPr>
                    <w:t>年1次</w:t>
                  </w:r>
                </w:p>
              </w:tc>
            </w:tr>
            <w:tr w14:paraId="0066B5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9" w:hRule="atLeast"/>
                <w:jc w:val="center"/>
              </w:trPr>
              <w:tc>
                <w:tcPr>
                  <w:tcW w:w="744" w:type="pct"/>
                  <w:vMerge w:val="continue"/>
                  <w:tcBorders>
                    <w:tl2br w:val="nil"/>
                    <w:tr2bl w:val="nil"/>
                  </w:tcBorders>
                  <w:noWrap w:val="0"/>
                  <w:vAlign w:val="center"/>
                </w:tcPr>
                <w:p w14:paraId="048C811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20" w:type="pct"/>
                  <w:tcBorders>
                    <w:top w:val="single" w:color="auto" w:sz="4" w:space="0"/>
                    <w:bottom w:val="single" w:color="auto" w:sz="4" w:space="0"/>
                    <w:tl2br w:val="nil"/>
                    <w:tr2bl w:val="nil"/>
                  </w:tcBorders>
                  <w:noWrap w:val="0"/>
                  <w:vAlign w:val="center"/>
                </w:tcPr>
                <w:p w14:paraId="0DE50D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DA002</w:t>
                  </w:r>
                </w:p>
              </w:tc>
              <w:tc>
                <w:tcPr>
                  <w:tcW w:w="2227" w:type="pct"/>
                  <w:tcBorders>
                    <w:top w:val="single" w:color="auto" w:sz="4" w:space="0"/>
                    <w:bottom w:val="single" w:color="auto" w:sz="4" w:space="0"/>
                    <w:tl2br w:val="nil"/>
                    <w:tr2bl w:val="nil"/>
                  </w:tcBorders>
                  <w:noWrap w:val="0"/>
                  <w:vAlign w:val="center"/>
                </w:tcPr>
                <w:p w14:paraId="1C94665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r>
                    <w:rPr>
                      <w:rFonts w:hint="eastAsia" w:ascii="Times New Roman" w:hAnsi="Times New Roman" w:cs="Times New Roman"/>
                      <w:color w:val="auto"/>
                      <w:sz w:val="21"/>
                      <w:szCs w:val="21"/>
                      <w:highlight w:val="none"/>
                      <w:lang w:val="en-US" w:eastAsia="zh-CN"/>
                    </w:rPr>
                    <w:t>、二氧化硫、氮氧化物</w:t>
                  </w:r>
                </w:p>
              </w:tc>
              <w:tc>
                <w:tcPr>
                  <w:tcW w:w="1006" w:type="pct"/>
                  <w:vMerge w:val="continue"/>
                  <w:tcBorders>
                    <w:bottom w:val="single" w:color="auto" w:sz="4" w:space="0"/>
                    <w:tl2br w:val="nil"/>
                    <w:tr2bl w:val="nil"/>
                  </w:tcBorders>
                  <w:noWrap w:val="0"/>
                  <w:vAlign w:val="center"/>
                </w:tcPr>
                <w:p w14:paraId="3F247F3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37DB53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9" w:hRule="atLeast"/>
                <w:jc w:val="center"/>
              </w:trPr>
              <w:tc>
                <w:tcPr>
                  <w:tcW w:w="744" w:type="pct"/>
                  <w:vMerge w:val="continue"/>
                  <w:tcBorders>
                    <w:tl2br w:val="nil"/>
                    <w:tr2bl w:val="nil"/>
                  </w:tcBorders>
                  <w:noWrap w:val="0"/>
                  <w:vAlign w:val="center"/>
                </w:tcPr>
                <w:p w14:paraId="1C4D81D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1020" w:type="pct"/>
                  <w:tcBorders>
                    <w:top w:val="single" w:color="auto" w:sz="4" w:space="0"/>
                    <w:bottom w:val="single" w:color="auto" w:sz="4" w:space="0"/>
                    <w:tl2br w:val="nil"/>
                    <w:tr2bl w:val="nil"/>
                  </w:tcBorders>
                  <w:noWrap w:val="0"/>
                  <w:vAlign w:val="center"/>
                </w:tcPr>
                <w:p w14:paraId="328ADF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厂界外1m</w:t>
                  </w:r>
                </w:p>
              </w:tc>
              <w:tc>
                <w:tcPr>
                  <w:tcW w:w="2227" w:type="pct"/>
                  <w:tcBorders>
                    <w:top w:val="single" w:color="auto" w:sz="4" w:space="0"/>
                    <w:bottom w:val="single" w:color="auto" w:sz="4" w:space="0"/>
                    <w:tl2br w:val="nil"/>
                    <w:tr2bl w:val="nil"/>
                  </w:tcBorders>
                  <w:noWrap w:val="0"/>
                  <w:vAlign w:val="center"/>
                </w:tcPr>
                <w:p w14:paraId="79ABF62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氯化氢</w:t>
                  </w:r>
                  <w:r>
                    <w:rPr>
                      <w:rFonts w:hint="default" w:ascii="Times New Roman" w:hAnsi="Times New Roman" w:eastAsia="宋体" w:cs="Times New Roman"/>
                      <w:color w:val="auto"/>
                      <w:kern w:val="2"/>
                      <w:sz w:val="21"/>
                      <w:szCs w:val="21"/>
                      <w:highlight w:val="none"/>
                      <w:lang w:val="en-US" w:eastAsia="zh-CN" w:bidi="ar-SA"/>
                    </w:rPr>
                    <w:t>、颗粒物</w:t>
                  </w:r>
                </w:p>
              </w:tc>
              <w:tc>
                <w:tcPr>
                  <w:tcW w:w="1006" w:type="pct"/>
                  <w:tcBorders>
                    <w:top w:val="single" w:color="auto" w:sz="4" w:space="0"/>
                    <w:tl2br w:val="nil"/>
                    <w:tr2bl w:val="nil"/>
                  </w:tcBorders>
                  <w:noWrap w:val="0"/>
                  <w:vAlign w:val="center"/>
                </w:tcPr>
                <w:p w14:paraId="0570DB3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每年1次</w:t>
                  </w:r>
                </w:p>
              </w:tc>
            </w:tr>
            <w:tr w14:paraId="7E24DB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7" w:hRule="atLeast"/>
                <w:jc w:val="center"/>
              </w:trPr>
              <w:tc>
                <w:tcPr>
                  <w:tcW w:w="744" w:type="pct"/>
                  <w:tcBorders>
                    <w:tl2br w:val="nil"/>
                    <w:tr2bl w:val="nil"/>
                  </w:tcBorders>
                  <w:noWrap w:val="0"/>
                  <w:vAlign w:val="center"/>
                </w:tcPr>
                <w:p w14:paraId="1DD349C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废水</w:t>
                  </w:r>
                </w:p>
              </w:tc>
              <w:tc>
                <w:tcPr>
                  <w:tcW w:w="1020" w:type="pct"/>
                  <w:tcBorders>
                    <w:tl2br w:val="nil"/>
                    <w:tr2bl w:val="nil"/>
                  </w:tcBorders>
                  <w:noWrap w:val="0"/>
                  <w:vAlign w:val="center"/>
                </w:tcPr>
                <w:p w14:paraId="1A7CAE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废水总排口</w:t>
                  </w:r>
                </w:p>
              </w:tc>
              <w:tc>
                <w:tcPr>
                  <w:tcW w:w="2227" w:type="pct"/>
                  <w:tcBorders>
                    <w:tl2br w:val="nil"/>
                    <w:tr2bl w:val="nil"/>
                  </w:tcBorders>
                  <w:noWrap w:val="0"/>
                  <w:vAlign w:val="center"/>
                </w:tcPr>
                <w:p w14:paraId="3EF037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流量、pH 值、化学需氧量、悬浮物、五日生 化需氧量、氨氮、总磷、氟化物</w:t>
                  </w:r>
                </w:p>
              </w:tc>
              <w:tc>
                <w:tcPr>
                  <w:tcW w:w="1006" w:type="pct"/>
                  <w:tcBorders>
                    <w:tl2br w:val="nil"/>
                    <w:tr2bl w:val="nil"/>
                  </w:tcBorders>
                  <w:noWrap w:val="0"/>
                  <w:vAlign w:val="center"/>
                </w:tcPr>
                <w:p w14:paraId="70D246C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半年</w:t>
                  </w:r>
                  <w:r>
                    <w:rPr>
                      <w:rFonts w:hint="default" w:ascii="Times New Roman" w:hAnsi="Times New Roman" w:cs="Times New Roman"/>
                      <w:color w:val="auto"/>
                      <w:sz w:val="21"/>
                      <w:szCs w:val="21"/>
                      <w:highlight w:val="none"/>
                    </w:rPr>
                    <w:t>1次</w:t>
                  </w:r>
                </w:p>
              </w:tc>
            </w:tr>
            <w:tr w14:paraId="29E467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744" w:type="pct"/>
                  <w:tcBorders>
                    <w:tl2br w:val="nil"/>
                    <w:tr2bl w:val="nil"/>
                  </w:tcBorders>
                  <w:noWrap w:val="0"/>
                  <w:vAlign w:val="center"/>
                </w:tcPr>
                <w:p w14:paraId="641152C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020" w:type="pct"/>
                  <w:tcBorders>
                    <w:tl2br w:val="nil"/>
                    <w:tr2bl w:val="nil"/>
                  </w:tcBorders>
                  <w:noWrap w:val="0"/>
                  <w:vAlign w:val="center"/>
                </w:tcPr>
                <w:p w14:paraId="2E5FCA7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w:t>
                  </w:r>
                </w:p>
              </w:tc>
              <w:tc>
                <w:tcPr>
                  <w:tcW w:w="2227" w:type="pct"/>
                  <w:tcBorders>
                    <w:tl2br w:val="nil"/>
                    <w:tr2bl w:val="nil"/>
                  </w:tcBorders>
                  <w:noWrap w:val="0"/>
                  <w:vAlign w:val="center"/>
                </w:tcPr>
                <w:p w14:paraId="73C2F5B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昼间</w:t>
                  </w:r>
                  <w:r>
                    <w:rPr>
                      <w:rFonts w:hint="default" w:ascii="Times New Roman" w:hAnsi="Times New Roman" w:cs="Times New Roman"/>
                      <w:color w:val="auto"/>
                      <w:sz w:val="21"/>
                      <w:szCs w:val="21"/>
                      <w:highlight w:val="none"/>
                    </w:rPr>
                    <w:t>Leq</w:t>
                  </w:r>
                </w:p>
              </w:tc>
              <w:tc>
                <w:tcPr>
                  <w:tcW w:w="1006" w:type="pct"/>
                  <w:tcBorders>
                    <w:tl2br w:val="nil"/>
                    <w:tr2bl w:val="nil"/>
                  </w:tcBorders>
                  <w:noWrap w:val="0"/>
                  <w:vAlign w:val="center"/>
                </w:tcPr>
                <w:p w14:paraId="7A155B7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每季度一次</w:t>
                  </w:r>
                </w:p>
              </w:tc>
            </w:tr>
            <w:tr w14:paraId="41155F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9" w:hRule="atLeast"/>
                <w:jc w:val="center"/>
              </w:trPr>
              <w:tc>
                <w:tcPr>
                  <w:tcW w:w="744" w:type="pct"/>
                  <w:tcBorders>
                    <w:tl2br w:val="nil"/>
                    <w:tr2bl w:val="nil"/>
                  </w:tcBorders>
                  <w:noWrap w:val="0"/>
                  <w:vAlign w:val="center"/>
                </w:tcPr>
                <w:p w14:paraId="265536B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1020" w:type="pct"/>
                  <w:tcBorders>
                    <w:tl2br w:val="nil"/>
                    <w:tr2bl w:val="nil"/>
                  </w:tcBorders>
                  <w:noWrap w:val="0"/>
                  <w:vAlign w:val="center"/>
                </w:tcPr>
                <w:p w14:paraId="2065C08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统计各类固废量</w:t>
                  </w:r>
                </w:p>
              </w:tc>
              <w:tc>
                <w:tcPr>
                  <w:tcW w:w="2227" w:type="pct"/>
                  <w:tcBorders>
                    <w:tl2br w:val="nil"/>
                    <w:tr2bl w:val="nil"/>
                  </w:tcBorders>
                  <w:noWrap w:val="0"/>
                  <w:vAlign w:val="center"/>
                </w:tcPr>
                <w:p w14:paraId="007C9A4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统计种类、产生量、处理方式、去向</w:t>
                  </w:r>
                </w:p>
              </w:tc>
              <w:tc>
                <w:tcPr>
                  <w:tcW w:w="1006" w:type="pct"/>
                  <w:tcBorders>
                    <w:tl2br w:val="nil"/>
                    <w:tr2bl w:val="nil"/>
                  </w:tcBorders>
                  <w:noWrap w:val="0"/>
                  <w:vAlign w:val="center"/>
                </w:tcPr>
                <w:p w14:paraId="15A93DF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每季度统计一次</w:t>
                  </w:r>
                </w:p>
              </w:tc>
            </w:tr>
          </w:tbl>
          <w:p w14:paraId="55B0A0DD">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十、排污许可分析</w:t>
            </w:r>
          </w:p>
          <w:p w14:paraId="620635C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控制污染物排放许可制实施方案》（国办发[2016]81号）、《排污许可证管理暂行规定》（环水体[2016]186号）、《排污许可管理条例（国务院令第736号）》等文件，“排污单位应当依法持有排污许可证，并按照排污许可证的规定排放污染物”。</w:t>
            </w:r>
          </w:p>
          <w:p w14:paraId="25325AA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cs="Times New Roman"/>
                <w:color w:val="auto"/>
                <w:sz w:val="24"/>
                <w:szCs w:val="32"/>
                <w:highlight w:val="none"/>
              </w:rPr>
              <w:t>根据《控制污染物排放许可制实施方案》（国办发[2016]81号，2016年11月11日）、《关于印发&lt;排污许可证管理暂行规定&gt;的通知》（环水体[2016]186号，2016年12月23日）、《排污许可管理条例（国务院令第736号）》等文件，环境影响评价制度是建设项目的环境准入门槛，排污许可制是企事业单位生产运营期排污的法律依据，必须做好充分衔接，实现从污染预防到污染治理和排放控制的全过程监管。根据《固定污染源排污许可分类管理名录（2019年版）》（环</w:t>
            </w:r>
            <w:r>
              <w:rPr>
                <w:rFonts w:hint="default" w:ascii="Times New Roman" w:hAnsi="Times New Roman" w:eastAsia="宋体" w:cs="Times New Roman"/>
                <w:color w:val="auto"/>
                <w:sz w:val="24"/>
                <w:szCs w:val="32"/>
                <w:highlight w:val="none"/>
              </w:rPr>
              <w:t>办环评函</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2020</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9号，2020年01月06日），</w:t>
            </w:r>
            <w:r>
              <w:rPr>
                <w:rFonts w:hint="default" w:ascii="Times New Roman" w:hAnsi="Times New Roman" w:eastAsia="宋体" w:cs="Times New Roman"/>
                <w:color w:val="auto"/>
                <w:sz w:val="24"/>
                <w:szCs w:val="32"/>
                <w:highlight w:val="none"/>
                <w:lang w:val="en-US" w:eastAsia="zh-CN"/>
              </w:rPr>
              <w:t>本项目</w:t>
            </w:r>
            <w:r>
              <w:rPr>
                <w:rFonts w:hint="default" w:ascii="Times New Roman" w:hAnsi="Times New Roman" w:eastAsia="宋体" w:cs="Times New Roman"/>
                <w:color w:val="auto"/>
                <w:sz w:val="24"/>
                <w:szCs w:val="32"/>
                <w:highlight w:val="none"/>
              </w:rPr>
              <w:t>属于</w:t>
            </w:r>
            <w:r>
              <w:rPr>
                <w:rFonts w:hint="default" w:ascii="Times New Roman" w:hAnsi="Times New Roman" w:eastAsia="宋体" w:cs="Times New Roman"/>
                <w:color w:val="auto"/>
                <w:sz w:val="24"/>
                <w:szCs w:val="32"/>
                <w:highlight w:val="none"/>
                <w:lang w:val="en-US" w:eastAsia="zh-CN"/>
              </w:rPr>
              <w:t>“二十五、非金属矿物制品业30”</w:t>
            </w:r>
            <w:r>
              <w:rPr>
                <w:rFonts w:hint="default" w:ascii="Times New Roman" w:hAnsi="Times New Roman" w:eastAsia="宋体" w:cs="Times New Roman"/>
                <w:color w:val="auto"/>
                <w:sz w:val="24"/>
                <w:szCs w:val="32"/>
                <w:highlight w:val="none"/>
              </w:rPr>
              <w:t>中</w:t>
            </w:r>
            <w:r>
              <w:rPr>
                <w:rFonts w:hint="default" w:ascii="Times New Roman" w:hAnsi="Times New Roman" w:eastAsia="宋体" w:cs="Times New Roman"/>
                <w:color w:val="auto"/>
                <w:sz w:val="24"/>
                <w:szCs w:val="32"/>
                <w:highlight w:val="none"/>
                <w:lang w:val="en-US" w:eastAsia="zh-CN"/>
              </w:rPr>
              <w:t>“</w:t>
            </w:r>
            <w:r>
              <w:rPr>
                <w:rFonts w:hint="eastAsia" w:ascii="Times New Roman" w:hAnsi="Times New Roman" w:eastAsia="宋体" w:cs="Times New Roman"/>
                <w:color w:val="auto"/>
                <w:sz w:val="24"/>
                <w:szCs w:val="32"/>
                <w:highlight w:val="none"/>
                <w:lang w:val="en-US" w:eastAsia="zh-CN"/>
              </w:rPr>
              <w:t>70石墨及其他非金属矿物制品制造309</w:t>
            </w:r>
            <w:r>
              <w:rPr>
                <w:rFonts w:hint="default" w:ascii="Times New Roman" w:hAnsi="Times New Roman" w:eastAsia="宋体" w:cs="Times New Roman"/>
                <w:color w:val="auto"/>
                <w:sz w:val="24"/>
                <w:szCs w:val="32"/>
                <w:highlight w:val="none"/>
                <w:lang w:val="en-US" w:eastAsia="zh-CN"/>
              </w:rPr>
              <w:t>”中“其他非金属矿物制品制造3099（除重 点管理、简化管理以外的）”</w:t>
            </w:r>
            <w:r>
              <w:rPr>
                <w:rFonts w:hint="default" w:ascii="Times New Roman" w:hAnsi="Times New Roman" w:eastAsia="宋体" w:cs="Times New Roman"/>
                <w:color w:val="auto"/>
                <w:sz w:val="24"/>
                <w:szCs w:val="32"/>
                <w:highlight w:val="none"/>
              </w:rPr>
              <w:t>，需进行</w:t>
            </w:r>
            <w:r>
              <w:rPr>
                <w:rFonts w:hint="default" w:ascii="Times New Roman" w:hAnsi="Times New Roman" w:eastAsia="宋体" w:cs="Times New Roman"/>
                <w:color w:val="auto"/>
                <w:sz w:val="24"/>
                <w:szCs w:val="32"/>
                <w:highlight w:val="none"/>
                <w:lang w:val="en-US" w:eastAsia="zh-CN"/>
              </w:rPr>
              <w:t>登记管理</w:t>
            </w:r>
            <w:r>
              <w:rPr>
                <w:rFonts w:hint="default" w:ascii="Times New Roman" w:hAnsi="Times New Roman" w:eastAsia="宋体" w:cs="Times New Roman"/>
                <w:color w:val="auto"/>
                <w:sz w:val="24"/>
                <w:szCs w:val="32"/>
                <w:highlight w:val="none"/>
              </w:rPr>
              <w:t>。</w:t>
            </w:r>
          </w:p>
          <w:p w14:paraId="10291929">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十一、排污口规范设置</w:t>
            </w:r>
          </w:p>
          <w:p w14:paraId="47061D8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国家标准《环境保护图形标志—排放口（源）》、国家环境保护总局《排污口规范化整治要求》（试行）（国家环保局环监[1996]470号）、《山东省污水排放口环境信息公开技术规范》（DB37/T2463-2014）的技术要求，企业所有排放口（包括水、气、声、渣）必须按照</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便于采样、便于计量检测、便于日常监督检查</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rPr>
              <w:t>的原则来规范化要求，设置与之相适应的环境保护图形标志牌和企业排污口分布图，对污染物治理设施安装运行监控装置、排污口规范化要符合当地环保部门的有关要求。</w:t>
            </w:r>
          </w:p>
          <w:p w14:paraId="28E41D9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5F0A5A7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①项目产生的一般固废</w:t>
            </w:r>
            <w:r>
              <w:rPr>
                <w:rFonts w:hint="default" w:ascii="Times New Roman" w:hAnsi="Times New Roman" w:eastAsia="宋体" w:cs="Times New Roman"/>
                <w:color w:val="auto"/>
                <w:kern w:val="2"/>
                <w:sz w:val="24"/>
                <w:szCs w:val="24"/>
                <w:lang w:val="en-US" w:eastAsia="zh-CN" w:bidi="ar-SA"/>
              </w:rPr>
              <w:t>由车间工作人员统一收集后外售给有处置能力和资质单位处置。</w:t>
            </w:r>
            <w:r>
              <w:rPr>
                <w:rFonts w:hint="default" w:ascii="Times New Roman" w:hAnsi="Times New Roman" w:cs="Times New Roman"/>
                <w:color w:val="auto"/>
                <w:sz w:val="24"/>
                <w:szCs w:val="32"/>
                <w:highlight w:val="none"/>
              </w:rPr>
              <w:t>存放场地需采取防扬散、防流失措施，并应在存放场地设置环保标志牌。</w:t>
            </w:r>
          </w:p>
          <w:p w14:paraId="14975B3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②主要固定噪声源附近应设置环境保护图形标志牌。</w:t>
            </w:r>
          </w:p>
          <w:p w14:paraId="23A1888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③项目废气污染源排气筒应按照“排污口”要求进行设置，并设置便于采样、监测的采样口或采样平台；在排气筒附近醒目处设置环保标志牌。</w:t>
            </w:r>
          </w:p>
          <w:p w14:paraId="09406C76">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eastAsia="宋体" w:cs="Times New Roman"/>
                <w:color w:val="auto"/>
                <w:sz w:val="24"/>
                <w:szCs w:val="32"/>
                <w:highlight w:val="none"/>
                <w:lang w:val="en-US" w:eastAsia="zh-CN"/>
              </w:rPr>
            </w:pPr>
            <w:r>
              <w:rPr>
                <w:rFonts w:hint="default" w:ascii="Times New Roman" w:hAnsi="Times New Roman" w:cs="Times New Roman"/>
                <w:color w:val="auto"/>
                <w:sz w:val="24"/>
                <w:szCs w:val="32"/>
                <w:highlight w:val="none"/>
              </w:rPr>
              <w:t>本项目建成后，</w:t>
            </w:r>
            <w:r>
              <w:rPr>
                <w:rFonts w:hint="default" w:ascii="Times New Roman" w:hAnsi="Times New Roman" w:cs="Times New Roman"/>
                <w:color w:val="auto"/>
                <w:sz w:val="24"/>
                <w:szCs w:val="32"/>
                <w:highlight w:val="none"/>
                <w:lang w:val="en-US" w:eastAsia="zh-CN"/>
              </w:rPr>
              <w:t>所产生废气均为无组织排放，所产生生活污水均不外排。</w:t>
            </w:r>
          </w:p>
          <w:p w14:paraId="54E70BB6">
            <w:pPr>
              <w:keepNext w:val="0"/>
              <w:keepLines w:val="0"/>
              <w:suppressLineNumbers w:val="0"/>
              <w:spacing w:before="0" w:beforeAutospacing="0" w:after="0" w:afterAutospacing="0" w:line="360" w:lineRule="auto"/>
              <w:ind w:left="0" w:right="0" w:firstLine="470" w:firstLineChars="196"/>
              <w:jc w:val="left"/>
              <w:rPr>
                <w:rFonts w:hint="default" w:ascii="Times New Roman" w:hAnsi="Times New Roman" w:eastAsia="宋体" w:cs="Times New Roman"/>
                <w:color w:val="auto"/>
                <w:sz w:val="24"/>
                <w:szCs w:val="32"/>
                <w:highlight w:val="none"/>
                <w:lang w:val="en-US" w:eastAsia="zh-CN"/>
              </w:rPr>
            </w:pPr>
            <w:r>
              <w:rPr>
                <w:rFonts w:hint="default" w:ascii="Times New Roman" w:hAnsi="Times New Roman" w:cs="Times New Roman"/>
                <w:color w:val="auto"/>
                <w:sz w:val="24"/>
                <w:szCs w:val="32"/>
                <w:highlight w:val="none"/>
                <w:lang w:val="en-US" w:eastAsia="zh-CN"/>
              </w:rPr>
              <w:t>因此本项目无需设置废气、废水排放口。</w:t>
            </w:r>
          </w:p>
          <w:p w14:paraId="13DF847B">
            <w:pPr>
              <w:keepNext w:val="0"/>
              <w:keepLines w:val="0"/>
              <w:suppressLineNumbers w:val="0"/>
              <w:spacing w:before="0" w:beforeAutospacing="0" w:after="0" w:afterAutospacing="0" w:line="360" w:lineRule="auto"/>
              <w:ind w:left="0" w:right="0" w:firstLine="472" w:firstLineChars="196"/>
              <w:jc w:val="left"/>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十二、电磁辐射</w:t>
            </w:r>
          </w:p>
          <w:p w14:paraId="4E7ADA3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32"/>
                <w:highlight w:val="none"/>
                <w:lang w:eastAsia="zh-CN"/>
              </w:rPr>
            </w:pPr>
            <w:r>
              <w:rPr>
                <w:rFonts w:hint="default" w:ascii="Times New Roman" w:hAnsi="Times New Roman" w:cs="Times New Roman"/>
                <w:color w:val="auto"/>
                <w:sz w:val="24"/>
                <w:szCs w:val="32"/>
                <w:highlight w:val="none"/>
              </w:rPr>
              <w:t>本项目不涉及电磁辐射影响</w:t>
            </w:r>
            <w:r>
              <w:rPr>
                <w:rFonts w:hint="default" w:ascii="Times New Roman" w:hAnsi="Times New Roman" w:cs="Times New Roman"/>
                <w:color w:val="auto"/>
                <w:sz w:val="24"/>
                <w:szCs w:val="32"/>
                <w:highlight w:val="none"/>
                <w:lang w:eastAsia="zh-CN"/>
              </w:rPr>
              <w:t>。</w:t>
            </w:r>
          </w:p>
          <w:p w14:paraId="32738EFB">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32"/>
                <w:highlight w:val="none"/>
                <w:lang w:eastAsia="zh-CN"/>
              </w:rPr>
            </w:pPr>
          </w:p>
          <w:p w14:paraId="0505E3E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32"/>
                <w:highlight w:val="none"/>
                <w:lang w:eastAsia="zh-CN"/>
              </w:rPr>
            </w:pPr>
          </w:p>
          <w:p w14:paraId="3DC6BA59">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32"/>
                <w:highlight w:val="none"/>
                <w:lang w:eastAsia="zh-CN"/>
              </w:rPr>
            </w:pPr>
          </w:p>
          <w:p w14:paraId="6F33BD7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32"/>
                <w:highlight w:val="none"/>
                <w:lang w:eastAsia="zh-CN"/>
              </w:rPr>
            </w:pPr>
          </w:p>
          <w:p w14:paraId="463463E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32"/>
                <w:highlight w:val="none"/>
                <w:lang w:eastAsia="zh-CN"/>
              </w:rPr>
            </w:pPr>
          </w:p>
          <w:p w14:paraId="5A2025AA">
            <w:pPr>
              <w:keepNext w:val="0"/>
              <w:keepLines w:val="0"/>
              <w:suppressLineNumbers w:val="0"/>
              <w:spacing w:before="0" w:beforeAutospacing="0" w:after="0" w:afterAutospacing="0"/>
              <w:ind w:left="0" w:right="0" w:firstLine="480" w:firstLineChars="200"/>
              <w:rPr>
                <w:rFonts w:hint="eastAsia" w:cs="Times New Roman"/>
                <w:color w:val="auto"/>
                <w:sz w:val="24"/>
                <w:szCs w:val="32"/>
                <w:highlight w:val="none"/>
                <w:lang w:val="en-US" w:eastAsia="zh-CN"/>
              </w:rPr>
            </w:pPr>
          </w:p>
          <w:p w14:paraId="6441A799">
            <w:pPr>
              <w:keepNext w:val="0"/>
              <w:keepLines w:val="0"/>
              <w:suppressLineNumbers w:val="0"/>
              <w:spacing w:before="0" w:beforeAutospacing="0" w:after="0" w:afterAutospacing="0"/>
              <w:ind w:left="0" w:right="0"/>
              <w:rPr>
                <w:rFonts w:hint="default" w:ascii="Times New Roman" w:hAnsi="Times New Roman" w:cs="Times New Roman"/>
                <w:lang w:val="en-US"/>
              </w:rPr>
            </w:pPr>
          </w:p>
        </w:tc>
      </w:tr>
    </w:tbl>
    <w:p w14:paraId="73E501DC">
      <w:pPr>
        <w:keepNext w:val="0"/>
        <w:keepLines w:val="0"/>
        <w:pageBreakBefore w:val="0"/>
        <w:widowControl w:val="0"/>
        <w:kinsoku/>
        <w:wordWrap/>
        <w:overflowPunct/>
        <w:topLinePunct w:val="0"/>
        <w:autoSpaceDE/>
        <w:autoSpaceDN/>
        <w:bidi w:val="0"/>
        <w:adjustRightInd w:val="0"/>
        <w:snapToGrid w:val="0"/>
        <w:spacing w:line="0" w:lineRule="atLeast"/>
        <w:jc w:val="both"/>
        <w:textAlignment w:val="auto"/>
        <w:rPr>
          <w:rFonts w:hint="default" w:ascii="Times New Roman" w:hAnsi="Times New Roman" w:cs="Times New Roman"/>
          <w:bCs/>
          <w:color w:val="auto"/>
          <w:sz w:val="4"/>
          <w:szCs w:val="4"/>
          <w:highlight w:val="none"/>
        </w:rPr>
      </w:pPr>
    </w:p>
    <w:p w14:paraId="0DC597A8">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imes New Roman" w:hAnsi="Times New Roman" w:cs="Times New Roman"/>
          <w:bCs/>
          <w:color w:val="auto"/>
          <w:sz w:val="4"/>
          <w:szCs w:val="4"/>
          <w:highlight w:val="none"/>
        </w:rPr>
        <w:sectPr>
          <w:pgSz w:w="11907" w:h="16840"/>
          <w:pgMar w:top="1417" w:right="1134" w:bottom="1417" w:left="1134"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3A5CA470">
      <w:pPr>
        <w:pStyle w:val="28"/>
        <w:keepNext w:val="0"/>
        <w:keepLines w:val="0"/>
        <w:pageBreakBefore w:val="0"/>
        <w:widowControl/>
        <w:kinsoku/>
        <w:wordWrap/>
        <w:overflowPunct/>
        <w:topLinePunct w:val="0"/>
        <w:autoSpaceDE/>
        <w:autoSpaceDN/>
        <w:bidi w:val="0"/>
        <w:adjustRightInd w:val="0"/>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bookmarkStart w:id="17" w:name="_Toc20529"/>
      <w:bookmarkStart w:id="18" w:name="_Toc14205"/>
      <w:bookmarkStart w:id="19" w:name="_Toc15646"/>
      <w:r>
        <w:rPr>
          <w:rFonts w:hint="default" w:ascii="Times New Roman" w:hAnsi="Times New Roman" w:eastAsia="黑体" w:cs="Times New Roman"/>
          <w:snapToGrid w:val="0"/>
          <w:color w:val="auto"/>
          <w:sz w:val="30"/>
          <w:szCs w:val="30"/>
          <w:highlight w:val="none"/>
        </w:rPr>
        <w:t>五、</w:t>
      </w:r>
      <w:bookmarkStart w:id="20" w:name="_Hlk54167917"/>
      <w:r>
        <w:rPr>
          <w:rFonts w:hint="default" w:ascii="Times New Roman" w:hAnsi="Times New Roman" w:eastAsia="黑体" w:cs="Times New Roman"/>
          <w:snapToGrid w:val="0"/>
          <w:color w:val="auto"/>
          <w:sz w:val="30"/>
          <w:szCs w:val="30"/>
          <w:highlight w:val="none"/>
        </w:rPr>
        <w:t>环境保护措施监督检查清单</w:t>
      </w:r>
      <w:bookmarkEnd w:id="17"/>
      <w:bookmarkEnd w:id="18"/>
      <w:bookmarkEnd w:id="20"/>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52"/>
        <w:gridCol w:w="700"/>
        <w:gridCol w:w="1057"/>
        <w:gridCol w:w="1444"/>
        <w:gridCol w:w="2242"/>
        <w:gridCol w:w="2"/>
        <w:gridCol w:w="3158"/>
      </w:tblGrid>
      <w:tr w14:paraId="29A94E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2337794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textAlignment w:val="auto"/>
              <w:rPr>
                <w:rFonts w:hint="default" w:ascii="Times New Roman" w:hAnsi="Times New Roman" w:eastAsia="宋体" w:cs="Times New Roman"/>
                <w:b/>
                <w:bCs/>
                <w:color w:val="auto"/>
                <w:sz w:val="24"/>
                <w:szCs w:val="24"/>
                <w:highlight w:val="none"/>
              </w:rPr>
            </w:pPr>
            <w:bookmarkStart w:id="21" w:name="_Toc31301"/>
            <w:r>
              <w:rPr>
                <w:rFonts w:hint="default" w:ascii="Times New Roman" w:hAnsi="Times New Roman" w:eastAsia="宋体" w:cs="Times New Roman"/>
                <w:b/>
                <w:bCs/>
                <w:color w:val="auto"/>
                <w:sz w:val="24"/>
                <w:szCs w:val="24"/>
                <w:highlight w:val="none"/>
              </w:rPr>
              <w:t>内容要素</w:t>
            </w:r>
          </w:p>
        </w:tc>
        <w:tc>
          <w:tcPr>
            <w:tcW w:w="891" w:type="pct"/>
            <w:gridSpan w:val="2"/>
            <w:tcBorders>
              <w:tl2br w:val="nil"/>
              <w:tr2bl w:val="nil"/>
            </w:tcBorders>
            <w:noWrap w:val="0"/>
            <w:vAlign w:val="center"/>
          </w:tcPr>
          <w:p w14:paraId="662B538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排放口</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编号、名称</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/污染源</w:t>
            </w:r>
          </w:p>
        </w:tc>
        <w:tc>
          <w:tcPr>
            <w:tcW w:w="732" w:type="pct"/>
            <w:tcBorders>
              <w:tl2br w:val="nil"/>
              <w:tr2bl w:val="nil"/>
            </w:tcBorders>
            <w:noWrap w:val="0"/>
            <w:vAlign w:val="center"/>
          </w:tcPr>
          <w:p w14:paraId="193591F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污染物</w:t>
            </w:r>
          </w:p>
          <w:p w14:paraId="6F71136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项目</w:t>
            </w:r>
          </w:p>
        </w:tc>
        <w:tc>
          <w:tcPr>
            <w:tcW w:w="1137" w:type="pct"/>
            <w:tcBorders>
              <w:tl2br w:val="nil"/>
              <w:tr2bl w:val="nil"/>
            </w:tcBorders>
            <w:noWrap w:val="0"/>
            <w:vAlign w:val="center"/>
          </w:tcPr>
          <w:p w14:paraId="13E4337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环境保护措施</w:t>
            </w:r>
          </w:p>
        </w:tc>
        <w:tc>
          <w:tcPr>
            <w:tcW w:w="1603" w:type="pct"/>
            <w:gridSpan w:val="2"/>
            <w:tcBorders>
              <w:tl2br w:val="nil"/>
              <w:tr2bl w:val="nil"/>
            </w:tcBorders>
            <w:noWrap w:val="0"/>
            <w:vAlign w:val="center"/>
          </w:tcPr>
          <w:p w14:paraId="65CBDDA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执行标准</w:t>
            </w:r>
          </w:p>
        </w:tc>
      </w:tr>
      <w:tr w14:paraId="022847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restart"/>
            <w:tcBorders>
              <w:tl2br w:val="nil"/>
              <w:tr2bl w:val="nil"/>
            </w:tcBorders>
            <w:noWrap w:val="0"/>
            <w:vAlign w:val="center"/>
          </w:tcPr>
          <w:p w14:paraId="4673B45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大气环境</w:t>
            </w:r>
          </w:p>
        </w:tc>
        <w:tc>
          <w:tcPr>
            <w:tcW w:w="355" w:type="pct"/>
            <w:vMerge w:val="restart"/>
            <w:tcBorders>
              <w:tl2br w:val="nil"/>
              <w:tr2bl w:val="nil"/>
            </w:tcBorders>
            <w:noWrap w:val="0"/>
            <w:vAlign w:val="center"/>
          </w:tcPr>
          <w:p w14:paraId="16F0005D">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有</w:t>
            </w:r>
            <w:r>
              <w:rPr>
                <w:rFonts w:hint="default" w:ascii="Times New Roman" w:hAnsi="Times New Roman" w:eastAsia="宋体" w:cs="Times New Roman"/>
                <w:color w:val="auto"/>
                <w:sz w:val="24"/>
                <w:szCs w:val="24"/>
              </w:rPr>
              <w:t>组织</w:t>
            </w:r>
          </w:p>
        </w:tc>
        <w:tc>
          <w:tcPr>
            <w:tcW w:w="536" w:type="pct"/>
            <w:vMerge w:val="restart"/>
            <w:tcBorders>
              <w:tl2br w:val="nil"/>
              <w:tr2bl w:val="nil"/>
            </w:tcBorders>
            <w:noWrap w:val="0"/>
            <w:vAlign w:val="center"/>
          </w:tcPr>
          <w:p w14:paraId="20059FC1">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DA001</w:t>
            </w:r>
          </w:p>
        </w:tc>
        <w:tc>
          <w:tcPr>
            <w:tcW w:w="732" w:type="pct"/>
            <w:tcBorders>
              <w:bottom w:val="single" w:color="auto" w:sz="4" w:space="0"/>
              <w:tl2br w:val="nil"/>
              <w:tr2bl w:val="nil"/>
            </w:tcBorders>
            <w:noWrap w:val="0"/>
            <w:vAlign w:val="center"/>
          </w:tcPr>
          <w:p w14:paraId="558B61EF">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氯化氢</w:t>
            </w:r>
          </w:p>
        </w:tc>
        <w:tc>
          <w:tcPr>
            <w:tcW w:w="1137" w:type="pct"/>
            <w:vMerge w:val="restart"/>
            <w:tcBorders>
              <w:tl2br w:val="nil"/>
              <w:tr2bl w:val="nil"/>
            </w:tcBorders>
            <w:noWrap w:val="0"/>
            <w:vAlign w:val="center"/>
          </w:tcPr>
          <w:p w14:paraId="12E53234">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二级水喷淋+除雾器+布袋除尘器</w:t>
            </w:r>
            <w:r>
              <w:rPr>
                <w:rFonts w:hint="default" w:ascii="Times New Roman" w:hAnsi="Times New Roman" w:eastAsia="宋体" w:cs="Times New Roman"/>
                <w:color w:val="auto"/>
                <w:sz w:val="24"/>
                <w:szCs w:val="24"/>
                <w:lang w:val="en-US" w:eastAsia="zh-CN"/>
              </w:rPr>
              <w:t>+15m</w:t>
            </w:r>
            <w:r>
              <w:rPr>
                <w:rFonts w:hint="eastAsia" w:ascii="Times New Roman" w:hAnsi="Times New Roman" w:eastAsia="宋体" w:cs="Times New Roman"/>
                <w:color w:val="auto"/>
                <w:sz w:val="24"/>
                <w:szCs w:val="24"/>
                <w:lang w:val="en-US" w:eastAsia="zh-CN"/>
              </w:rPr>
              <w:t>DA001</w:t>
            </w:r>
            <w:r>
              <w:rPr>
                <w:rFonts w:hint="default" w:ascii="Times New Roman" w:hAnsi="Times New Roman" w:eastAsia="宋体" w:cs="Times New Roman"/>
                <w:color w:val="auto"/>
                <w:sz w:val="24"/>
                <w:szCs w:val="24"/>
                <w:lang w:val="en-US" w:eastAsia="zh-CN"/>
              </w:rPr>
              <w:t>排气筒</w:t>
            </w:r>
          </w:p>
        </w:tc>
        <w:tc>
          <w:tcPr>
            <w:tcW w:w="1603" w:type="pct"/>
            <w:gridSpan w:val="2"/>
            <w:tcBorders>
              <w:bottom w:val="single" w:color="auto" w:sz="4" w:space="0"/>
              <w:tl2br w:val="nil"/>
              <w:tr2bl w:val="nil"/>
            </w:tcBorders>
            <w:noWrap w:val="0"/>
            <w:vAlign w:val="center"/>
          </w:tcPr>
          <w:p w14:paraId="6241B473">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《大气污染物综合排放标准》（GB16297-1996）表2中污染物排放限值</w:t>
            </w:r>
          </w:p>
        </w:tc>
      </w:tr>
      <w:tr w14:paraId="5789CF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418502B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355" w:type="pct"/>
            <w:vMerge w:val="continue"/>
            <w:tcBorders>
              <w:tl2br w:val="nil"/>
              <w:tr2bl w:val="nil"/>
            </w:tcBorders>
            <w:noWrap w:val="0"/>
            <w:vAlign w:val="center"/>
          </w:tcPr>
          <w:p w14:paraId="77E8C180">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536" w:type="pct"/>
            <w:vMerge w:val="continue"/>
            <w:tcBorders>
              <w:bottom w:val="single" w:color="auto" w:sz="4" w:space="0"/>
              <w:tl2br w:val="nil"/>
              <w:tr2bl w:val="nil"/>
            </w:tcBorders>
            <w:noWrap w:val="0"/>
            <w:vAlign w:val="center"/>
          </w:tcPr>
          <w:p w14:paraId="22C6903D">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p>
        </w:tc>
        <w:tc>
          <w:tcPr>
            <w:tcW w:w="732" w:type="pct"/>
            <w:tcBorders>
              <w:top w:val="single" w:color="auto" w:sz="4" w:space="0"/>
              <w:bottom w:val="single" w:color="auto" w:sz="4" w:space="0"/>
              <w:tl2br w:val="nil"/>
              <w:tr2bl w:val="nil"/>
            </w:tcBorders>
            <w:noWrap w:val="0"/>
            <w:vAlign w:val="center"/>
          </w:tcPr>
          <w:p w14:paraId="13FD31F6">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颗粒物</w:t>
            </w:r>
          </w:p>
        </w:tc>
        <w:tc>
          <w:tcPr>
            <w:tcW w:w="1137" w:type="pct"/>
            <w:vMerge w:val="continue"/>
            <w:tcBorders>
              <w:bottom w:val="single" w:color="auto" w:sz="4" w:space="0"/>
              <w:tl2br w:val="nil"/>
              <w:tr2bl w:val="nil"/>
            </w:tcBorders>
            <w:noWrap w:val="0"/>
            <w:vAlign w:val="center"/>
          </w:tcPr>
          <w:p w14:paraId="4D4CF89C">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1603" w:type="pct"/>
            <w:gridSpan w:val="2"/>
            <w:vMerge w:val="restart"/>
            <w:tcBorders>
              <w:top w:val="single" w:color="auto" w:sz="4" w:space="0"/>
              <w:tl2br w:val="nil"/>
              <w:tr2bl w:val="nil"/>
            </w:tcBorders>
            <w:noWrap w:val="0"/>
            <w:vAlign w:val="center"/>
          </w:tcPr>
          <w:p w14:paraId="34B5CBA2">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山东省地方标准《区域性大气污染物综合排放标准》（DB37/2376-2019）表1重点控制区标准限值</w:t>
            </w:r>
          </w:p>
        </w:tc>
      </w:tr>
      <w:tr w14:paraId="756B51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2762EB1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355" w:type="pct"/>
            <w:vMerge w:val="continue"/>
            <w:tcBorders>
              <w:tl2br w:val="nil"/>
              <w:tr2bl w:val="nil"/>
            </w:tcBorders>
            <w:noWrap w:val="0"/>
            <w:vAlign w:val="center"/>
          </w:tcPr>
          <w:p w14:paraId="73478FFC">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536" w:type="pct"/>
            <w:vMerge w:val="restart"/>
            <w:tcBorders>
              <w:top w:val="single" w:color="auto" w:sz="4" w:space="0"/>
              <w:tl2br w:val="nil"/>
              <w:tr2bl w:val="nil"/>
            </w:tcBorders>
            <w:noWrap w:val="0"/>
            <w:vAlign w:val="center"/>
          </w:tcPr>
          <w:p w14:paraId="7003996A">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DA002</w:t>
            </w:r>
          </w:p>
        </w:tc>
        <w:tc>
          <w:tcPr>
            <w:tcW w:w="732" w:type="pct"/>
            <w:tcBorders>
              <w:top w:val="single" w:color="auto" w:sz="4" w:space="0"/>
              <w:bottom w:val="single" w:color="auto" w:sz="4" w:space="0"/>
              <w:tl2br w:val="nil"/>
              <w:tr2bl w:val="nil"/>
            </w:tcBorders>
            <w:noWrap w:val="0"/>
            <w:vAlign w:val="center"/>
          </w:tcPr>
          <w:p w14:paraId="4C67DD16">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颗粒物</w:t>
            </w:r>
          </w:p>
        </w:tc>
        <w:tc>
          <w:tcPr>
            <w:tcW w:w="1137" w:type="pct"/>
            <w:vMerge w:val="restart"/>
            <w:tcBorders>
              <w:top w:val="single" w:color="auto" w:sz="4" w:space="0"/>
              <w:tl2br w:val="nil"/>
              <w:tr2bl w:val="nil"/>
            </w:tcBorders>
            <w:noWrap w:val="0"/>
            <w:vAlign w:val="center"/>
          </w:tcPr>
          <w:p w14:paraId="15FE6E2B">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低氮燃烧器</w:t>
            </w:r>
            <w:r>
              <w:rPr>
                <w:rFonts w:hint="eastAsia" w:ascii="Times New Roman" w:hAnsi="Times New Roman" w:eastAsia="宋体" w:cs="Times New Roman"/>
                <w:color w:val="auto"/>
                <w:sz w:val="24"/>
                <w:szCs w:val="24"/>
                <w:lang w:val="en-US" w:eastAsia="zh-CN"/>
              </w:rPr>
              <w:t>+SNCR脱硝装置+布袋除尘器</w:t>
            </w:r>
            <w:r>
              <w:rPr>
                <w:rFonts w:hint="default" w:ascii="Times New Roman" w:hAnsi="Times New Roman" w:eastAsia="宋体" w:cs="Times New Roman"/>
                <w:color w:val="auto"/>
                <w:sz w:val="24"/>
                <w:szCs w:val="24"/>
                <w:lang w:val="en-US" w:eastAsia="zh-CN"/>
              </w:rPr>
              <w:t>+15m</w:t>
            </w:r>
            <w:r>
              <w:rPr>
                <w:rFonts w:hint="eastAsia" w:ascii="Times New Roman" w:hAnsi="Times New Roman" w:eastAsia="宋体" w:cs="Times New Roman"/>
                <w:color w:val="auto"/>
                <w:sz w:val="24"/>
                <w:szCs w:val="24"/>
                <w:lang w:val="en-US" w:eastAsia="zh-CN"/>
              </w:rPr>
              <w:t>DA002</w:t>
            </w:r>
            <w:r>
              <w:rPr>
                <w:rFonts w:hint="default" w:ascii="Times New Roman" w:hAnsi="Times New Roman" w:eastAsia="宋体" w:cs="Times New Roman"/>
                <w:color w:val="auto"/>
                <w:sz w:val="24"/>
                <w:szCs w:val="24"/>
                <w:lang w:val="en-US" w:eastAsia="zh-CN"/>
              </w:rPr>
              <w:t>排气筒</w:t>
            </w:r>
          </w:p>
        </w:tc>
        <w:tc>
          <w:tcPr>
            <w:tcW w:w="1603" w:type="pct"/>
            <w:gridSpan w:val="2"/>
            <w:vMerge w:val="continue"/>
            <w:tcBorders>
              <w:bottom w:val="single" w:color="auto" w:sz="4" w:space="0"/>
              <w:tl2br w:val="nil"/>
              <w:tr2bl w:val="nil"/>
            </w:tcBorders>
            <w:noWrap w:val="0"/>
            <w:vAlign w:val="center"/>
          </w:tcPr>
          <w:p w14:paraId="73A8405A">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p>
        </w:tc>
      </w:tr>
      <w:tr w14:paraId="729749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4B0D763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355" w:type="pct"/>
            <w:vMerge w:val="continue"/>
            <w:tcBorders>
              <w:tl2br w:val="nil"/>
              <w:tr2bl w:val="nil"/>
            </w:tcBorders>
            <w:noWrap w:val="0"/>
            <w:vAlign w:val="center"/>
          </w:tcPr>
          <w:p w14:paraId="42AECF67">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536" w:type="pct"/>
            <w:vMerge w:val="continue"/>
            <w:tcBorders>
              <w:tl2br w:val="nil"/>
              <w:tr2bl w:val="nil"/>
            </w:tcBorders>
            <w:noWrap w:val="0"/>
            <w:vAlign w:val="center"/>
          </w:tcPr>
          <w:p w14:paraId="3F6B6ABD">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p>
        </w:tc>
        <w:tc>
          <w:tcPr>
            <w:tcW w:w="732" w:type="pct"/>
            <w:tcBorders>
              <w:top w:val="single" w:color="auto" w:sz="4" w:space="0"/>
              <w:bottom w:val="single" w:color="auto" w:sz="4" w:space="0"/>
              <w:tl2br w:val="nil"/>
              <w:tr2bl w:val="nil"/>
            </w:tcBorders>
            <w:noWrap w:val="0"/>
            <w:vAlign w:val="center"/>
          </w:tcPr>
          <w:p w14:paraId="490A365F">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二氧化硫</w:t>
            </w:r>
          </w:p>
        </w:tc>
        <w:tc>
          <w:tcPr>
            <w:tcW w:w="1137" w:type="pct"/>
            <w:vMerge w:val="continue"/>
            <w:tcBorders>
              <w:tl2br w:val="nil"/>
              <w:tr2bl w:val="nil"/>
            </w:tcBorders>
            <w:noWrap w:val="0"/>
            <w:vAlign w:val="center"/>
          </w:tcPr>
          <w:p w14:paraId="5E39FD80">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p>
        </w:tc>
        <w:tc>
          <w:tcPr>
            <w:tcW w:w="1603" w:type="pct"/>
            <w:gridSpan w:val="2"/>
            <w:vMerge w:val="continue"/>
            <w:tcBorders>
              <w:bottom w:val="single" w:color="auto" w:sz="4" w:space="0"/>
              <w:tl2br w:val="nil"/>
              <w:tr2bl w:val="nil"/>
            </w:tcBorders>
            <w:noWrap w:val="0"/>
            <w:vAlign w:val="center"/>
          </w:tcPr>
          <w:p w14:paraId="55FF38AC">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p>
        </w:tc>
      </w:tr>
      <w:tr w14:paraId="13A6D0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4FFC4CA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355" w:type="pct"/>
            <w:vMerge w:val="continue"/>
            <w:tcBorders>
              <w:tl2br w:val="nil"/>
              <w:tr2bl w:val="nil"/>
            </w:tcBorders>
            <w:noWrap w:val="0"/>
            <w:vAlign w:val="center"/>
          </w:tcPr>
          <w:p w14:paraId="6FEEBC72">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536" w:type="pct"/>
            <w:vMerge w:val="continue"/>
            <w:tcBorders>
              <w:tl2br w:val="nil"/>
              <w:tr2bl w:val="nil"/>
            </w:tcBorders>
            <w:noWrap w:val="0"/>
            <w:vAlign w:val="center"/>
          </w:tcPr>
          <w:p w14:paraId="7A40227F">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p>
        </w:tc>
        <w:tc>
          <w:tcPr>
            <w:tcW w:w="732" w:type="pct"/>
            <w:tcBorders>
              <w:top w:val="single" w:color="auto" w:sz="4" w:space="0"/>
              <w:bottom w:val="single" w:color="auto" w:sz="4" w:space="0"/>
              <w:tl2br w:val="nil"/>
              <w:tr2bl w:val="nil"/>
            </w:tcBorders>
            <w:noWrap w:val="0"/>
            <w:vAlign w:val="center"/>
          </w:tcPr>
          <w:p w14:paraId="50C8CABE">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氮氧化物</w:t>
            </w:r>
          </w:p>
        </w:tc>
        <w:tc>
          <w:tcPr>
            <w:tcW w:w="1137" w:type="pct"/>
            <w:vMerge w:val="continue"/>
            <w:tcBorders>
              <w:bottom w:val="single" w:color="auto" w:sz="4" w:space="0"/>
              <w:tl2br w:val="nil"/>
              <w:tr2bl w:val="nil"/>
            </w:tcBorders>
            <w:noWrap w:val="0"/>
            <w:vAlign w:val="center"/>
          </w:tcPr>
          <w:p w14:paraId="493C3642">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p>
        </w:tc>
        <w:tc>
          <w:tcPr>
            <w:tcW w:w="1603" w:type="pct"/>
            <w:gridSpan w:val="2"/>
            <w:vMerge w:val="continue"/>
            <w:tcBorders>
              <w:bottom w:val="single" w:color="auto" w:sz="4" w:space="0"/>
              <w:tl2br w:val="nil"/>
              <w:tr2bl w:val="nil"/>
            </w:tcBorders>
            <w:noWrap w:val="0"/>
            <w:vAlign w:val="center"/>
          </w:tcPr>
          <w:p w14:paraId="649BB6DA">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p>
        </w:tc>
      </w:tr>
      <w:tr w14:paraId="5AFC5C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53F5DAA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355" w:type="pct"/>
            <w:vMerge w:val="continue"/>
            <w:tcBorders>
              <w:bottom w:val="single" w:color="auto" w:sz="4" w:space="0"/>
              <w:tl2br w:val="nil"/>
              <w:tr2bl w:val="nil"/>
            </w:tcBorders>
            <w:noWrap w:val="0"/>
            <w:vAlign w:val="center"/>
          </w:tcPr>
          <w:p w14:paraId="3666193F">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536" w:type="pct"/>
            <w:vMerge w:val="continue"/>
            <w:tcBorders>
              <w:bottom w:val="single" w:color="auto" w:sz="4" w:space="0"/>
              <w:tl2br w:val="nil"/>
              <w:tr2bl w:val="nil"/>
            </w:tcBorders>
            <w:noWrap w:val="0"/>
            <w:vAlign w:val="center"/>
          </w:tcPr>
          <w:p w14:paraId="15650781">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p>
        </w:tc>
        <w:tc>
          <w:tcPr>
            <w:tcW w:w="732" w:type="pct"/>
            <w:tcBorders>
              <w:top w:val="single" w:color="auto" w:sz="4" w:space="0"/>
              <w:bottom w:val="single" w:color="auto" w:sz="4" w:space="0"/>
              <w:tl2br w:val="nil"/>
              <w:tr2bl w:val="nil"/>
            </w:tcBorders>
            <w:noWrap w:val="0"/>
            <w:vAlign w:val="center"/>
          </w:tcPr>
          <w:p w14:paraId="523766C7">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氨</w:t>
            </w:r>
          </w:p>
        </w:tc>
        <w:tc>
          <w:tcPr>
            <w:tcW w:w="1137" w:type="pct"/>
            <w:tcBorders>
              <w:bottom w:val="single" w:color="auto" w:sz="4" w:space="0"/>
              <w:tl2br w:val="nil"/>
              <w:tr2bl w:val="nil"/>
            </w:tcBorders>
            <w:noWrap w:val="0"/>
            <w:vAlign w:val="center"/>
          </w:tcPr>
          <w:p w14:paraId="32BD2008">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15m</w:t>
            </w:r>
            <w:r>
              <w:rPr>
                <w:rFonts w:hint="eastAsia" w:ascii="Times New Roman" w:hAnsi="Times New Roman" w:eastAsia="宋体" w:cs="Times New Roman"/>
                <w:color w:val="auto"/>
                <w:sz w:val="24"/>
                <w:szCs w:val="24"/>
                <w:lang w:val="en-US" w:eastAsia="zh-CN"/>
              </w:rPr>
              <w:t>DA002</w:t>
            </w:r>
            <w:r>
              <w:rPr>
                <w:rFonts w:hint="default" w:ascii="Times New Roman" w:hAnsi="Times New Roman" w:eastAsia="宋体" w:cs="Times New Roman"/>
                <w:color w:val="auto"/>
                <w:sz w:val="24"/>
                <w:szCs w:val="24"/>
                <w:lang w:val="en-US" w:eastAsia="zh-CN"/>
              </w:rPr>
              <w:t>排气筒</w:t>
            </w:r>
          </w:p>
        </w:tc>
        <w:tc>
          <w:tcPr>
            <w:tcW w:w="1603" w:type="pct"/>
            <w:gridSpan w:val="2"/>
            <w:tcBorders>
              <w:bottom w:val="single" w:color="auto" w:sz="4" w:space="0"/>
              <w:tl2br w:val="nil"/>
              <w:tr2bl w:val="nil"/>
            </w:tcBorders>
            <w:noWrap w:val="0"/>
            <w:vAlign w:val="center"/>
          </w:tcPr>
          <w:p w14:paraId="6F71D468">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《工业锅炉污染防治可行技术指南》（HJ 1178-2021）中SNCR脱硝技术控制要求</w:t>
            </w:r>
          </w:p>
        </w:tc>
      </w:tr>
      <w:tr w14:paraId="3C9833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2AC60A7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restart"/>
            <w:tcBorders>
              <w:top w:val="single" w:color="auto" w:sz="4" w:space="0"/>
              <w:tl2br w:val="nil"/>
              <w:tr2bl w:val="nil"/>
            </w:tcBorders>
            <w:noWrap w:val="0"/>
            <w:vAlign w:val="center"/>
          </w:tcPr>
          <w:p w14:paraId="65DCB56C">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无组织</w:t>
            </w:r>
          </w:p>
        </w:tc>
        <w:tc>
          <w:tcPr>
            <w:tcW w:w="732" w:type="pct"/>
            <w:tcBorders>
              <w:top w:val="single" w:color="auto" w:sz="4" w:space="0"/>
              <w:bottom w:val="single" w:color="auto" w:sz="4" w:space="0"/>
              <w:tl2br w:val="nil"/>
              <w:tr2bl w:val="nil"/>
            </w:tcBorders>
            <w:noWrap w:val="0"/>
            <w:vAlign w:val="center"/>
          </w:tcPr>
          <w:p w14:paraId="4A15D5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氯化氢</w:t>
            </w:r>
          </w:p>
        </w:tc>
        <w:tc>
          <w:tcPr>
            <w:tcW w:w="1137" w:type="pct"/>
            <w:vMerge w:val="restart"/>
            <w:tcBorders>
              <w:top w:val="single" w:color="auto" w:sz="4" w:space="0"/>
              <w:tl2br w:val="nil"/>
              <w:tr2bl w:val="nil"/>
            </w:tcBorders>
            <w:noWrap w:val="0"/>
            <w:vAlign w:val="center"/>
          </w:tcPr>
          <w:p w14:paraId="5F916247">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加强管理</w:t>
            </w:r>
          </w:p>
        </w:tc>
        <w:tc>
          <w:tcPr>
            <w:tcW w:w="1603" w:type="pct"/>
            <w:gridSpan w:val="2"/>
            <w:vMerge w:val="restart"/>
            <w:tcBorders>
              <w:top w:val="single" w:color="auto" w:sz="4" w:space="0"/>
              <w:tl2br w:val="nil"/>
              <w:tr2bl w:val="nil"/>
            </w:tcBorders>
            <w:noWrap w:val="0"/>
            <w:vAlign w:val="center"/>
          </w:tcPr>
          <w:p w14:paraId="7624D95F">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GB" w:eastAsia="zh-CN"/>
              </w:rPr>
              <w:t>《大气污染物综合排放标准》 (GB16297-1996)表2中的无组织排放监控浓度限值</w:t>
            </w:r>
          </w:p>
        </w:tc>
      </w:tr>
      <w:tr w14:paraId="6E23F2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0AA5424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continue"/>
            <w:tcBorders>
              <w:tl2br w:val="nil"/>
              <w:tr2bl w:val="nil"/>
            </w:tcBorders>
            <w:noWrap w:val="0"/>
            <w:vAlign w:val="center"/>
          </w:tcPr>
          <w:p w14:paraId="03C850DA">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p>
        </w:tc>
        <w:tc>
          <w:tcPr>
            <w:tcW w:w="732" w:type="pct"/>
            <w:tcBorders>
              <w:top w:val="single" w:color="auto" w:sz="4" w:space="0"/>
              <w:bottom w:val="single" w:color="auto" w:sz="4" w:space="0"/>
              <w:tl2br w:val="nil"/>
              <w:tr2bl w:val="nil"/>
            </w:tcBorders>
            <w:noWrap w:val="0"/>
            <w:vAlign w:val="center"/>
          </w:tcPr>
          <w:p w14:paraId="5C39F1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颗粒物</w:t>
            </w:r>
          </w:p>
        </w:tc>
        <w:tc>
          <w:tcPr>
            <w:tcW w:w="1137" w:type="pct"/>
            <w:vMerge w:val="continue"/>
            <w:tcBorders>
              <w:bottom w:val="single" w:color="auto" w:sz="4" w:space="0"/>
              <w:tl2br w:val="nil"/>
              <w:tr2bl w:val="nil"/>
            </w:tcBorders>
            <w:noWrap w:val="0"/>
            <w:vAlign w:val="center"/>
          </w:tcPr>
          <w:p w14:paraId="24A98EA4">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p>
        </w:tc>
        <w:tc>
          <w:tcPr>
            <w:tcW w:w="1603" w:type="pct"/>
            <w:gridSpan w:val="2"/>
            <w:vMerge w:val="continue"/>
            <w:tcBorders>
              <w:bottom w:val="single" w:color="auto" w:sz="4" w:space="0"/>
              <w:tl2br w:val="nil"/>
              <w:tr2bl w:val="nil"/>
            </w:tcBorders>
            <w:noWrap w:val="0"/>
            <w:vAlign w:val="center"/>
          </w:tcPr>
          <w:p w14:paraId="663EB778">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p>
        </w:tc>
      </w:tr>
      <w:tr w14:paraId="143AD4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11A2162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地表水环境</w:t>
            </w:r>
          </w:p>
        </w:tc>
        <w:tc>
          <w:tcPr>
            <w:tcW w:w="891" w:type="pct"/>
            <w:gridSpan w:val="2"/>
            <w:tcBorders>
              <w:tl2br w:val="nil"/>
              <w:tr2bl w:val="nil"/>
            </w:tcBorders>
            <w:noWrap w:val="0"/>
            <w:vAlign w:val="center"/>
          </w:tcPr>
          <w:p w14:paraId="2EAFB98C">
            <w:pPr>
              <w:keepNext w:val="0"/>
              <w:keepLines w:val="0"/>
              <w:pageBreakBefore w:val="0"/>
              <w:widowControl w:val="0"/>
              <w:suppressLineNumbers w:val="0"/>
              <w:kinsoku/>
              <w:wordWrap/>
              <w:overflowPunct/>
              <w:topLinePunct w:val="0"/>
              <w:autoSpaceDE w:val="0"/>
              <w:autoSpaceDN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生活污水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压滤废水、</w:t>
            </w:r>
            <w:r>
              <w:rPr>
                <w:rFonts w:hint="eastAsia" w:ascii="Times New Roman" w:hAnsi="Times New Roman" w:eastAsia="宋体" w:cs="Times New Roman"/>
                <w:color w:val="auto"/>
                <w:sz w:val="24"/>
                <w:szCs w:val="24"/>
                <w:highlight w:val="none"/>
                <w:lang w:val="en-US" w:eastAsia="zh-CN"/>
              </w:rPr>
              <w:t>水喷淋废水</w:t>
            </w:r>
          </w:p>
        </w:tc>
        <w:tc>
          <w:tcPr>
            <w:tcW w:w="732" w:type="pct"/>
            <w:tcBorders>
              <w:tl2br w:val="nil"/>
              <w:tr2bl w:val="nil"/>
            </w:tcBorders>
            <w:noWrap w:val="0"/>
            <w:vAlign w:val="center"/>
          </w:tcPr>
          <w:p w14:paraId="58A3304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COD、氨氮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pH、SS、全盐量</w:t>
            </w:r>
          </w:p>
        </w:tc>
        <w:tc>
          <w:tcPr>
            <w:tcW w:w="1137" w:type="pct"/>
            <w:tcBorders>
              <w:tl2br w:val="nil"/>
              <w:tr2bl w:val="nil"/>
            </w:tcBorders>
            <w:noWrap w:val="0"/>
            <w:vAlign w:val="center"/>
          </w:tcPr>
          <w:p w14:paraId="790F6445">
            <w:pPr>
              <w:pStyle w:val="75"/>
              <w:keepNext w:val="0"/>
              <w:keepLines w:val="0"/>
              <w:pageBreakBefore w:val="0"/>
              <w:widowControl w:val="0"/>
              <w:suppressLineNumbers w:val="0"/>
              <w:shd w:val="clear" w:color="auto" w:fill="auto"/>
              <w:kinsoku/>
              <w:wordWrap/>
              <w:overflowPunct/>
              <w:topLinePunct w:val="0"/>
              <w:bidi w:val="0"/>
              <w:spacing w:before="0" w:beforeAutospacing="0" w:after="0" w:afterAutospacing="0" w:line="340" w:lineRule="exact"/>
              <w:ind w:left="0" w:right="0" w:firstLine="0"/>
              <w:jc w:val="center"/>
              <w:textAlignment w:val="auto"/>
              <w:rPr>
                <w:rFonts w:hint="default" w:ascii="Times New Roman" w:hAnsi="Times New Roman" w:eastAsia="宋体" w:cs="Times New Roman"/>
                <w:color w:val="auto"/>
                <w:kern w:val="2"/>
                <w:sz w:val="24"/>
                <w:szCs w:val="24"/>
                <w:highlight w:val="none"/>
                <w:lang w:eastAsia="zh-CN"/>
              </w:rPr>
            </w:pPr>
            <w:r>
              <w:rPr>
                <w:rFonts w:hint="eastAsia" w:ascii="Times New Roman" w:hAnsi="Times New Roman" w:eastAsia="宋体" w:cs="Times New Roman"/>
                <w:color w:val="auto"/>
                <w:sz w:val="24"/>
                <w:szCs w:val="24"/>
                <w:highlight w:val="none"/>
                <w:lang w:eastAsia="zh-CN"/>
              </w:rPr>
              <w:t>生活污水经化粪池处理</w:t>
            </w:r>
            <w:r>
              <w:rPr>
                <w:rFonts w:hint="default" w:ascii="Times New Roman" w:hAnsi="Times New Roman" w:eastAsia="宋体" w:cs="Times New Roman"/>
                <w:color w:val="auto"/>
                <w:sz w:val="24"/>
                <w:szCs w:val="24"/>
                <w:highlight w:val="none"/>
                <w:lang w:eastAsia="zh-CN"/>
              </w:rPr>
              <w:t>，压滤废水、</w:t>
            </w:r>
            <w:r>
              <w:rPr>
                <w:rFonts w:hint="eastAsia" w:ascii="Times New Roman" w:hAnsi="Times New Roman" w:eastAsia="宋体" w:cs="Times New Roman"/>
                <w:color w:val="auto"/>
                <w:sz w:val="24"/>
                <w:szCs w:val="24"/>
                <w:highlight w:val="none"/>
                <w:lang w:eastAsia="zh-CN"/>
              </w:rPr>
              <w:t>水喷淋废水</w:t>
            </w:r>
            <w:r>
              <w:rPr>
                <w:rFonts w:hint="default" w:ascii="Times New Roman" w:hAnsi="Times New Roman" w:eastAsia="宋体" w:cs="Times New Roman"/>
                <w:color w:val="auto"/>
                <w:sz w:val="24"/>
                <w:szCs w:val="24"/>
                <w:highlight w:val="none"/>
                <w:lang w:eastAsia="zh-CN"/>
              </w:rPr>
              <w:t>通过厂区污水设备处理达标后，与生活污水一同经污水管网排入至葛洲坝水务淄博淄川有限公司</w:t>
            </w:r>
          </w:p>
        </w:tc>
        <w:tc>
          <w:tcPr>
            <w:tcW w:w="1603" w:type="pct"/>
            <w:gridSpan w:val="2"/>
            <w:tcBorders>
              <w:tl2br w:val="nil"/>
              <w:tr2bl w:val="nil"/>
            </w:tcBorders>
            <w:noWrap w:val="0"/>
            <w:vAlign w:val="center"/>
          </w:tcPr>
          <w:p w14:paraId="6160D8BC">
            <w:pPr>
              <w:pStyle w:val="75"/>
              <w:keepNext w:val="0"/>
              <w:keepLines w:val="0"/>
              <w:pageBreakBefore w:val="0"/>
              <w:widowControl w:val="0"/>
              <w:suppressLineNumbers w:val="0"/>
              <w:shd w:val="clear" w:color="auto" w:fill="auto"/>
              <w:kinsoku/>
              <w:wordWrap/>
              <w:overflowPunct/>
              <w:topLinePunct w:val="0"/>
              <w:bidi w:val="0"/>
              <w:spacing w:before="0" w:beforeAutospacing="0" w:after="0" w:afterAutospacing="0" w:line="340" w:lineRule="exact"/>
              <w:ind w:left="0" w:right="0" w:firstLine="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《污水综合排放标准》（GB 8978-1996）表4三级标准及</w:t>
            </w:r>
            <w:r>
              <w:rPr>
                <w:rFonts w:hint="default" w:ascii="Times New Roman" w:hAnsi="Times New Roman" w:eastAsia="宋体" w:cs="Times New Roman"/>
                <w:color w:val="auto"/>
                <w:sz w:val="24"/>
                <w:szCs w:val="24"/>
                <w:highlight w:val="none"/>
                <w:lang w:eastAsia="zh-CN"/>
              </w:rPr>
              <w:t>葛洲坝水务淄博淄川有限公司</w:t>
            </w:r>
            <w:r>
              <w:rPr>
                <w:rFonts w:hint="default" w:ascii="Times New Roman" w:hAnsi="Times New Roman" w:eastAsia="宋体" w:cs="Times New Roman"/>
                <w:color w:val="auto"/>
                <w:sz w:val="24"/>
                <w:szCs w:val="24"/>
                <w:highlight w:val="none"/>
              </w:rPr>
              <w:t>进水水质要求</w:t>
            </w:r>
            <w:r>
              <w:rPr>
                <w:rFonts w:hint="default" w:ascii="Times New Roman" w:hAnsi="Times New Roman" w:eastAsia="宋体" w:cs="Times New Roman"/>
                <w:color w:val="auto"/>
                <w:sz w:val="24"/>
                <w:szCs w:val="24"/>
                <w:highlight w:val="none"/>
                <w:lang w:val="en-US" w:eastAsia="zh-CN"/>
              </w:rPr>
              <w:t>和《流域水污染物综合排放标准 第3部分：小清河流域》表2中全盐量限值要求</w:t>
            </w:r>
          </w:p>
        </w:tc>
      </w:tr>
      <w:tr w14:paraId="4A1C62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79F8644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声环境</w:t>
            </w:r>
          </w:p>
        </w:tc>
        <w:tc>
          <w:tcPr>
            <w:tcW w:w="891" w:type="pct"/>
            <w:gridSpan w:val="2"/>
            <w:tcBorders>
              <w:right w:val="single" w:color="auto" w:sz="4" w:space="0"/>
              <w:tl2br w:val="nil"/>
              <w:tr2bl w:val="nil"/>
            </w:tcBorders>
            <w:noWrap w:val="0"/>
            <w:vAlign w:val="center"/>
          </w:tcPr>
          <w:p w14:paraId="494906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生产过程中各机械设备</w:t>
            </w:r>
          </w:p>
        </w:tc>
        <w:tc>
          <w:tcPr>
            <w:tcW w:w="732" w:type="pct"/>
            <w:tcBorders>
              <w:left w:val="single" w:color="auto" w:sz="4" w:space="0"/>
              <w:right w:val="single" w:color="auto" w:sz="4" w:space="0"/>
              <w:tl2br w:val="nil"/>
              <w:tr2bl w:val="nil"/>
            </w:tcBorders>
            <w:noWrap w:val="0"/>
            <w:vAlign w:val="center"/>
          </w:tcPr>
          <w:p w14:paraId="7736308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噪声</w:t>
            </w:r>
          </w:p>
        </w:tc>
        <w:tc>
          <w:tcPr>
            <w:tcW w:w="1137" w:type="pct"/>
            <w:tcBorders>
              <w:left w:val="single" w:color="auto" w:sz="4" w:space="0"/>
              <w:right w:val="single" w:color="auto" w:sz="4" w:space="0"/>
              <w:tl2br w:val="nil"/>
              <w:tr2bl w:val="nil"/>
            </w:tcBorders>
            <w:noWrap w:val="0"/>
            <w:vAlign w:val="center"/>
          </w:tcPr>
          <w:p w14:paraId="0ABBD6E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基础减振、建筑隔声</w:t>
            </w:r>
            <w:r>
              <w:rPr>
                <w:rFonts w:hint="default" w:ascii="Times New Roman" w:hAnsi="Times New Roman" w:eastAsia="宋体" w:cs="Times New Roman"/>
                <w:color w:val="auto"/>
                <w:sz w:val="24"/>
                <w:szCs w:val="24"/>
                <w:highlight w:val="none"/>
                <w:lang w:val="en-US" w:eastAsia="zh-CN"/>
              </w:rPr>
              <w:t>等</w:t>
            </w:r>
          </w:p>
        </w:tc>
        <w:tc>
          <w:tcPr>
            <w:tcW w:w="1603" w:type="pct"/>
            <w:gridSpan w:val="2"/>
            <w:tcBorders>
              <w:left w:val="single" w:color="auto" w:sz="4" w:space="0"/>
              <w:tl2br w:val="nil"/>
              <w:tr2bl w:val="nil"/>
            </w:tcBorders>
            <w:noWrap w:val="0"/>
            <w:vAlign w:val="center"/>
          </w:tcPr>
          <w:p w14:paraId="6EFC1DDC">
            <w:pPr>
              <w:keepNext w:val="0"/>
              <w:keepLines w:val="0"/>
              <w:pageBreakBefore w:val="0"/>
              <w:widowControl w:val="0"/>
              <w:suppressLineNumbers w:val="0"/>
              <w:kinsoku/>
              <w:wordWrap/>
              <w:overflowPunct/>
              <w:topLinePunct w:val="0"/>
              <w:bidi w:val="0"/>
              <w:spacing w:before="0" w:beforeAutospacing="0" w:after="0" w:afterAutospacing="0"/>
              <w:ind w:left="-38" w:leftChars="-18" w:right="-2" w:rightChars="-1" w:firstLine="26" w:firstLineChars="11"/>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满足《工业企业厂界环境噪声排放标准》（GB12348-2008）2类标准</w:t>
            </w:r>
          </w:p>
        </w:tc>
      </w:tr>
      <w:tr w14:paraId="25CB87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012BE60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电磁辐射</w:t>
            </w:r>
          </w:p>
        </w:tc>
        <w:tc>
          <w:tcPr>
            <w:tcW w:w="4364" w:type="pct"/>
            <w:gridSpan w:val="6"/>
            <w:tcBorders>
              <w:tl2br w:val="nil"/>
              <w:tr2bl w:val="nil"/>
            </w:tcBorders>
            <w:noWrap w:val="0"/>
            <w:vAlign w:val="center"/>
          </w:tcPr>
          <w:p w14:paraId="6EFC62E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项目不涉及电磁辐射影响</w:t>
            </w:r>
          </w:p>
        </w:tc>
      </w:tr>
      <w:tr w14:paraId="75AD20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restart"/>
            <w:tcBorders>
              <w:tl2br w:val="nil"/>
              <w:tr2bl w:val="nil"/>
            </w:tcBorders>
            <w:noWrap w:val="0"/>
            <w:vAlign w:val="center"/>
          </w:tcPr>
          <w:p w14:paraId="2A37547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固体废物</w:t>
            </w:r>
          </w:p>
        </w:tc>
        <w:tc>
          <w:tcPr>
            <w:tcW w:w="891" w:type="pct"/>
            <w:gridSpan w:val="2"/>
            <w:tcBorders>
              <w:right w:val="single" w:color="auto" w:sz="4" w:space="0"/>
              <w:tl2br w:val="nil"/>
              <w:tr2bl w:val="nil"/>
            </w:tcBorders>
            <w:noWrap w:val="0"/>
            <w:vAlign w:val="center"/>
          </w:tcPr>
          <w:p w14:paraId="3DDB3F5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职工生活</w:t>
            </w:r>
          </w:p>
        </w:tc>
        <w:tc>
          <w:tcPr>
            <w:tcW w:w="732" w:type="pct"/>
            <w:tcBorders>
              <w:left w:val="single" w:color="auto" w:sz="4" w:space="0"/>
              <w:right w:val="single" w:color="auto" w:sz="4" w:space="0"/>
              <w:tl2br w:val="nil"/>
              <w:tr2bl w:val="nil"/>
            </w:tcBorders>
            <w:noWrap w:val="0"/>
            <w:vAlign w:val="center"/>
          </w:tcPr>
          <w:p w14:paraId="527482D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生活垃圾</w:t>
            </w:r>
          </w:p>
        </w:tc>
        <w:tc>
          <w:tcPr>
            <w:tcW w:w="1138" w:type="pct"/>
            <w:gridSpan w:val="2"/>
            <w:tcBorders>
              <w:left w:val="single" w:color="auto" w:sz="4" w:space="0"/>
              <w:right w:val="single" w:color="auto" w:sz="4" w:space="0"/>
              <w:tl2br w:val="nil"/>
              <w:tr2bl w:val="nil"/>
            </w:tcBorders>
            <w:noWrap w:val="0"/>
            <w:vAlign w:val="center"/>
          </w:tcPr>
          <w:p w14:paraId="55FB14C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环卫部门定期清运</w:t>
            </w:r>
          </w:p>
        </w:tc>
        <w:tc>
          <w:tcPr>
            <w:tcW w:w="1602" w:type="pct"/>
            <w:tcBorders>
              <w:left w:val="single" w:color="auto" w:sz="4" w:space="0"/>
              <w:tl2br w:val="nil"/>
              <w:tr2bl w:val="nil"/>
            </w:tcBorders>
            <w:noWrap w:val="0"/>
            <w:vAlign w:val="center"/>
          </w:tcPr>
          <w:p w14:paraId="2F24017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p>
        </w:tc>
      </w:tr>
      <w:tr w14:paraId="196C6F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6AD0C3F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tcBorders>
              <w:right w:val="single" w:color="auto" w:sz="4" w:space="0"/>
              <w:tl2br w:val="nil"/>
              <w:tr2bl w:val="nil"/>
            </w:tcBorders>
            <w:noWrap w:val="0"/>
            <w:vAlign w:val="center"/>
          </w:tcPr>
          <w:p w14:paraId="50BF6A5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环保设施</w:t>
            </w:r>
          </w:p>
        </w:tc>
        <w:tc>
          <w:tcPr>
            <w:tcW w:w="732" w:type="pct"/>
            <w:tcBorders>
              <w:left w:val="single" w:color="auto" w:sz="4" w:space="0"/>
              <w:right w:val="single" w:color="auto" w:sz="4" w:space="0"/>
              <w:tl2br w:val="nil"/>
              <w:tr2bl w:val="nil"/>
            </w:tcBorders>
            <w:noWrap w:val="0"/>
            <w:vAlign w:val="center"/>
          </w:tcPr>
          <w:p w14:paraId="658C46D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布袋除尘器</w:t>
            </w:r>
            <w:r>
              <w:rPr>
                <w:rFonts w:hint="default" w:ascii="Times New Roman" w:hAnsi="Times New Roman" w:eastAsia="宋体" w:cs="Times New Roman"/>
                <w:color w:val="auto"/>
                <w:sz w:val="24"/>
                <w:szCs w:val="24"/>
                <w:highlight w:val="none"/>
                <w:lang w:val="en-US" w:eastAsia="zh-CN"/>
              </w:rPr>
              <w:t>收集</w:t>
            </w:r>
            <w:r>
              <w:rPr>
                <w:rFonts w:hint="default" w:ascii="Times New Roman" w:hAnsi="Times New Roman" w:eastAsia="宋体" w:cs="Times New Roman"/>
                <w:color w:val="auto"/>
                <w:sz w:val="24"/>
                <w:szCs w:val="24"/>
                <w:highlight w:val="none"/>
              </w:rPr>
              <w:t>粉尘</w:t>
            </w:r>
          </w:p>
        </w:tc>
        <w:tc>
          <w:tcPr>
            <w:tcW w:w="1138" w:type="pct"/>
            <w:gridSpan w:val="2"/>
            <w:vMerge w:val="restart"/>
            <w:tcBorders>
              <w:left w:val="single" w:color="auto" w:sz="4" w:space="0"/>
              <w:right w:val="single" w:color="auto" w:sz="4" w:space="0"/>
              <w:tl2br w:val="nil"/>
              <w:tr2bl w:val="nil"/>
            </w:tcBorders>
            <w:noWrap w:val="0"/>
            <w:vAlign w:val="center"/>
          </w:tcPr>
          <w:p w14:paraId="300BCDD4">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全部回用生产</w:t>
            </w:r>
          </w:p>
        </w:tc>
        <w:tc>
          <w:tcPr>
            <w:tcW w:w="1602" w:type="pct"/>
            <w:vMerge w:val="restart"/>
            <w:tcBorders>
              <w:left w:val="single" w:color="auto" w:sz="4" w:space="0"/>
              <w:tl2br w:val="nil"/>
              <w:tr2bl w:val="nil"/>
            </w:tcBorders>
            <w:noWrap w:val="0"/>
            <w:vAlign w:val="center"/>
          </w:tcPr>
          <w:p w14:paraId="15E387CC">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一般工业固体废物贮存参照《中华人民共和国固体废物污染环境防治法》的要求妥善处理，贮存过程应满足相应防渗漏、防雨淋、防扬尘等环境保护要求。</w:t>
            </w:r>
          </w:p>
        </w:tc>
      </w:tr>
      <w:tr w14:paraId="098283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65A521A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restart"/>
            <w:tcBorders>
              <w:right w:val="single" w:color="auto" w:sz="4" w:space="0"/>
              <w:tl2br w:val="nil"/>
              <w:tr2bl w:val="nil"/>
            </w:tcBorders>
            <w:noWrap w:val="0"/>
            <w:vAlign w:val="center"/>
          </w:tcPr>
          <w:p w14:paraId="055BFE0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de-DE"/>
              </w:rPr>
              <w:t>生产过程</w:t>
            </w:r>
          </w:p>
        </w:tc>
        <w:tc>
          <w:tcPr>
            <w:tcW w:w="732" w:type="pct"/>
            <w:tcBorders>
              <w:left w:val="single" w:color="auto" w:sz="4" w:space="0"/>
              <w:right w:val="single" w:color="auto" w:sz="4" w:space="0"/>
              <w:tl2br w:val="nil"/>
              <w:tr2bl w:val="nil"/>
            </w:tcBorders>
            <w:noWrap w:val="0"/>
            <w:vAlign w:val="center"/>
          </w:tcPr>
          <w:p w14:paraId="3BD5DE88">
            <w:pPr>
              <w:keepNext w:val="0"/>
              <w:keepLines w:val="0"/>
              <w:pageBreakBefore w:val="0"/>
              <w:widowControl w:val="0"/>
              <w:suppressLineNumbers w:val="0"/>
              <w:kinsoku/>
              <w:wordWrap/>
              <w:overflowPunct/>
              <w:topLinePunct w:val="0"/>
              <w:bidi w:val="0"/>
              <w:spacing w:before="0" w:beforeAutospacing="0" w:after="0" w:afterAutospacing="0"/>
              <w:ind w:left="0" w:right="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不合格产品</w:t>
            </w:r>
          </w:p>
        </w:tc>
        <w:tc>
          <w:tcPr>
            <w:tcW w:w="1138" w:type="pct"/>
            <w:gridSpan w:val="2"/>
            <w:vMerge w:val="continue"/>
            <w:tcBorders>
              <w:left w:val="single" w:color="auto" w:sz="4" w:space="0"/>
              <w:right w:val="single" w:color="auto" w:sz="4" w:space="0"/>
              <w:tl2br w:val="nil"/>
              <w:tr2bl w:val="nil"/>
            </w:tcBorders>
            <w:noWrap w:val="0"/>
            <w:vAlign w:val="center"/>
          </w:tcPr>
          <w:p w14:paraId="6FFDC708">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p>
        </w:tc>
        <w:tc>
          <w:tcPr>
            <w:tcW w:w="1602" w:type="pct"/>
            <w:vMerge w:val="continue"/>
            <w:tcBorders>
              <w:left w:val="single" w:color="auto" w:sz="4" w:space="0"/>
              <w:tl2br w:val="nil"/>
              <w:tr2bl w:val="nil"/>
            </w:tcBorders>
            <w:noWrap w:val="0"/>
            <w:vAlign w:val="center"/>
          </w:tcPr>
          <w:p w14:paraId="5FEEAA65">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p>
        </w:tc>
      </w:tr>
      <w:tr w14:paraId="404FC5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3141382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continue"/>
            <w:tcBorders>
              <w:bottom w:val="single" w:color="auto" w:sz="4" w:space="0"/>
              <w:right w:val="single" w:color="auto" w:sz="4" w:space="0"/>
              <w:tl2br w:val="nil"/>
              <w:tr2bl w:val="nil"/>
            </w:tcBorders>
            <w:noWrap w:val="0"/>
            <w:vAlign w:val="center"/>
          </w:tcPr>
          <w:p w14:paraId="77403B3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eastAsia="zh-CN"/>
              </w:rPr>
            </w:pPr>
          </w:p>
        </w:tc>
        <w:tc>
          <w:tcPr>
            <w:tcW w:w="732" w:type="pct"/>
            <w:tcBorders>
              <w:left w:val="single" w:color="auto" w:sz="4" w:space="0"/>
              <w:right w:val="single" w:color="auto" w:sz="4" w:space="0"/>
              <w:tl2br w:val="nil"/>
              <w:tr2bl w:val="nil"/>
            </w:tcBorders>
            <w:noWrap w:val="0"/>
            <w:vAlign w:val="center"/>
          </w:tcPr>
          <w:p w14:paraId="717054C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废包装袋</w:t>
            </w:r>
          </w:p>
        </w:tc>
        <w:tc>
          <w:tcPr>
            <w:tcW w:w="1138" w:type="pct"/>
            <w:gridSpan w:val="2"/>
            <w:vMerge w:val="restart"/>
            <w:tcBorders>
              <w:left w:val="single" w:color="auto" w:sz="4" w:space="0"/>
              <w:right w:val="single" w:color="auto" w:sz="4" w:space="0"/>
              <w:tl2br w:val="nil"/>
              <w:tr2bl w:val="nil"/>
            </w:tcBorders>
            <w:noWrap w:val="0"/>
            <w:vAlign w:val="center"/>
          </w:tcPr>
          <w:p w14:paraId="1528DE2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2"/>
                <w:sz w:val="24"/>
                <w:szCs w:val="24"/>
                <w:lang w:val="en-US" w:eastAsia="zh-CN" w:bidi="ar-SA"/>
              </w:rPr>
              <w:t>收集后外售给有处置能力和资质单位处置</w:t>
            </w:r>
          </w:p>
        </w:tc>
        <w:tc>
          <w:tcPr>
            <w:tcW w:w="1602" w:type="pct"/>
            <w:vMerge w:val="continue"/>
            <w:tcBorders>
              <w:left w:val="single" w:color="auto" w:sz="4" w:space="0"/>
              <w:tl2br w:val="nil"/>
              <w:tr2bl w:val="nil"/>
            </w:tcBorders>
            <w:noWrap w:val="0"/>
            <w:vAlign w:val="center"/>
          </w:tcPr>
          <w:p w14:paraId="4C2C43CF">
            <w:pPr>
              <w:keepNext w:val="0"/>
              <w:keepLines w:val="0"/>
              <w:pageBreakBefore w:val="0"/>
              <w:widowControl w:val="0"/>
              <w:suppressLineNumbers w:val="0"/>
              <w:kinsoku/>
              <w:wordWrap/>
              <w:overflowPunct/>
              <w:topLinePunct w:val="0"/>
              <w:bidi w:val="0"/>
              <w:spacing w:before="0" w:beforeAutospacing="0" w:after="0" w:afterAutospacing="0"/>
              <w:ind w:left="0" w:right="0"/>
              <w:jc w:val="left"/>
              <w:textAlignment w:val="auto"/>
              <w:rPr>
                <w:rFonts w:hint="default" w:ascii="Times New Roman" w:hAnsi="Times New Roman" w:eastAsia="宋体" w:cs="Times New Roman"/>
                <w:color w:val="auto"/>
                <w:sz w:val="24"/>
                <w:szCs w:val="24"/>
                <w:highlight w:val="none"/>
                <w:lang w:eastAsia="zh-CN"/>
              </w:rPr>
            </w:pPr>
          </w:p>
        </w:tc>
      </w:tr>
      <w:tr w14:paraId="22C725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1BDB550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restart"/>
            <w:tcBorders>
              <w:right w:val="single" w:color="auto" w:sz="4" w:space="0"/>
              <w:tl2br w:val="nil"/>
              <w:tr2bl w:val="nil"/>
            </w:tcBorders>
            <w:noWrap w:val="0"/>
            <w:vAlign w:val="center"/>
          </w:tcPr>
          <w:p w14:paraId="2379612E">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highlight w:val="none"/>
                <w:lang w:val="de-DE" w:eastAsia="zh-CN" w:bidi="ar-SA"/>
              </w:rPr>
            </w:pPr>
            <w:r>
              <w:rPr>
                <w:rFonts w:hint="default" w:ascii="Times New Roman" w:hAnsi="Times New Roman" w:eastAsia="宋体" w:cs="Times New Roman"/>
                <w:color w:val="auto"/>
                <w:sz w:val="24"/>
                <w:szCs w:val="24"/>
                <w:highlight w:val="none"/>
                <w:lang w:val="de-DE"/>
              </w:rPr>
              <w:t>环保设施</w:t>
            </w:r>
          </w:p>
        </w:tc>
        <w:tc>
          <w:tcPr>
            <w:tcW w:w="732" w:type="pct"/>
            <w:tcBorders>
              <w:left w:val="single" w:color="auto" w:sz="4" w:space="0"/>
              <w:right w:val="single" w:color="auto" w:sz="4" w:space="0"/>
              <w:tl2br w:val="nil"/>
              <w:tr2bl w:val="nil"/>
            </w:tcBorders>
            <w:noWrap w:val="0"/>
            <w:vAlign w:val="center"/>
          </w:tcPr>
          <w:p w14:paraId="66589C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废滤料</w:t>
            </w:r>
          </w:p>
        </w:tc>
        <w:tc>
          <w:tcPr>
            <w:tcW w:w="1138" w:type="pct"/>
            <w:gridSpan w:val="2"/>
            <w:vMerge w:val="continue"/>
            <w:tcBorders>
              <w:left w:val="single" w:color="auto" w:sz="4" w:space="0"/>
              <w:right w:val="single" w:color="auto" w:sz="4" w:space="0"/>
              <w:tl2br w:val="nil"/>
              <w:tr2bl w:val="nil"/>
            </w:tcBorders>
            <w:noWrap w:val="0"/>
            <w:vAlign w:val="center"/>
          </w:tcPr>
          <w:p w14:paraId="69109A0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lang w:val="en-US" w:eastAsia="zh-CN" w:bidi="ar-SA"/>
              </w:rPr>
            </w:pPr>
          </w:p>
        </w:tc>
        <w:tc>
          <w:tcPr>
            <w:tcW w:w="1602" w:type="pct"/>
            <w:vMerge w:val="continue"/>
            <w:tcBorders>
              <w:left w:val="single" w:color="auto" w:sz="4" w:space="0"/>
              <w:tl2br w:val="nil"/>
              <w:tr2bl w:val="nil"/>
            </w:tcBorders>
            <w:noWrap w:val="0"/>
            <w:vAlign w:val="center"/>
          </w:tcPr>
          <w:p w14:paraId="51E2F85E">
            <w:pPr>
              <w:keepNext w:val="0"/>
              <w:keepLines w:val="0"/>
              <w:pageBreakBefore w:val="0"/>
              <w:widowControl w:val="0"/>
              <w:suppressLineNumbers w:val="0"/>
              <w:kinsoku/>
              <w:wordWrap/>
              <w:overflowPunct/>
              <w:topLinePunct w:val="0"/>
              <w:bidi w:val="0"/>
              <w:spacing w:before="0" w:beforeAutospacing="0" w:after="0" w:afterAutospacing="0"/>
              <w:ind w:left="0" w:right="0"/>
              <w:jc w:val="left"/>
              <w:textAlignment w:val="auto"/>
              <w:rPr>
                <w:rFonts w:hint="default" w:ascii="Times New Roman" w:hAnsi="Times New Roman" w:eastAsia="宋体" w:cs="Times New Roman"/>
                <w:color w:val="auto"/>
                <w:sz w:val="24"/>
                <w:szCs w:val="24"/>
                <w:highlight w:val="none"/>
                <w:lang w:eastAsia="zh-CN"/>
              </w:rPr>
            </w:pPr>
          </w:p>
        </w:tc>
      </w:tr>
      <w:tr w14:paraId="1F1230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5F7FC89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continue"/>
            <w:tcBorders>
              <w:right w:val="single" w:color="auto" w:sz="4" w:space="0"/>
              <w:tl2br w:val="nil"/>
              <w:tr2bl w:val="nil"/>
            </w:tcBorders>
            <w:noWrap w:val="0"/>
            <w:vAlign w:val="center"/>
          </w:tcPr>
          <w:p w14:paraId="3A66F96B">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de-DE"/>
              </w:rPr>
            </w:pPr>
          </w:p>
        </w:tc>
        <w:tc>
          <w:tcPr>
            <w:tcW w:w="732" w:type="pct"/>
            <w:tcBorders>
              <w:left w:val="single" w:color="auto" w:sz="4" w:space="0"/>
              <w:right w:val="single" w:color="auto" w:sz="4" w:space="0"/>
              <w:tl2br w:val="nil"/>
              <w:tr2bl w:val="nil"/>
            </w:tcBorders>
            <w:noWrap w:val="0"/>
            <w:vAlign w:val="center"/>
          </w:tcPr>
          <w:p w14:paraId="629AA32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废离子交换树</w:t>
            </w:r>
          </w:p>
        </w:tc>
        <w:tc>
          <w:tcPr>
            <w:tcW w:w="1138" w:type="pct"/>
            <w:gridSpan w:val="2"/>
            <w:vMerge w:val="continue"/>
            <w:tcBorders>
              <w:left w:val="single" w:color="auto" w:sz="4" w:space="0"/>
              <w:right w:val="single" w:color="auto" w:sz="4" w:space="0"/>
              <w:tl2br w:val="nil"/>
              <w:tr2bl w:val="nil"/>
            </w:tcBorders>
            <w:noWrap w:val="0"/>
            <w:vAlign w:val="center"/>
          </w:tcPr>
          <w:p w14:paraId="318594D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lang w:val="en-US" w:eastAsia="zh-CN" w:bidi="ar-SA"/>
              </w:rPr>
            </w:pPr>
          </w:p>
        </w:tc>
        <w:tc>
          <w:tcPr>
            <w:tcW w:w="1602" w:type="pct"/>
            <w:vMerge w:val="continue"/>
            <w:tcBorders>
              <w:left w:val="single" w:color="auto" w:sz="4" w:space="0"/>
              <w:tl2br w:val="nil"/>
              <w:tr2bl w:val="nil"/>
            </w:tcBorders>
            <w:noWrap w:val="0"/>
            <w:vAlign w:val="center"/>
          </w:tcPr>
          <w:p w14:paraId="640EC165">
            <w:pPr>
              <w:keepNext w:val="0"/>
              <w:keepLines w:val="0"/>
              <w:pageBreakBefore w:val="0"/>
              <w:widowControl w:val="0"/>
              <w:suppressLineNumbers w:val="0"/>
              <w:kinsoku/>
              <w:wordWrap/>
              <w:overflowPunct/>
              <w:topLinePunct w:val="0"/>
              <w:bidi w:val="0"/>
              <w:spacing w:before="0" w:beforeAutospacing="0" w:after="0" w:afterAutospacing="0"/>
              <w:ind w:left="0" w:right="0"/>
              <w:jc w:val="left"/>
              <w:textAlignment w:val="auto"/>
              <w:rPr>
                <w:rFonts w:hint="default" w:ascii="Times New Roman" w:hAnsi="Times New Roman" w:eastAsia="宋体" w:cs="Times New Roman"/>
                <w:color w:val="auto"/>
                <w:sz w:val="24"/>
                <w:szCs w:val="24"/>
                <w:highlight w:val="none"/>
                <w:lang w:eastAsia="zh-CN"/>
              </w:rPr>
            </w:pPr>
          </w:p>
        </w:tc>
      </w:tr>
      <w:tr w14:paraId="54A1F1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0D2BA23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continue"/>
            <w:tcBorders>
              <w:right w:val="single" w:color="auto" w:sz="4" w:space="0"/>
              <w:tl2br w:val="nil"/>
              <w:tr2bl w:val="nil"/>
            </w:tcBorders>
            <w:noWrap w:val="0"/>
            <w:vAlign w:val="center"/>
          </w:tcPr>
          <w:p w14:paraId="4E90E63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p>
        </w:tc>
        <w:tc>
          <w:tcPr>
            <w:tcW w:w="732" w:type="pct"/>
            <w:tcBorders>
              <w:left w:val="single" w:color="auto" w:sz="4" w:space="0"/>
              <w:right w:val="single" w:color="auto" w:sz="4" w:space="0"/>
              <w:tl2br w:val="nil"/>
              <w:tr2bl w:val="nil"/>
            </w:tcBorders>
            <w:noWrap w:val="0"/>
            <w:vAlign w:val="center"/>
          </w:tcPr>
          <w:p w14:paraId="1DD57E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污泥</w:t>
            </w:r>
          </w:p>
        </w:tc>
        <w:tc>
          <w:tcPr>
            <w:tcW w:w="1138" w:type="pct"/>
            <w:gridSpan w:val="2"/>
            <w:vMerge w:val="restart"/>
            <w:tcBorders>
              <w:left w:val="single" w:color="auto" w:sz="4" w:space="0"/>
              <w:right w:val="single" w:color="auto" w:sz="4" w:space="0"/>
              <w:tl2br w:val="nil"/>
              <w:tr2bl w:val="nil"/>
            </w:tcBorders>
            <w:noWrap w:val="0"/>
            <w:vAlign w:val="center"/>
          </w:tcPr>
          <w:p w14:paraId="7118D61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暂存危废间，委托有资质单位进行处理</w:t>
            </w:r>
          </w:p>
        </w:tc>
        <w:tc>
          <w:tcPr>
            <w:tcW w:w="1602" w:type="pct"/>
            <w:vMerge w:val="restart"/>
            <w:tcBorders>
              <w:left w:val="single" w:color="auto" w:sz="4" w:space="0"/>
              <w:tl2br w:val="nil"/>
              <w:tr2bl w:val="nil"/>
            </w:tcBorders>
            <w:noWrap w:val="0"/>
            <w:vAlign w:val="center"/>
          </w:tcPr>
          <w:p w14:paraId="08170476">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zh-CN" w:eastAsia="zh-CN"/>
              </w:rPr>
              <w:t>《危险废物贮存污染控制标准》（GB18597-2023）</w:t>
            </w:r>
          </w:p>
        </w:tc>
      </w:tr>
      <w:tr w14:paraId="417DFE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158E48F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vMerge w:val="continue"/>
            <w:tcBorders>
              <w:right w:val="single" w:color="auto" w:sz="4" w:space="0"/>
              <w:tl2br w:val="nil"/>
              <w:tr2bl w:val="nil"/>
            </w:tcBorders>
            <w:noWrap w:val="0"/>
            <w:vAlign w:val="center"/>
          </w:tcPr>
          <w:p w14:paraId="12319D6A">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highlight w:val="none"/>
                <w:lang w:val="de-DE" w:eastAsia="zh-CN" w:bidi="ar-SA"/>
              </w:rPr>
            </w:pPr>
          </w:p>
        </w:tc>
        <w:tc>
          <w:tcPr>
            <w:tcW w:w="732" w:type="pct"/>
            <w:tcBorders>
              <w:left w:val="single" w:color="auto" w:sz="4" w:space="0"/>
              <w:right w:val="single" w:color="auto" w:sz="4" w:space="0"/>
              <w:tl2br w:val="nil"/>
              <w:tr2bl w:val="nil"/>
            </w:tcBorders>
            <w:noWrap w:val="0"/>
            <w:vAlign w:val="center"/>
          </w:tcPr>
          <w:p w14:paraId="4FE8EE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废布袋</w:t>
            </w:r>
          </w:p>
        </w:tc>
        <w:tc>
          <w:tcPr>
            <w:tcW w:w="1138" w:type="pct"/>
            <w:gridSpan w:val="2"/>
            <w:vMerge w:val="continue"/>
            <w:tcBorders>
              <w:left w:val="single" w:color="auto" w:sz="4" w:space="0"/>
              <w:right w:val="single" w:color="auto" w:sz="4" w:space="0"/>
              <w:tl2br w:val="nil"/>
              <w:tr2bl w:val="nil"/>
            </w:tcBorders>
            <w:noWrap w:val="0"/>
            <w:vAlign w:val="center"/>
          </w:tcPr>
          <w:p w14:paraId="096AE06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p>
        </w:tc>
        <w:tc>
          <w:tcPr>
            <w:tcW w:w="1602" w:type="pct"/>
            <w:vMerge w:val="continue"/>
            <w:tcBorders>
              <w:left w:val="single" w:color="auto" w:sz="4" w:space="0"/>
              <w:tl2br w:val="nil"/>
              <w:tr2bl w:val="nil"/>
            </w:tcBorders>
            <w:noWrap w:val="0"/>
            <w:vAlign w:val="center"/>
          </w:tcPr>
          <w:p w14:paraId="758FBD4B">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zh-CN" w:eastAsia="zh-CN"/>
              </w:rPr>
            </w:pPr>
          </w:p>
        </w:tc>
      </w:tr>
      <w:tr w14:paraId="125AEE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vMerge w:val="continue"/>
            <w:tcBorders>
              <w:tl2br w:val="nil"/>
              <w:tr2bl w:val="nil"/>
            </w:tcBorders>
            <w:noWrap w:val="0"/>
            <w:vAlign w:val="center"/>
          </w:tcPr>
          <w:p w14:paraId="261730E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p>
        </w:tc>
        <w:tc>
          <w:tcPr>
            <w:tcW w:w="891" w:type="pct"/>
            <w:gridSpan w:val="2"/>
            <w:tcBorders>
              <w:right w:val="single" w:color="auto" w:sz="4" w:space="0"/>
              <w:tl2br w:val="nil"/>
              <w:tr2bl w:val="nil"/>
            </w:tcBorders>
            <w:noWrap w:val="0"/>
            <w:vAlign w:val="center"/>
          </w:tcPr>
          <w:p w14:paraId="307026A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生产过程</w:t>
            </w:r>
          </w:p>
        </w:tc>
        <w:tc>
          <w:tcPr>
            <w:tcW w:w="732" w:type="pct"/>
            <w:tcBorders>
              <w:top w:val="single" w:color="auto" w:sz="4" w:space="0"/>
              <w:left w:val="single" w:color="auto" w:sz="4" w:space="0"/>
              <w:right w:val="single" w:color="auto" w:sz="4" w:space="0"/>
              <w:tl2br w:val="nil"/>
              <w:tr2bl w:val="nil"/>
            </w:tcBorders>
            <w:noWrap w:val="0"/>
            <w:vAlign w:val="center"/>
          </w:tcPr>
          <w:p w14:paraId="2E6D3E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废酸桶</w:t>
            </w:r>
          </w:p>
        </w:tc>
        <w:tc>
          <w:tcPr>
            <w:tcW w:w="1138" w:type="pct"/>
            <w:gridSpan w:val="2"/>
            <w:vMerge w:val="continue"/>
            <w:tcBorders>
              <w:left w:val="single" w:color="auto" w:sz="4" w:space="0"/>
              <w:right w:val="single" w:color="auto" w:sz="4" w:space="0"/>
              <w:tl2br w:val="nil"/>
              <w:tr2bl w:val="nil"/>
            </w:tcBorders>
            <w:noWrap w:val="0"/>
            <w:vAlign w:val="center"/>
          </w:tcPr>
          <w:p w14:paraId="75F510A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p>
        </w:tc>
        <w:tc>
          <w:tcPr>
            <w:tcW w:w="1602" w:type="pct"/>
            <w:vMerge w:val="continue"/>
            <w:tcBorders>
              <w:left w:val="single" w:color="auto" w:sz="4" w:space="0"/>
              <w:tl2br w:val="nil"/>
              <w:tr2bl w:val="nil"/>
            </w:tcBorders>
            <w:noWrap w:val="0"/>
            <w:vAlign w:val="center"/>
          </w:tcPr>
          <w:p w14:paraId="044AE721">
            <w:pPr>
              <w:keepNext w:val="0"/>
              <w:keepLines w:val="0"/>
              <w:pageBreakBefore w:val="0"/>
              <w:widowControl w:val="0"/>
              <w:suppressLineNumbers w:val="0"/>
              <w:kinsoku/>
              <w:wordWrap/>
              <w:overflowPunct/>
              <w:topLinePunct w:val="0"/>
              <w:bidi w:val="0"/>
              <w:spacing w:before="0" w:beforeAutospacing="0" w:after="0" w:afterAutospacing="0"/>
              <w:ind w:left="0" w:right="0"/>
              <w:jc w:val="left"/>
              <w:textAlignment w:val="auto"/>
              <w:rPr>
                <w:rFonts w:hint="default" w:ascii="Times New Roman" w:hAnsi="Times New Roman" w:eastAsia="宋体" w:cs="Times New Roman"/>
                <w:color w:val="auto"/>
                <w:sz w:val="24"/>
                <w:szCs w:val="24"/>
                <w:highlight w:val="none"/>
                <w:lang w:eastAsia="zh-CN"/>
              </w:rPr>
            </w:pPr>
          </w:p>
        </w:tc>
      </w:tr>
      <w:tr w14:paraId="2178A1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42502A9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土壤及地下水污染防治措施</w:t>
            </w:r>
          </w:p>
        </w:tc>
        <w:tc>
          <w:tcPr>
            <w:tcW w:w="4364" w:type="pct"/>
            <w:gridSpan w:val="6"/>
            <w:tcBorders>
              <w:tl2br w:val="nil"/>
              <w:tr2bl w:val="nil"/>
            </w:tcBorders>
            <w:noWrap w:val="0"/>
            <w:vAlign w:val="center"/>
          </w:tcPr>
          <w:p w14:paraId="0324980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厂房等做防渗措施</w:t>
            </w:r>
          </w:p>
        </w:tc>
      </w:tr>
      <w:tr w14:paraId="4982DF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70E3698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生态保护措施</w:t>
            </w:r>
          </w:p>
        </w:tc>
        <w:tc>
          <w:tcPr>
            <w:tcW w:w="4364" w:type="pct"/>
            <w:gridSpan w:val="6"/>
            <w:tcBorders>
              <w:tl2br w:val="nil"/>
              <w:tr2bl w:val="nil"/>
            </w:tcBorders>
            <w:noWrap w:val="0"/>
            <w:vAlign w:val="center"/>
          </w:tcPr>
          <w:p w14:paraId="46F5AE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项目不涉及生态环境影响</w:t>
            </w:r>
          </w:p>
        </w:tc>
      </w:tr>
      <w:tr w14:paraId="1C4516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5EC1BC7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环境风险防范措施</w:t>
            </w:r>
          </w:p>
        </w:tc>
        <w:tc>
          <w:tcPr>
            <w:tcW w:w="4364" w:type="pct"/>
            <w:gridSpan w:val="6"/>
            <w:tcBorders>
              <w:tl2br w:val="nil"/>
              <w:tr2bl w:val="nil"/>
            </w:tcBorders>
            <w:noWrap w:val="0"/>
            <w:vAlign w:val="center"/>
          </w:tcPr>
          <w:p w14:paraId="6057D2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做好职工培训，厂内定期巡检，重点防范火灾事故发生。</w:t>
            </w:r>
          </w:p>
        </w:tc>
      </w:tr>
      <w:tr w14:paraId="671A3C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35" w:type="pct"/>
            <w:tcBorders>
              <w:tl2br w:val="nil"/>
              <w:tr2bl w:val="nil"/>
            </w:tcBorders>
            <w:noWrap w:val="0"/>
            <w:vAlign w:val="center"/>
          </w:tcPr>
          <w:p w14:paraId="0C9BB37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其他环境</w:t>
            </w:r>
          </w:p>
          <w:p w14:paraId="69426C5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管理要求</w:t>
            </w:r>
          </w:p>
        </w:tc>
        <w:tc>
          <w:tcPr>
            <w:tcW w:w="4364" w:type="pct"/>
            <w:gridSpan w:val="6"/>
            <w:tcBorders>
              <w:tl2br w:val="nil"/>
              <w:tr2bl w:val="nil"/>
            </w:tcBorders>
            <w:noWrap w:val="0"/>
            <w:vAlign w:val="center"/>
          </w:tcPr>
          <w:p w14:paraId="3C8E3F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1、环境保护管理体系</w:t>
            </w:r>
          </w:p>
          <w:p w14:paraId="2354EC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为做好环境管理工作，公司应建立环境管理体系，将环境管理工作自上而下的贯穿到公司的生产管理中。</w:t>
            </w:r>
          </w:p>
          <w:p w14:paraId="03B611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2、环境管理规章制度</w:t>
            </w:r>
          </w:p>
          <w:p w14:paraId="534BEF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建立和完善环境管理制度，是公司环境管理体系的重要组成部分，需建立的环境管理制度。</w:t>
            </w:r>
          </w:p>
          <w:p w14:paraId="08355B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3、设置环境保护标识</w:t>
            </w:r>
          </w:p>
          <w:p w14:paraId="2400B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企业应制定环境管理文件及实施细则，按照《排污口规范化整治技术要求（试行）》、《关于开展排放口规范化整治工作的通知》、《固定污染源废气监测点位设置技术规范》（DB37/T3535-2019）等文件中有关规定设置与管理废气、废水排放口。同时废气排放口、噪声排放源、固体废物贮存（处置）场图形符号分别为提示图形符号和警告图形符号两种，图形符号的设置按GB15562.1-1995 、GB15562.2-1995</w:t>
            </w:r>
            <w:r>
              <w:rPr>
                <w:rFonts w:hint="default" w:ascii="Times New Roman" w:hAnsi="Times New Roman" w:eastAsia="宋体" w:cs="Times New Roman"/>
                <w:color w:val="auto"/>
                <w:sz w:val="24"/>
                <w:szCs w:val="24"/>
                <w:highlight w:val="none"/>
                <w:lang w:val="en-US" w:eastAsia="zh-CN"/>
              </w:rPr>
              <w:t>及修改单</w:t>
            </w:r>
            <w:r>
              <w:rPr>
                <w:rFonts w:hint="default" w:ascii="Times New Roman" w:hAnsi="Times New Roman" w:eastAsia="宋体" w:cs="Times New Roman"/>
                <w:color w:val="auto"/>
                <w:sz w:val="24"/>
                <w:szCs w:val="24"/>
                <w:highlight w:val="none"/>
              </w:rPr>
              <w:t>执行。</w:t>
            </w:r>
          </w:p>
          <w:p w14:paraId="56B20F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4、建设项目竣工环境保护验收</w:t>
            </w:r>
          </w:p>
          <w:p w14:paraId="190299BC">
            <w:pPr>
              <w:keepNext w:val="0"/>
              <w:keepLines w:val="0"/>
              <w:pageBreakBefore w:val="0"/>
              <w:widowControl w:val="0"/>
              <w:suppressLineNumbers w:val="0"/>
              <w:kinsoku/>
              <w:wordWrap/>
              <w:overflowPunct/>
              <w:topLinePunct w:val="0"/>
              <w:autoSpaceDE/>
              <w:autoSpaceDN/>
              <w:bidi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根据《建设项目环境保护管理条例》要求，编制环境影响报告表的建设项目竣工后，建设单位应当按照国务院环境保护行政主管部门规定的标准和程序，对配套建设的环境保护设施进行验收，编制验收报告。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三同时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验收清单见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四、主要环境影响和保护措施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color w:val="auto"/>
                <w:sz w:val="24"/>
                <w:szCs w:val="24"/>
                <w:highlight w:val="none"/>
              </w:rPr>
              <w:t>八、三同时竣工验收一览表</w:t>
            </w:r>
            <w:r>
              <w:rPr>
                <w:rFonts w:hint="default" w:ascii="Times New Roman" w:hAnsi="Times New Roman" w:eastAsia="宋体" w:cs="Times New Roman"/>
                <w:color w:val="auto"/>
                <w:sz w:val="24"/>
                <w:szCs w:val="24"/>
                <w:highlight w:val="none"/>
                <w:lang w:val="en-US" w:eastAsia="zh-CN"/>
              </w:rPr>
              <w:t>”。</w:t>
            </w:r>
          </w:p>
          <w:p w14:paraId="41C249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5、排污许可登记</w:t>
            </w:r>
          </w:p>
          <w:p w14:paraId="251E86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照《排污许可管理条例》、《山东省生态环境厅关于加强排污许可管理工作的通知》（鲁环函〔2020〕14号）和《固定污染源排污许可分类管理名录》（2019年版）要求，企业应当在本项目投入生产或使用并产生实际排污行为之前完成排污许可登记管理申报。</w:t>
            </w:r>
          </w:p>
          <w:p w14:paraId="1D59EF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p>
          <w:p w14:paraId="717FCA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p>
          <w:p w14:paraId="289D64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default" w:ascii="Times New Roman" w:hAnsi="Times New Roman" w:eastAsia="宋体" w:cs="Times New Roman"/>
                <w:color w:val="auto"/>
                <w:sz w:val="24"/>
                <w:szCs w:val="24"/>
                <w:highlight w:val="none"/>
              </w:rPr>
            </w:pPr>
          </w:p>
          <w:p w14:paraId="683DAF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eastAsia" w:cs="Times New Roman"/>
                <w:color w:val="auto"/>
                <w:sz w:val="24"/>
                <w:szCs w:val="24"/>
                <w:highlight w:val="none"/>
                <w:lang w:val="en-US" w:eastAsia="zh-CN"/>
              </w:rPr>
            </w:pPr>
          </w:p>
          <w:p w14:paraId="1CFA14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eastAsia" w:cs="Times New Roman"/>
                <w:color w:val="auto"/>
                <w:sz w:val="24"/>
                <w:szCs w:val="24"/>
                <w:highlight w:val="none"/>
                <w:lang w:val="en-US" w:eastAsia="zh-CN"/>
              </w:rPr>
            </w:pPr>
          </w:p>
          <w:p w14:paraId="45CA19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 xml:space="preserve"> </w:t>
            </w:r>
          </w:p>
        </w:tc>
      </w:tr>
      <w:bookmarkEnd w:id="21"/>
    </w:tbl>
    <w:p w14:paraId="66C9DCEE">
      <w:pPr>
        <w:pStyle w:val="28"/>
        <w:keepNext w:val="0"/>
        <w:keepLines w:val="0"/>
        <w:pageBreakBefore w:val="0"/>
        <w:widowControl/>
        <w:kinsoku/>
        <w:wordWrap/>
        <w:overflowPunct/>
        <w:topLinePunct w:val="0"/>
        <w:autoSpaceDE/>
        <w:autoSpaceDN/>
        <w:bidi w:val="0"/>
        <w:adjustRightInd w:val="0"/>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bookmarkStart w:id="22" w:name="_Toc24179"/>
      <w:bookmarkStart w:id="23" w:name="_Toc4561"/>
    </w:p>
    <w:p w14:paraId="328136F1">
      <w:pPr>
        <w:pStyle w:val="28"/>
        <w:keepNext w:val="0"/>
        <w:keepLines w:val="0"/>
        <w:pageBreakBefore w:val="0"/>
        <w:widowControl/>
        <w:kinsoku/>
        <w:wordWrap/>
        <w:overflowPunct/>
        <w:topLinePunct w:val="0"/>
        <w:autoSpaceDE/>
        <w:autoSpaceDN/>
        <w:bidi w:val="0"/>
        <w:adjustRightInd w:val="0"/>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六、结论</w:t>
      </w:r>
      <w:bookmarkEnd w:id="19"/>
      <w:bookmarkEnd w:id="22"/>
      <w:bookmarkEnd w:id="23"/>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45837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1" w:hRule="atLeast"/>
          <w:jc w:val="center"/>
        </w:trPr>
        <w:tc>
          <w:tcPr>
            <w:tcW w:w="8865" w:type="dxa"/>
            <w:noWrap w:val="0"/>
            <w:vAlign w:val="center"/>
          </w:tcPr>
          <w:p w14:paraId="6F1D8464">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1449F8FC">
            <w:pPr>
              <w:pStyle w:val="2"/>
              <w:keepNext w:val="0"/>
              <w:keepLines w:val="0"/>
              <w:suppressLineNumbers w:val="0"/>
              <w:spacing w:before="0" w:beforeAutospacing="0" w:afterAutospacing="0"/>
              <w:ind w:right="0"/>
              <w:rPr>
                <w:rFonts w:hint="default" w:ascii="Times New Roman" w:hAnsi="Times New Roman" w:cs="Times New Roman"/>
                <w:color w:val="auto"/>
              </w:rPr>
            </w:pPr>
          </w:p>
          <w:p w14:paraId="150D3EC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7F77FA5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03C6755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027918C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712CDB93">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65679EAD">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5BA6A10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4CCE870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p>
          <w:p w14:paraId="397D503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kern w:val="0"/>
                <w:sz w:val="24"/>
                <w:highlight w:val="none"/>
              </w:rPr>
            </w:pPr>
            <w:r>
              <w:rPr>
                <w:rFonts w:hint="default" w:ascii="Times New Roman" w:hAnsi="Times New Roman" w:cs="Times New Roman"/>
                <w:bCs/>
                <w:color w:val="auto"/>
                <w:sz w:val="24"/>
                <w:highlight w:val="none"/>
              </w:rPr>
              <w:t>本项目建设符合国家产业</w:t>
            </w:r>
            <w:r>
              <w:rPr>
                <w:rFonts w:hint="default" w:ascii="Times New Roman" w:hAnsi="Times New Roman" w:eastAsia="宋体" w:cs="Times New Roman"/>
                <w:color w:val="auto"/>
                <w:sz w:val="24"/>
                <w:szCs w:val="32"/>
                <w:highlight w:val="none"/>
              </w:rPr>
              <w:t>政策；符合</w:t>
            </w:r>
            <w:r>
              <w:rPr>
                <w:rFonts w:hint="default" w:ascii="Times New Roman" w:hAnsi="Times New Roman" w:eastAsia="宋体" w:cs="Times New Roman"/>
                <w:color w:val="auto"/>
                <w:sz w:val="24"/>
                <w:szCs w:val="32"/>
                <w:highlight w:val="none"/>
                <w:lang w:val="en-US" w:eastAsia="zh-CN"/>
              </w:rPr>
              <w:t>淄川区双杨镇工业集聚区总体规划（2021-2035年）</w:t>
            </w:r>
            <w:r>
              <w:rPr>
                <w:rFonts w:hint="default" w:ascii="Times New Roman" w:hAnsi="Times New Roman" w:eastAsia="宋体" w:cs="Times New Roman"/>
                <w:color w:val="auto"/>
                <w:sz w:val="24"/>
                <w:szCs w:val="32"/>
                <w:highlight w:val="none"/>
              </w:rPr>
              <w:t>；符合淄川区总体规划，选址合理。本项目拟采取的污染防治、风险防控措施和本报告建议及要求的对策经济技术可行，在治污设施连续、稳定运行，风险防控措施严格落实的前提下，项目建设及运行对区域环</w:t>
            </w:r>
            <w:r>
              <w:rPr>
                <w:rFonts w:hint="default" w:ascii="Times New Roman" w:hAnsi="Times New Roman" w:cs="Times New Roman"/>
                <w:bCs/>
                <w:color w:val="auto"/>
                <w:sz w:val="24"/>
                <w:highlight w:val="none"/>
              </w:rPr>
              <w:t>境质量影响较小。在落实本报告所提出的各项污染防治和风险防控措施后，本项目从环境保护角度分析是可行的</w:t>
            </w:r>
            <w:r>
              <w:rPr>
                <w:rFonts w:hint="default" w:ascii="Times New Roman" w:hAnsi="Times New Roman" w:cs="Times New Roman"/>
                <w:bCs/>
                <w:color w:val="auto"/>
                <w:kern w:val="0"/>
                <w:sz w:val="24"/>
                <w:highlight w:val="none"/>
              </w:rPr>
              <w:t>。</w:t>
            </w:r>
          </w:p>
          <w:p w14:paraId="5734A58A">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0AB4FD46">
            <w:pPr>
              <w:keepNext w:val="0"/>
              <w:keepLines w:val="0"/>
              <w:suppressLineNumbers w:val="0"/>
              <w:spacing w:before="0" w:beforeAutospacing="0" w:after="0" w:afterAutospacing="0"/>
              <w:ind w:left="0" w:right="0"/>
              <w:rPr>
                <w:rFonts w:hint="default" w:ascii="Times New Roman" w:hAnsi="Times New Roman" w:cs="Times New Roman"/>
                <w:bCs/>
                <w:color w:val="auto"/>
                <w:kern w:val="0"/>
                <w:sz w:val="24"/>
                <w:highlight w:val="none"/>
              </w:rPr>
            </w:pPr>
          </w:p>
          <w:p w14:paraId="21DA9578">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09A78D11">
            <w:pPr>
              <w:keepNext w:val="0"/>
              <w:keepLines w:val="0"/>
              <w:suppressLineNumbers w:val="0"/>
              <w:spacing w:before="0" w:beforeAutospacing="0" w:after="0" w:afterAutospacing="0"/>
              <w:ind w:left="0" w:right="0"/>
              <w:rPr>
                <w:rFonts w:hint="default" w:ascii="Times New Roman" w:hAnsi="Times New Roman" w:cs="Times New Roman"/>
                <w:bCs/>
                <w:color w:val="auto"/>
                <w:kern w:val="0"/>
                <w:sz w:val="24"/>
                <w:highlight w:val="none"/>
              </w:rPr>
            </w:pPr>
          </w:p>
          <w:p w14:paraId="35723C5A">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4CEFBA7E">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52DCC1F4">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585FAE80">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5757D96F">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2625F7E5">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5DAA3CEB">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41631F60">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1F180716">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21525A5D">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27E1165E">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4CEDCEA3">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26F4F973">
            <w:pPr>
              <w:pStyle w:val="2"/>
              <w:keepNext w:val="0"/>
              <w:keepLines w:val="0"/>
              <w:suppressLineNumbers w:val="0"/>
              <w:spacing w:before="0" w:beforeAutospacing="0" w:afterAutospacing="0"/>
              <w:ind w:right="0"/>
              <w:rPr>
                <w:rFonts w:hint="default" w:ascii="Times New Roman" w:hAnsi="Times New Roman" w:cs="Times New Roman"/>
                <w:bCs/>
                <w:color w:val="auto"/>
                <w:kern w:val="0"/>
                <w:sz w:val="24"/>
                <w:highlight w:val="none"/>
              </w:rPr>
            </w:pPr>
          </w:p>
          <w:p w14:paraId="491837B7">
            <w:pPr>
              <w:pStyle w:val="2"/>
              <w:keepNext w:val="0"/>
              <w:keepLines w:val="0"/>
              <w:suppressLineNumbers w:val="0"/>
              <w:spacing w:before="0" w:beforeAutospacing="0" w:afterAutospacing="0"/>
              <w:ind w:right="0"/>
              <w:rPr>
                <w:rFonts w:hint="default" w:ascii="Times New Roman" w:hAnsi="Times New Roman" w:cs="Times New Roman"/>
                <w:color w:val="auto"/>
              </w:rPr>
            </w:pPr>
          </w:p>
        </w:tc>
      </w:tr>
    </w:tbl>
    <w:p w14:paraId="339006BD">
      <w:pPr>
        <w:rPr>
          <w:rFonts w:hint="default" w:ascii="Times New Roman" w:hAnsi="Times New Roman" w:cs="Times New Roman"/>
          <w:color w:val="auto"/>
          <w:highlight w:val="none"/>
        </w:rPr>
        <w:sectPr>
          <w:pgSz w:w="11906" w:h="16838"/>
          <w:pgMar w:top="1417" w:right="1134" w:bottom="1417" w:left="1134"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15ECC841">
      <w:pPr>
        <w:rPr>
          <w:rFonts w:hint="default" w:ascii="Times New Roman" w:hAnsi="Times New Roman" w:cs="Times New Roman"/>
          <w:color w:val="auto"/>
          <w:highlight w:val="none"/>
        </w:rPr>
        <w:sectPr>
          <w:type w:val="continuous"/>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17C713D9">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tLeast"/>
        <w:textAlignment w:val="auto"/>
        <w:outlineLvl w:val="0"/>
        <w:rPr>
          <w:rFonts w:hint="default" w:ascii="Times New Roman" w:hAnsi="Times New Roman" w:eastAsia="黑体" w:cs="Times New Roman"/>
          <w:snapToGrid w:val="0"/>
          <w:color w:val="auto"/>
          <w:sz w:val="30"/>
          <w:szCs w:val="30"/>
          <w:highlight w:val="none"/>
        </w:rPr>
      </w:pPr>
      <w:bookmarkStart w:id="24" w:name="_Toc31740"/>
      <w:bookmarkStart w:id="25" w:name="_Toc14495"/>
      <w:bookmarkStart w:id="26" w:name="_Toc32000"/>
      <w:r>
        <w:rPr>
          <w:rFonts w:hint="default" w:ascii="Times New Roman" w:hAnsi="Times New Roman" w:eastAsia="黑体" w:cs="Times New Roman"/>
          <w:snapToGrid w:val="0"/>
          <w:color w:val="auto"/>
          <w:sz w:val="30"/>
          <w:szCs w:val="30"/>
          <w:highlight w:val="none"/>
        </w:rPr>
        <w:t>附表</w:t>
      </w:r>
      <w:bookmarkEnd w:id="24"/>
      <w:bookmarkEnd w:id="25"/>
      <w:bookmarkEnd w:id="26"/>
    </w:p>
    <w:p w14:paraId="281B840C">
      <w:pPr>
        <w:pStyle w:val="28"/>
        <w:adjustRightInd w:val="0"/>
        <w:snapToGrid w:val="0"/>
        <w:spacing w:before="0" w:beforeAutospacing="0" w:after="0" w:afterAutospacing="0"/>
        <w:jc w:val="center"/>
        <w:outlineLvl w:val="0"/>
        <w:rPr>
          <w:rFonts w:hint="default" w:ascii="Times New Roman" w:hAnsi="Times New Roman" w:eastAsia="方正小标宋_GBK" w:cs="Times New Roman"/>
          <w:snapToGrid w:val="0"/>
          <w:color w:val="auto"/>
          <w:sz w:val="38"/>
          <w:szCs w:val="38"/>
          <w:highlight w:val="none"/>
        </w:rPr>
      </w:pPr>
      <w:bookmarkStart w:id="27" w:name="_Toc32114"/>
      <w:bookmarkStart w:id="28" w:name="_Toc17950"/>
      <w:bookmarkStart w:id="29" w:name="_Toc29459"/>
      <w:r>
        <w:rPr>
          <w:rFonts w:hint="default" w:ascii="Times New Roman" w:hAnsi="Times New Roman" w:eastAsia="方正小标宋_GBK" w:cs="Times New Roman"/>
          <w:snapToGrid w:val="0"/>
          <w:color w:val="auto"/>
          <w:sz w:val="38"/>
          <w:szCs w:val="38"/>
          <w:highlight w:val="none"/>
        </w:rPr>
        <w:t>建设项目污染物排放量汇总表</w:t>
      </w:r>
      <w:bookmarkEnd w:id="27"/>
      <w:bookmarkEnd w:id="28"/>
      <w:bookmarkEnd w:id="29"/>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62"/>
        <w:gridCol w:w="1607"/>
        <w:gridCol w:w="1734"/>
        <w:gridCol w:w="1252"/>
        <w:gridCol w:w="1662"/>
        <w:gridCol w:w="1525"/>
        <w:gridCol w:w="1586"/>
        <w:gridCol w:w="1603"/>
        <w:gridCol w:w="1261"/>
      </w:tblGrid>
      <w:tr w14:paraId="75BBAB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tcBorders>
              <w:tl2br w:val="nil"/>
              <w:tr2bl w:val="nil"/>
            </w:tcBorders>
            <w:noWrap w:val="0"/>
            <w:tcMar>
              <w:left w:w="28" w:type="dxa"/>
              <w:right w:w="28" w:type="dxa"/>
            </w:tcMar>
            <w:vAlign w:val="center"/>
            <mc:AlternateContent>
              <mc:Choice Requires="wpsCustomData">
                <wpsCustomData:diagonals>
                  <wpsCustomData:diagonal from="10000" to="30000">
                    <wpsCustomData:border w:val="single" w:color="auto" w:sz="2" w:space="0"/>
                  </wpsCustomData:diagonal>
                </wpsCustomData:diagonals>
              </mc:Choice>
            </mc:AlternateContent>
          </w:tcPr>
          <w:p w14:paraId="6AFE1612">
            <w:pPr>
              <w:pStyle w:val="62"/>
              <w:keepNext w:val="0"/>
              <w:keepLines w:val="0"/>
              <w:suppressLineNumbers w:val="0"/>
              <w:snapToGrid w:val="0"/>
              <w:spacing w:before="0" w:beforeLines="0" w:beforeAutospacing="0" w:after="0" w:afterLines="0" w:afterAutospacing="0" w:line="240" w:lineRule="auto"/>
              <w:ind w:left="0" w:right="0"/>
              <w:jc w:val="left"/>
              <mc:AlternateContent>
                <mc:Choice Requires="wpsCustomData">
                  <wpsCustomData:diagonalParaType/>
                </mc:Choice>
              </mc:AlternateContent>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分类</w:t>
            </w:r>
          </w:p>
          <w:p w14:paraId="4B05EDFD">
            <w:pPr>
              <w:pStyle w:val="62"/>
              <w:keepNext w:val="0"/>
              <w:keepLines w:val="0"/>
              <w:suppressLineNumbers w:val="0"/>
              <w:spacing w:before="0" w:beforeLines="0" w:beforeAutospacing="0" w:after="0" w:afterLines="0" w:afterAutospacing="0" w:line="240" w:lineRule="auto"/>
              <w:ind w:left="0" w:right="0"/>
              <w:jc w:val="right"/>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项目</w:t>
            </w:r>
          </w:p>
        </w:tc>
        <w:tc>
          <w:tcPr>
            <w:tcW w:w="1607" w:type="dxa"/>
            <w:tcBorders>
              <w:tl2br w:val="nil"/>
              <w:tr2bl w:val="nil"/>
            </w:tcBorders>
            <w:noWrap w:val="0"/>
            <w:tcMar>
              <w:left w:w="28" w:type="dxa"/>
              <w:right w:w="28" w:type="dxa"/>
            </w:tcMar>
            <w:vAlign w:val="center"/>
          </w:tcPr>
          <w:p w14:paraId="6038AAF9">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污染物名称</w:t>
            </w:r>
          </w:p>
        </w:tc>
        <w:tc>
          <w:tcPr>
            <w:tcW w:w="1734" w:type="dxa"/>
            <w:tcBorders>
              <w:tl2br w:val="nil"/>
              <w:tr2bl w:val="nil"/>
            </w:tcBorders>
            <w:noWrap w:val="0"/>
            <w:tcMar>
              <w:left w:w="28" w:type="dxa"/>
              <w:right w:w="28" w:type="dxa"/>
            </w:tcMar>
            <w:vAlign w:val="center"/>
          </w:tcPr>
          <w:p w14:paraId="2D6E25CA">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现有工程</w:t>
            </w:r>
          </w:p>
          <w:p w14:paraId="36D42190">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排放量（固体废物产生量）</w:t>
            </w:r>
            <w:r>
              <w:rPr>
                <w:rFonts w:hint="default" w:ascii="Times New Roman" w:hAnsi="Times New Roman" w:cs="Times New Roman"/>
                <w:snapToGrid w:val="0"/>
                <w:color w:val="auto"/>
                <w:spacing w:val="-6"/>
                <w:kern w:val="21"/>
                <w:sz w:val="21"/>
                <w:szCs w:val="21"/>
                <w:highlight w:val="none"/>
              </w:rPr>
              <w:fldChar w:fldCharType="begin"/>
            </w:r>
            <w:r>
              <w:rPr>
                <w:rFonts w:hint="default" w:ascii="Times New Roman" w:hAnsi="Times New Roman" w:cs="Times New Roman"/>
                <w:snapToGrid w:val="0"/>
                <w:color w:val="auto"/>
                <w:spacing w:val="-6"/>
                <w:kern w:val="21"/>
                <w:sz w:val="21"/>
                <w:szCs w:val="21"/>
                <w:highlight w:val="none"/>
              </w:rPr>
              <w:instrText xml:space="preserve"> = 1 \* GB3 \* MERGEFORMAT </w:instrText>
            </w:r>
            <w:r>
              <w:rPr>
                <w:rFonts w:hint="default" w:ascii="Times New Roman" w:hAnsi="Times New Roman" w:cs="Times New Roman"/>
                <w:snapToGrid w:val="0"/>
                <w:color w:val="auto"/>
                <w:spacing w:val="-6"/>
                <w:kern w:val="21"/>
                <w:sz w:val="21"/>
                <w:szCs w:val="21"/>
                <w:highlight w:val="none"/>
              </w:rPr>
              <w:fldChar w:fldCharType="separate"/>
            </w:r>
            <w:r>
              <w:rPr>
                <w:rFonts w:hint="default" w:ascii="Times New Roman" w:hAnsi="Times New Roman" w:cs="Times New Roman"/>
                <w:color w:val="auto"/>
                <w:kern w:val="2"/>
                <w:sz w:val="21"/>
                <w:szCs w:val="21"/>
                <w:highlight w:val="none"/>
              </w:rPr>
              <w:t>①</w:t>
            </w:r>
            <w:r>
              <w:rPr>
                <w:rFonts w:hint="default" w:ascii="Times New Roman" w:hAnsi="Times New Roman" w:cs="Times New Roman"/>
                <w:snapToGrid w:val="0"/>
                <w:color w:val="auto"/>
                <w:spacing w:val="-6"/>
                <w:kern w:val="21"/>
                <w:sz w:val="21"/>
                <w:szCs w:val="21"/>
                <w:highlight w:val="none"/>
              </w:rPr>
              <w:fldChar w:fldCharType="end"/>
            </w:r>
          </w:p>
        </w:tc>
        <w:tc>
          <w:tcPr>
            <w:tcW w:w="1252" w:type="dxa"/>
            <w:tcBorders>
              <w:tl2br w:val="nil"/>
              <w:tr2bl w:val="nil"/>
            </w:tcBorders>
            <w:noWrap w:val="0"/>
            <w:tcMar>
              <w:left w:w="28" w:type="dxa"/>
              <w:right w:w="28" w:type="dxa"/>
            </w:tcMar>
            <w:vAlign w:val="center"/>
          </w:tcPr>
          <w:p w14:paraId="1172C8E6">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现有工程</w:t>
            </w:r>
          </w:p>
          <w:p w14:paraId="3AABE37C">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许可排放量</w:t>
            </w:r>
          </w:p>
          <w:p w14:paraId="4160D9DF">
            <w:pPr>
              <w:pStyle w:val="62"/>
              <w:keepNext w:val="0"/>
              <w:keepLines w:val="0"/>
              <w:suppressLineNumbers w:val="0"/>
              <w:spacing w:before="0" w:beforeLines="0" w:beforeAutospacing="0" w:after="0" w:afterLines="0" w:afterAutospacing="0"/>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fldChar w:fldCharType="begin"/>
            </w:r>
            <w:r>
              <w:rPr>
                <w:rFonts w:hint="default" w:ascii="Times New Roman" w:hAnsi="Times New Roman" w:cs="Times New Roman"/>
                <w:snapToGrid w:val="0"/>
                <w:color w:val="auto"/>
                <w:spacing w:val="-6"/>
                <w:kern w:val="21"/>
                <w:sz w:val="21"/>
                <w:szCs w:val="21"/>
                <w:highlight w:val="none"/>
              </w:rPr>
              <w:instrText xml:space="preserve"> = 2 \* GB3 \* MERGEFORMAT </w:instrText>
            </w:r>
            <w:r>
              <w:rPr>
                <w:rFonts w:hint="default" w:ascii="Times New Roman" w:hAnsi="Times New Roman" w:cs="Times New Roman"/>
                <w:snapToGrid w:val="0"/>
                <w:color w:val="auto"/>
                <w:spacing w:val="-6"/>
                <w:kern w:val="21"/>
                <w:sz w:val="21"/>
                <w:szCs w:val="21"/>
                <w:highlight w:val="none"/>
              </w:rPr>
              <w:fldChar w:fldCharType="separate"/>
            </w:r>
            <w:r>
              <w:rPr>
                <w:rFonts w:hint="default" w:ascii="Times New Roman" w:hAnsi="Times New Roman" w:cs="Times New Roman"/>
                <w:snapToGrid w:val="0"/>
                <w:color w:val="auto"/>
                <w:spacing w:val="-6"/>
                <w:kern w:val="21"/>
                <w:sz w:val="21"/>
                <w:szCs w:val="21"/>
                <w:highlight w:val="none"/>
              </w:rPr>
              <w:t>②</w:t>
            </w:r>
            <w:r>
              <w:rPr>
                <w:rFonts w:hint="default" w:ascii="Times New Roman" w:hAnsi="Times New Roman" w:cs="Times New Roman"/>
                <w:snapToGrid w:val="0"/>
                <w:color w:val="auto"/>
                <w:spacing w:val="-6"/>
                <w:kern w:val="21"/>
                <w:sz w:val="21"/>
                <w:szCs w:val="21"/>
                <w:highlight w:val="none"/>
              </w:rPr>
              <w:fldChar w:fldCharType="end"/>
            </w:r>
          </w:p>
        </w:tc>
        <w:tc>
          <w:tcPr>
            <w:tcW w:w="1662" w:type="dxa"/>
            <w:tcBorders>
              <w:tl2br w:val="nil"/>
              <w:tr2bl w:val="nil"/>
            </w:tcBorders>
            <w:noWrap w:val="0"/>
            <w:tcMar>
              <w:left w:w="28" w:type="dxa"/>
              <w:right w:w="28" w:type="dxa"/>
            </w:tcMar>
            <w:vAlign w:val="center"/>
          </w:tcPr>
          <w:p w14:paraId="099AD725">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在建工程</w:t>
            </w:r>
          </w:p>
          <w:p w14:paraId="553D2F21">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排放量（固体废物产生量）</w:t>
            </w:r>
            <w:r>
              <w:rPr>
                <w:rFonts w:hint="default" w:ascii="Times New Roman" w:hAnsi="Times New Roman" w:cs="Times New Roman"/>
                <w:snapToGrid w:val="0"/>
                <w:color w:val="auto"/>
                <w:spacing w:val="-6"/>
                <w:kern w:val="21"/>
                <w:sz w:val="21"/>
                <w:szCs w:val="21"/>
                <w:highlight w:val="none"/>
              </w:rPr>
              <w:fldChar w:fldCharType="begin"/>
            </w:r>
            <w:r>
              <w:rPr>
                <w:rFonts w:hint="default" w:ascii="Times New Roman" w:hAnsi="Times New Roman" w:cs="Times New Roman"/>
                <w:snapToGrid w:val="0"/>
                <w:color w:val="auto"/>
                <w:spacing w:val="-6"/>
                <w:kern w:val="21"/>
                <w:sz w:val="21"/>
                <w:szCs w:val="21"/>
                <w:highlight w:val="none"/>
              </w:rPr>
              <w:instrText xml:space="preserve"> = 3 \* GB3 \* MERGEFORMAT </w:instrText>
            </w:r>
            <w:r>
              <w:rPr>
                <w:rFonts w:hint="default" w:ascii="Times New Roman" w:hAnsi="Times New Roman" w:cs="Times New Roman"/>
                <w:snapToGrid w:val="0"/>
                <w:color w:val="auto"/>
                <w:spacing w:val="-6"/>
                <w:kern w:val="21"/>
                <w:sz w:val="21"/>
                <w:szCs w:val="21"/>
                <w:highlight w:val="none"/>
              </w:rPr>
              <w:fldChar w:fldCharType="separate"/>
            </w:r>
            <w:r>
              <w:rPr>
                <w:rFonts w:hint="default" w:ascii="Times New Roman" w:hAnsi="Times New Roman" w:cs="Times New Roman"/>
                <w:color w:val="auto"/>
                <w:kern w:val="2"/>
                <w:sz w:val="21"/>
                <w:szCs w:val="21"/>
                <w:highlight w:val="none"/>
              </w:rPr>
              <w:t>③</w:t>
            </w:r>
            <w:r>
              <w:rPr>
                <w:rFonts w:hint="default" w:ascii="Times New Roman" w:hAnsi="Times New Roman" w:cs="Times New Roman"/>
                <w:snapToGrid w:val="0"/>
                <w:color w:val="auto"/>
                <w:spacing w:val="-6"/>
                <w:kern w:val="21"/>
                <w:sz w:val="21"/>
                <w:szCs w:val="21"/>
                <w:highlight w:val="none"/>
              </w:rPr>
              <w:fldChar w:fldCharType="end"/>
            </w:r>
          </w:p>
        </w:tc>
        <w:tc>
          <w:tcPr>
            <w:tcW w:w="1525" w:type="dxa"/>
            <w:tcBorders>
              <w:tl2br w:val="nil"/>
              <w:tr2bl w:val="nil"/>
            </w:tcBorders>
            <w:noWrap w:val="0"/>
            <w:tcMar>
              <w:left w:w="28" w:type="dxa"/>
              <w:right w:w="28" w:type="dxa"/>
            </w:tcMar>
            <w:vAlign w:val="center"/>
          </w:tcPr>
          <w:p w14:paraId="35FEC056">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本项目</w:t>
            </w:r>
          </w:p>
          <w:p w14:paraId="3672379E">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排放量（固体废物产生量）</w:t>
            </w:r>
            <w:r>
              <w:rPr>
                <w:rFonts w:hint="default" w:ascii="Times New Roman" w:hAnsi="Times New Roman" w:cs="Times New Roman"/>
                <w:snapToGrid w:val="0"/>
                <w:color w:val="auto"/>
                <w:spacing w:val="-6"/>
                <w:kern w:val="21"/>
                <w:sz w:val="21"/>
                <w:szCs w:val="21"/>
                <w:highlight w:val="none"/>
              </w:rPr>
              <w:fldChar w:fldCharType="begin"/>
            </w:r>
            <w:r>
              <w:rPr>
                <w:rFonts w:hint="default" w:ascii="Times New Roman" w:hAnsi="Times New Roman" w:cs="Times New Roman"/>
                <w:snapToGrid w:val="0"/>
                <w:color w:val="auto"/>
                <w:spacing w:val="-6"/>
                <w:kern w:val="21"/>
                <w:sz w:val="21"/>
                <w:szCs w:val="21"/>
                <w:highlight w:val="none"/>
              </w:rPr>
              <w:instrText xml:space="preserve"> = 4 \* GB3 \* MERGEFORMAT </w:instrText>
            </w:r>
            <w:r>
              <w:rPr>
                <w:rFonts w:hint="default" w:ascii="Times New Roman" w:hAnsi="Times New Roman" w:cs="Times New Roman"/>
                <w:snapToGrid w:val="0"/>
                <w:color w:val="auto"/>
                <w:spacing w:val="-6"/>
                <w:kern w:val="21"/>
                <w:sz w:val="21"/>
                <w:szCs w:val="21"/>
                <w:highlight w:val="none"/>
              </w:rPr>
              <w:fldChar w:fldCharType="separate"/>
            </w:r>
            <w:r>
              <w:rPr>
                <w:rFonts w:hint="default" w:ascii="Times New Roman" w:hAnsi="Times New Roman" w:cs="Times New Roman"/>
                <w:color w:val="auto"/>
                <w:kern w:val="2"/>
                <w:sz w:val="21"/>
                <w:szCs w:val="21"/>
                <w:highlight w:val="none"/>
              </w:rPr>
              <w:t>④</w:t>
            </w:r>
            <w:r>
              <w:rPr>
                <w:rFonts w:hint="default" w:ascii="Times New Roman" w:hAnsi="Times New Roman" w:cs="Times New Roman"/>
                <w:snapToGrid w:val="0"/>
                <w:color w:val="auto"/>
                <w:spacing w:val="-6"/>
                <w:kern w:val="21"/>
                <w:sz w:val="21"/>
                <w:szCs w:val="21"/>
                <w:highlight w:val="none"/>
              </w:rPr>
              <w:fldChar w:fldCharType="end"/>
            </w:r>
          </w:p>
        </w:tc>
        <w:tc>
          <w:tcPr>
            <w:tcW w:w="1586" w:type="dxa"/>
            <w:tcBorders>
              <w:tl2br w:val="nil"/>
              <w:tr2bl w:val="nil"/>
            </w:tcBorders>
            <w:noWrap w:val="0"/>
            <w:tcMar>
              <w:left w:w="28" w:type="dxa"/>
              <w:right w:w="28" w:type="dxa"/>
            </w:tcMar>
            <w:vAlign w:val="center"/>
          </w:tcPr>
          <w:p w14:paraId="6A691DAC">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 w:val="21"/>
                <w:szCs w:val="21"/>
                <w:highlight w:val="none"/>
              </w:rPr>
            </w:pPr>
            <w:r>
              <w:rPr>
                <w:rFonts w:hint="default" w:ascii="Times New Roman" w:hAnsi="Times New Roman" w:cs="Times New Roman"/>
                <w:snapToGrid w:val="0"/>
                <w:color w:val="auto"/>
                <w:spacing w:val="-16"/>
                <w:kern w:val="21"/>
                <w:sz w:val="21"/>
                <w:szCs w:val="21"/>
                <w:highlight w:val="none"/>
              </w:rPr>
              <w:t>以新带老削减量</w:t>
            </w:r>
          </w:p>
          <w:p w14:paraId="6F37D997">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 w:val="21"/>
                <w:szCs w:val="21"/>
                <w:highlight w:val="none"/>
              </w:rPr>
            </w:pPr>
            <w:r>
              <w:rPr>
                <w:rFonts w:hint="default" w:ascii="Times New Roman" w:hAnsi="Times New Roman" w:cs="Times New Roman"/>
                <w:snapToGrid w:val="0"/>
                <w:color w:val="auto"/>
                <w:spacing w:val="-16"/>
                <w:kern w:val="21"/>
                <w:sz w:val="21"/>
                <w:szCs w:val="21"/>
                <w:highlight w:val="none"/>
              </w:rPr>
              <w:t>（新建项目不填）</w:t>
            </w:r>
            <w:r>
              <w:rPr>
                <w:rFonts w:hint="default" w:ascii="Times New Roman" w:hAnsi="Times New Roman" w:cs="Times New Roman"/>
                <w:snapToGrid w:val="0"/>
                <w:color w:val="auto"/>
                <w:spacing w:val="-16"/>
                <w:kern w:val="21"/>
                <w:sz w:val="21"/>
                <w:szCs w:val="21"/>
                <w:highlight w:val="none"/>
              </w:rPr>
              <w:fldChar w:fldCharType="begin"/>
            </w:r>
            <w:r>
              <w:rPr>
                <w:rFonts w:hint="default" w:ascii="Times New Roman" w:hAnsi="Times New Roman" w:cs="Times New Roman"/>
                <w:snapToGrid w:val="0"/>
                <w:color w:val="auto"/>
                <w:spacing w:val="-16"/>
                <w:kern w:val="21"/>
                <w:sz w:val="21"/>
                <w:szCs w:val="21"/>
                <w:highlight w:val="none"/>
              </w:rPr>
              <w:instrText xml:space="preserve"> = 5 \* GB3 \* MERGEFORMAT </w:instrText>
            </w:r>
            <w:r>
              <w:rPr>
                <w:rFonts w:hint="default" w:ascii="Times New Roman" w:hAnsi="Times New Roman" w:cs="Times New Roman"/>
                <w:snapToGrid w:val="0"/>
                <w:color w:val="auto"/>
                <w:spacing w:val="-16"/>
                <w:kern w:val="21"/>
                <w:sz w:val="21"/>
                <w:szCs w:val="21"/>
                <w:highlight w:val="none"/>
              </w:rPr>
              <w:fldChar w:fldCharType="separate"/>
            </w:r>
            <w:r>
              <w:rPr>
                <w:rFonts w:hint="default" w:ascii="Times New Roman" w:hAnsi="Times New Roman" w:cs="Times New Roman"/>
                <w:color w:val="auto"/>
                <w:kern w:val="2"/>
                <w:sz w:val="21"/>
                <w:szCs w:val="21"/>
                <w:highlight w:val="none"/>
              </w:rPr>
              <w:t>⑤</w:t>
            </w:r>
            <w:r>
              <w:rPr>
                <w:rFonts w:hint="default" w:ascii="Times New Roman" w:hAnsi="Times New Roman" w:cs="Times New Roman"/>
                <w:snapToGrid w:val="0"/>
                <w:color w:val="auto"/>
                <w:spacing w:val="-16"/>
                <w:kern w:val="21"/>
                <w:sz w:val="21"/>
                <w:szCs w:val="21"/>
                <w:highlight w:val="none"/>
              </w:rPr>
              <w:fldChar w:fldCharType="end"/>
            </w:r>
          </w:p>
        </w:tc>
        <w:tc>
          <w:tcPr>
            <w:tcW w:w="1603" w:type="dxa"/>
            <w:tcBorders>
              <w:tl2br w:val="nil"/>
              <w:tr2bl w:val="nil"/>
            </w:tcBorders>
            <w:noWrap w:val="0"/>
            <w:tcMar>
              <w:left w:w="28" w:type="dxa"/>
              <w:right w:w="28" w:type="dxa"/>
            </w:tcMar>
            <w:vAlign w:val="center"/>
          </w:tcPr>
          <w:p w14:paraId="0E68A5A6">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 w:val="21"/>
                <w:szCs w:val="21"/>
                <w:highlight w:val="none"/>
              </w:rPr>
            </w:pPr>
            <w:r>
              <w:rPr>
                <w:rFonts w:hint="default" w:ascii="Times New Roman" w:hAnsi="Times New Roman" w:cs="Times New Roman"/>
                <w:snapToGrid w:val="0"/>
                <w:color w:val="auto"/>
                <w:spacing w:val="-16"/>
                <w:kern w:val="21"/>
                <w:sz w:val="21"/>
                <w:szCs w:val="21"/>
                <w:highlight w:val="none"/>
              </w:rPr>
              <w:t>本项目建成后</w:t>
            </w:r>
          </w:p>
          <w:p w14:paraId="40AF5382">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 w:val="21"/>
                <w:szCs w:val="21"/>
                <w:highlight w:val="none"/>
              </w:rPr>
            </w:pPr>
            <w:r>
              <w:rPr>
                <w:rFonts w:hint="default" w:ascii="Times New Roman" w:hAnsi="Times New Roman" w:cs="Times New Roman"/>
                <w:snapToGrid w:val="0"/>
                <w:color w:val="auto"/>
                <w:spacing w:val="-16"/>
                <w:kern w:val="21"/>
                <w:sz w:val="21"/>
                <w:szCs w:val="21"/>
                <w:highlight w:val="none"/>
              </w:rPr>
              <w:t>全厂排放量（固体废物产生量）</w:t>
            </w:r>
            <w:r>
              <w:rPr>
                <w:rFonts w:hint="default" w:ascii="Times New Roman" w:hAnsi="Times New Roman" w:cs="Times New Roman"/>
                <w:snapToGrid w:val="0"/>
                <w:color w:val="auto"/>
                <w:spacing w:val="-16"/>
                <w:kern w:val="21"/>
                <w:sz w:val="21"/>
                <w:szCs w:val="21"/>
                <w:highlight w:val="none"/>
              </w:rPr>
              <w:fldChar w:fldCharType="begin"/>
            </w:r>
            <w:r>
              <w:rPr>
                <w:rFonts w:hint="default" w:ascii="Times New Roman" w:hAnsi="Times New Roman" w:cs="Times New Roman"/>
                <w:snapToGrid w:val="0"/>
                <w:color w:val="auto"/>
                <w:spacing w:val="-16"/>
                <w:kern w:val="21"/>
                <w:sz w:val="21"/>
                <w:szCs w:val="21"/>
                <w:highlight w:val="none"/>
              </w:rPr>
              <w:instrText xml:space="preserve"> = 6 \* GB3 \* MERGEFORMAT </w:instrText>
            </w:r>
            <w:r>
              <w:rPr>
                <w:rFonts w:hint="default" w:ascii="Times New Roman" w:hAnsi="Times New Roman" w:cs="Times New Roman"/>
                <w:snapToGrid w:val="0"/>
                <w:color w:val="auto"/>
                <w:spacing w:val="-16"/>
                <w:kern w:val="21"/>
                <w:sz w:val="21"/>
                <w:szCs w:val="21"/>
                <w:highlight w:val="none"/>
              </w:rPr>
              <w:fldChar w:fldCharType="separate"/>
            </w:r>
            <w:r>
              <w:rPr>
                <w:rFonts w:hint="default" w:ascii="Times New Roman" w:hAnsi="Times New Roman" w:cs="Times New Roman"/>
                <w:color w:val="auto"/>
                <w:kern w:val="2"/>
                <w:sz w:val="21"/>
                <w:szCs w:val="21"/>
                <w:highlight w:val="none"/>
              </w:rPr>
              <w:t>⑥</w:t>
            </w:r>
            <w:r>
              <w:rPr>
                <w:rFonts w:hint="default" w:ascii="Times New Roman" w:hAnsi="Times New Roman" w:cs="Times New Roman"/>
                <w:snapToGrid w:val="0"/>
                <w:color w:val="auto"/>
                <w:spacing w:val="-16"/>
                <w:kern w:val="21"/>
                <w:sz w:val="21"/>
                <w:szCs w:val="21"/>
                <w:highlight w:val="none"/>
              </w:rPr>
              <w:fldChar w:fldCharType="end"/>
            </w:r>
          </w:p>
        </w:tc>
        <w:tc>
          <w:tcPr>
            <w:tcW w:w="1261" w:type="dxa"/>
            <w:tcBorders>
              <w:tl2br w:val="nil"/>
              <w:tr2bl w:val="nil"/>
            </w:tcBorders>
            <w:noWrap w:val="0"/>
            <w:tcMar>
              <w:left w:w="28" w:type="dxa"/>
              <w:right w:w="28" w:type="dxa"/>
            </w:tcMar>
            <w:vAlign w:val="center"/>
          </w:tcPr>
          <w:p w14:paraId="06D4ED95">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t>变化量</w:t>
            </w:r>
          </w:p>
          <w:p w14:paraId="5EC95BAD">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 w:val="21"/>
                <w:szCs w:val="21"/>
                <w:highlight w:val="none"/>
              </w:rPr>
            </w:pPr>
            <w:r>
              <w:rPr>
                <w:rFonts w:hint="default" w:ascii="Times New Roman" w:hAnsi="Times New Roman" w:cs="Times New Roman"/>
                <w:snapToGrid w:val="0"/>
                <w:color w:val="auto"/>
                <w:spacing w:val="-6"/>
                <w:kern w:val="21"/>
                <w:sz w:val="21"/>
                <w:szCs w:val="21"/>
                <w:highlight w:val="none"/>
              </w:rPr>
              <w:fldChar w:fldCharType="begin"/>
            </w:r>
            <w:r>
              <w:rPr>
                <w:rFonts w:hint="default" w:ascii="Times New Roman" w:hAnsi="Times New Roman" w:cs="Times New Roman"/>
                <w:snapToGrid w:val="0"/>
                <w:color w:val="auto"/>
                <w:spacing w:val="-6"/>
                <w:kern w:val="21"/>
                <w:sz w:val="21"/>
                <w:szCs w:val="21"/>
                <w:highlight w:val="none"/>
              </w:rPr>
              <w:instrText xml:space="preserve"> = 7 \* GB3 \* MERGEFORMAT </w:instrText>
            </w:r>
            <w:r>
              <w:rPr>
                <w:rFonts w:hint="default" w:ascii="Times New Roman" w:hAnsi="Times New Roman" w:cs="Times New Roman"/>
                <w:snapToGrid w:val="0"/>
                <w:color w:val="auto"/>
                <w:spacing w:val="-6"/>
                <w:kern w:val="21"/>
                <w:sz w:val="21"/>
                <w:szCs w:val="21"/>
                <w:highlight w:val="none"/>
              </w:rPr>
              <w:fldChar w:fldCharType="separate"/>
            </w:r>
            <w:r>
              <w:rPr>
                <w:rFonts w:hint="default" w:ascii="Times New Roman" w:hAnsi="Times New Roman" w:cs="Times New Roman"/>
                <w:color w:val="auto"/>
                <w:kern w:val="2"/>
                <w:sz w:val="21"/>
                <w:szCs w:val="21"/>
                <w:highlight w:val="none"/>
              </w:rPr>
              <w:t>⑦</w:t>
            </w:r>
            <w:r>
              <w:rPr>
                <w:rFonts w:hint="default" w:ascii="Times New Roman" w:hAnsi="Times New Roman" w:cs="Times New Roman"/>
                <w:snapToGrid w:val="0"/>
                <w:color w:val="auto"/>
                <w:spacing w:val="-6"/>
                <w:kern w:val="21"/>
                <w:sz w:val="21"/>
                <w:szCs w:val="21"/>
                <w:highlight w:val="none"/>
              </w:rPr>
              <w:fldChar w:fldCharType="end"/>
            </w:r>
          </w:p>
        </w:tc>
      </w:tr>
      <w:tr w14:paraId="52B44D5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restart"/>
            <w:tcBorders>
              <w:tl2br w:val="nil"/>
              <w:tr2bl w:val="nil"/>
            </w:tcBorders>
            <w:noWrap w:val="0"/>
            <w:vAlign w:val="center"/>
          </w:tcPr>
          <w:p w14:paraId="082D41A3">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废气</w:t>
            </w:r>
          </w:p>
        </w:tc>
        <w:tc>
          <w:tcPr>
            <w:tcW w:w="1607" w:type="dxa"/>
            <w:tcBorders>
              <w:tl2br w:val="nil"/>
              <w:tr2bl w:val="nil"/>
            </w:tcBorders>
            <w:noWrap w:val="0"/>
            <w:vAlign w:val="center"/>
          </w:tcPr>
          <w:p w14:paraId="6CC8F0DE">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1734" w:type="dxa"/>
            <w:tcBorders>
              <w:tl2br w:val="nil"/>
              <w:tr2bl w:val="nil"/>
            </w:tcBorders>
            <w:noWrap w:val="0"/>
            <w:vAlign w:val="center"/>
          </w:tcPr>
          <w:p w14:paraId="1FE1CE2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44D6532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730943B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5AF97F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0.474</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12E0D8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27C4EF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0.474</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768924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+0.474</w:t>
            </w:r>
            <w:r>
              <w:rPr>
                <w:rFonts w:hint="default" w:ascii="Times New Roman" w:hAnsi="Times New Roman" w:eastAsia="宋体" w:cs="Times New Roman"/>
                <w:color w:val="auto"/>
                <w:sz w:val="21"/>
                <w:szCs w:val="21"/>
                <w:highlight w:val="none"/>
                <w:lang w:val="en-US" w:eastAsia="zh-CN"/>
              </w:rPr>
              <w:t>t/a</w:t>
            </w:r>
          </w:p>
        </w:tc>
      </w:tr>
      <w:tr w14:paraId="591510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311C8F65">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l2br w:val="nil"/>
              <w:tr2bl w:val="nil"/>
            </w:tcBorders>
            <w:noWrap w:val="0"/>
            <w:vAlign w:val="center"/>
          </w:tcPr>
          <w:p w14:paraId="3675407C">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二氧化硫</w:t>
            </w:r>
          </w:p>
        </w:tc>
        <w:tc>
          <w:tcPr>
            <w:tcW w:w="1734" w:type="dxa"/>
            <w:tcBorders>
              <w:tl2br w:val="nil"/>
              <w:tr2bl w:val="nil"/>
            </w:tcBorders>
            <w:noWrap w:val="0"/>
            <w:vAlign w:val="center"/>
          </w:tcPr>
          <w:p w14:paraId="5879BC2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28247B5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0D40BE0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50A94C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0.136</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08A9DC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5C642C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0.136</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2F6C20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+0.136</w:t>
            </w:r>
            <w:r>
              <w:rPr>
                <w:rFonts w:hint="default" w:ascii="Times New Roman" w:hAnsi="Times New Roman" w:eastAsia="宋体" w:cs="Times New Roman"/>
                <w:color w:val="auto"/>
                <w:sz w:val="21"/>
                <w:szCs w:val="21"/>
                <w:highlight w:val="none"/>
                <w:lang w:val="en-US" w:eastAsia="zh-CN"/>
              </w:rPr>
              <w:t>t/a</w:t>
            </w:r>
          </w:p>
        </w:tc>
      </w:tr>
      <w:tr w14:paraId="3A7CE0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4A6D4DD4">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l2br w:val="nil"/>
              <w:tr2bl w:val="nil"/>
            </w:tcBorders>
            <w:noWrap w:val="0"/>
            <w:vAlign w:val="center"/>
          </w:tcPr>
          <w:p w14:paraId="74484899">
            <w:pPr>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氮氧化物</w:t>
            </w:r>
          </w:p>
        </w:tc>
        <w:tc>
          <w:tcPr>
            <w:tcW w:w="1734" w:type="dxa"/>
            <w:tcBorders>
              <w:tl2br w:val="nil"/>
              <w:tr2bl w:val="nil"/>
            </w:tcBorders>
            <w:noWrap w:val="0"/>
            <w:vAlign w:val="center"/>
          </w:tcPr>
          <w:p w14:paraId="11E6C74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14381D8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2727A9D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5CCA8C8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0.513</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73F608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5905C9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0.513</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51122D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+0.513</w:t>
            </w:r>
            <w:r>
              <w:rPr>
                <w:rFonts w:hint="default" w:ascii="Times New Roman" w:hAnsi="Times New Roman" w:eastAsia="宋体" w:cs="Times New Roman"/>
                <w:color w:val="auto"/>
                <w:sz w:val="21"/>
                <w:szCs w:val="21"/>
                <w:highlight w:val="none"/>
                <w:lang w:val="en-US" w:eastAsia="zh-CN"/>
              </w:rPr>
              <w:t>t/a</w:t>
            </w:r>
          </w:p>
        </w:tc>
      </w:tr>
      <w:tr w14:paraId="7BF8AA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75110DCE">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l2br w:val="nil"/>
              <w:tr2bl w:val="nil"/>
            </w:tcBorders>
            <w:noWrap w:val="0"/>
            <w:vAlign w:val="center"/>
          </w:tcPr>
          <w:p w14:paraId="72A862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lang w:val="en-US" w:eastAsia="zh-CN"/>
              </w:rPr>
              <w:t>氯化氢</w:t>
            </w:r>
          </w:p>
        </w:tc>
        <w:tc>
          <w:tcPr>
            <w:tcW w:w="1734" w:type="dxa"/>
            <w:tcBorders>
              <w:tl2br w:val="nil"/>
              <w:tr2bl w:val="nil"/>
            </w:tcBorders>
            <w:noWrap w:val="0"/>
            <w:vAlign w:val="center"/>
          </w:tcPr>
          <w:p w14:paraId="537E571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313D8F0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0FF1303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3756DA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0.167</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788771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1E27EF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0.167</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4BDC5C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+0.167</w:t>
            </w:r>
            <w:r>
              <w:rPr>
                <w:rFonts w:hint="default" w:ascii="Times New Roman" w:hAnsi="Times New Roman" w:eastAsia="宋体" w:cs="Times New Roman"/>
                <w:color w:val="auto"/>
                <w:sz w:val="21"/>
                <w:szCs w:val="21"/>
                <w:highlight w:val="none"/>
                <w:lang w:val="en-US" w:eastAsia="zh-CN"/>
              </w:rPr>
              <w:t>t/a</w:t>
            </w:r>
          </w:p>
        </w:tc>
      </w:tr>
      <w:tr w14:paraId="641E18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3B697635">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l2br w:val="nil"/>
              <w:tr2bl w:val="nil"/>
            </w:tcBorders>
            <w:noWrap w:val="0"/>
            <w:vAlign w:val="center"/>
          </w:tcPr>
          <w:p w14:paraId="045E18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氨</w:t>
            </w:r>
          </w:p>
        </w:tc>
        <w:tc>
          <w:tcPr>
            <w:tcW w:w="1734" w:type="dxa"/>
            <w:tcBorders>
              <w:tl2br w:val="nil"/>
              <w:tr2bl w:val="nil"/>
            </w:tcBorders>
            <w:noWrap w:val="0"/>
            <w:vAlign w:val="center"/>
          </w:tcPr>
          <w:p w14:paraId="5542C64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5F3F0EA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5DBFDBC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149F4D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26E9D38A">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5B8868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172F3E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w:t>
            </w:r>
            <w:r>
              <w:rPr>
                <w:rFonts w:hint="default" w:ascii="Times New Roman" w:hAnsi="Times New Roman" w:eastAsia="宋体" w:cs="Times New Roman"/>
                <w:color w:val="auto"/>
                <w:sz w:val="21"/>
                <w:szCs w:val="21"/>
                <w:highlight w:val="none"/>
                <w:lang w:val="en-US" w:eastAsia="zh-CN"/>
              </w:rPr>
              <w:t>t/a</w:t>
            </w:r>
          </w:p>
        </w:tc>
      </w:tr>
      <w:tr w14:paraId="4C1D2E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restart"/>
            <w:tcBorders>
              <w:tl2br w:val="nil"/>
              <w:tr2bl w:val="nil"/>
            </w:tcBorders>
            <w:noWrap w:val="0"/>
            <w:vAlign w:val="center"/>
          </w:tcPr>
          <w:p w14:paraId="429D0C60">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废水</w:t>
            </w:r>
          </w:p>
        </w:tc>
        <w:tc>
          <w:tcPr>
            <w:tcW w:w="1607" w:type="dxa"/>
            <w:tcBorders>
              <w:tl2br w:val="nil"/>
              <w:tr2bl w:val="nil"/>
            </w:tcBorders>
            <w:noWrap w:val="0"/>
            <w:vAlign w:val="center"/>
          </w:tcPr>
          <w:p w14:paraId="37C752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w:t>
            </w:r>
          </w:p>
        </w:tc>
        <w:tc>
          <w:tcPr>
            <w:tcW w:w="1734" w:type="dxa"/>
            <w:tcBorders>
              <w:tl2br w:val="nil"/>
              <w:tr2bl w:val="nil"/>
            </w:tcBorders>
            <w:noWrap w:val="0"/>
            <w:vAlign w:val="center"/>
          </w:tcPr>
          <w:p w14:paraId="22DABC8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32076D3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4FC1012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5109A69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016332E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3CF5CFA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7D93984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r>
      <w:tr w14:paraId="34F4FA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44CF32B9">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l2br w:val="nil"/>
              <w:tr2bl w:val="nil"/>
            </w:tcBorders>
            <w:noWrap w:val="0"/>
            <w:vAlign w:val="center"/>
          </w:tcPr>
          <w:p w14:paraId="6F8232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氨氮</w:t>
            </w:r>
          </w:p>
        </w:tc>
        <w:tc>
          <w:tcPr>
            <w:tcW w:w="1734" w:type="dxa"/>
            <w:tcBorders>
              <w:tl2br w:val="nil"/>
              <w:tr2bl w:val="nil"/>
            </w:tcBorders>
            <w:noWrap w:val="0"/>
            <w:vAlign w:val="center"/>
          </w:tcPr>
          <w:p w14:paraId="7A9C593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532A291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18ADC90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0F752A7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3368A54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5EBD311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3B9569D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highlight w:val="none"/>
                <w:lang w:val="en-US" w:eastAsia="zh-CN"/>
              </w:rPr>
              <w:t>t/a</w:t>
            </w:r>
          </w:p>
        </w:tc>
      </w:tr>
      <w:tr w14:paraId="6321EB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restart"/>
            <w:tcBorders>
              <w:tl2br w:val="nil"/>
              <w:tr2bl w:val="nil"/>
            </w:tcBorders>
            <w:noWrap w:val="0"/>
            <w:vAlign w:val="center"/>
          </w:tcPr>
          <w:p w14:paraId="50B7B4AC">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一般工业</w:t>
            </w:r>
          </w:p>
          <w:p w14:paraId="4AE07B4D">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rPr>
              <w:t>固体废物</w:t>
            </w:r>
          </w:p>
        </w:tc>
        <w:tc>
          <w:tcPr>
            <w:tcW w:w="1607" w:type="dxa"/>
            <w:tcBorders>
              <w:tl2br w:val="nil"/>
              <w:tr2bl w:val="nil"/>
            </w:tcBorders>
            <w:noWrap w:val="0"/>
            <w:vAlign w:val="center"/>
          </w:tcPr>
          <w:p w14:paraId="0E48F3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生活垃圾</w:t>
            </w:r>
          </w:p>
        </w:tc>
        <w:tc>
          <w:tcPr>
            <w:tcW w:w="1734" w:type="dxa"/>
            <w:tcBorders>
              <w:tl2br w:val="nil"/>
              <w:tr2bl w:val="nil"/>
            </w:tcBorders>
            <w:noWrap w:val="0"/>
            <w:vAlign w:val="center"/>
          </w:tcPr>
          <w:p w14:paraId="5BC80F7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0DDC4B0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7AA5683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1A8B7F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45435FF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300D6C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72F9F5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t/a</w:t>
            </w:r>
          </w:p>
        </w:tc>
      </w:tr>
      <w:tr w14:paraId="79846E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6E5C625A">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lang w:val="en-US" w:eastAsia="zh-CN" w:bidi="ar-SA"/>
              </w:rPr>
            </w:pPr>
          </w:p>
        </w:tc>
        <w:tc>
          <w:tcPr>
            <w:tcW w:w="1607" w:type="dxa"/>
            <w:tcBorders>
              <w:bottom w:val="single" w:color="auto" w:sz="4" w:space="0"/>
              <w:tl2br w:val="nil"/>
              <w:tr2bl w:val="nil"/>
            </w:tcBorders>
            <w:noWrap w:val="0"/>
            <w:vAlign w:val="center"/>
          </w:tcPr>
          <w:p w14:paraId="3C889B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布袋除尘器收集粉尘</w:t>
            </w:r>
          </w:p>
        </w:tc>
        <w:tc>
          <w:tcPr>
            <w:tcW w:w="1734" w:type="dxa"/>
            <w:tcBorders>
              <w:bottom w:val="single" w:color="auto" w:sz="4" w:space="0"/>
              <w:tl2br w:val="nil"/>
              <w:tr2bl w:val="nil"/>
            </w:tcBorders>
            <w:noWrap w:val="0"/>
            <w:vAlign w:val="center"/>
          </w:tcPr>
          <w:p w14:paraId="2891580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bottom w:val="single" w:color="auto" w:sz="4" w:space="0"/>
              <w:tl2br w:val="nil"/>
              <w:tr2bl w:val="nil"/>
            </w:tcBorders>
            <w:noWrap w:val="0"/>
            <w:vAlign w:val="center"/>
          </w:tcPr>
          <w:p w14:paraId="3E66AF0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bottom w:val="single" w:color="auto" w:sz="4" w:space="0"/>
              <w:tl2br w:val="nil"/>
              <w:tr2bl w:val="nil"/>
            </w:tcBorders>
            <w:noWrap w:val="0"/>
            <w:vAlign w:val="center"/>
          </w:tcPr>
          <w:p w14:paraId="416C228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bottom w:val="single" w:color="auto" w:sz="4" w:space="0"/>
              <w:tl2br w:val="nil"/>
              <w:tr2bl w:val="nil"/>
            </w:tcBorders>
            <w:noWrap w:val="0"/>
            <w:vAlign w:val="center"/>
          </w:tcPr>
          <w:p w14:paraId="3C5DD5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2.04</w:t>
            </w:r>
            <w:r>
              <w:rPr>
                <w:rFonts w:hint="default" w:ascii="Times New Roman" w:hAnsi="Times New Roman" w:eastAsia="宋体" w:cs="Times New Roman"/>
                <w:color w:val="auto"/>
                <w:sz w:val="21"/>
                <w:szCs w:val="21"/>
                <w:highlight w:val="none"/>
                <w:lang w:val="en-US" w:eastAsia="zh-CN"/>
              </w:rPr>
              <w:t>t/a</w:t>
            </w:r>
          </w:p>
        </w:tc>
        <w:tc>
          <w:tcPr>
            <w:tcW w:w="1586" w:type="dxa"/>
            <w:tcBorders>
              <w:bottom w:val="single" w:color="auto" w:sz="4" w:space="0"/>
              <w:tl2br w:val="nil"/>
              <w:tr2bl w:val="nil"/>
            </w:tcBorders>
            <w:noWrap w:val="0"/>
            <w:vAlign w:val="center"/>
          </w:tcPr>
          <w:p w14:paraId="6F3E95A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bottom w:val="single" w:color="auto" w:sz="4" w:space="0"/>
              <w:tl2br w:val="nil"/>
              <w:tr2bl w:val="nil"/>
            </w:tcBorders>
            <w:noWrap w:val="0"/>
            <w:vAlign w:val="center"/>
          </w:tcPr>
          <w:p w14:paraId="528C31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2.04</w:t>
            </w:r>
            <w:r>
              <w:rPr>
                <w:rFonts w:hint="default" w:ascii="Times New Roman" w:hAnsi="Times New Roman" w:eastAsia="宋体" w:cs="Times New Roman"/>
                <w:color w:val="auto"/>
                <w:sz w:val="21"/>
                <w:szCs w:val="21"/>
                <w:highlight w:val="none"/>
                <w:lang w:val="en-US" w:eastAsia="zh-CN"/>
              </w:rPr>
              <w:t>t/a</w:t>
            </w:r>
          </w:p>
        </w:tc>
        <w:tc>
          <w:tcPr>
            <w:tcW w:w="1261" w:type="dxa"/>
            <w:tcBorders>
              <w:bottom w:val="single" w:color="auto" w:sz="4" w:space="0"/>
              <w:tl2br w:val="nil"/>
              <w:tr2bl w:val="nil"/>
            </w:tcBorders>
            <w:noWrap w:val="0"/>
            <w:vAlign w:val="center"/>
          </w:tcPr>
          <w:p w14:paraId="045BD4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+2.04</w:t>
            </w:r>
            <w:r>
              <w:rPr>
                <w:rFonts w:hint="default" w:ascii="Times New Roman" w:hAnsi="Times New Roman" w:eastAsia="宋体" w:cs="Times New Roman"/>
                <w:color w:val="auto"/>
                <w:sz w:val="21"/>
                <w:szCs w:val="21"/>
                <w:highlight w:val="none"/>
                <w:lang w:val="en-US" w:eastAsia="zh-CN"/>
              </w:rPr>
              <w:t>t/a</w:t>
            </w:r>
          </w:p>
        </w:tc>
      </w:tr>
      <w:tr w14:paraId="4FE644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44FE2A27">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op w:val="single" w:color="auto" w:sz="4" w:space="0"/>
              <w:bottom w:val="single" w:color="auto" w:sz="4" w:space="0"/>
              <w:tl2br w:val="nil"/>
              <w:tr2bl w:val="nil"/>
            </w:tcBorders>
            <w:noWrap w:val="0"/>
            <w:vAlign w:val="center"/>
          </w:tcPr>
          <w:p w14:paraId="664A9EC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不合格产品</w:t>
            </w:r>
          </w:p>
        </w:tc>
        <w:tc>
          <w:tcPr>
            <w:tcW w:w="1734" w:type="dxa"/>
            <w:tcBorders>
              <w:top w:val="single" w:color="auto" w:sz="4" w:space="0"/>
              <w:bottom w:val="single" w:color="auto" w:sz="4" w:space="0"/>
              <w:tl2br w:val="nil"/>
              <w:tr2bl w:val="nil"/>
            </w:tcBorders>
            <w:noWrap w:val="0"/>
            <w:vAlign w:val="center"/>
          </w:tcPr>
          <w:p w14:paraId="0C65E92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op w:val="single" w:color="auto" w:sz="4" w:space="0"/>
              <w:bottom w:val="single" w:color="auto" w:sz="4" w:space="0"/>
              <w:tl2br w:val="nil"/>
              <w:tr2bl w:val="nil"/>
            </w:tcBorders>
            <w:noWrap w:val="0"/>
            <w:vAlign w:val="center"/>
          </w:tcPr>
          <w:p w14:paraId="52036AA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op w:val="single" w:color="auto" w:sz="4" w:space="0"/>
              <w:bottom w:val="single" w:color="auto" w:sz="4" w:space="0"/>
              <w:tl2br w:val="nil"/>
              <w:tr2bl w:val="nil"/>
            </w:tcBorders>
            <w:noWrap w:val="0"/>
            <w:vAlign w:val="center"/>
          </w:tcPr>
          <w:p w14:paraId="13D3F03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op w:val="single" w:color="auto" w:sz="4" w:space="0"/>
              <w:bottom w:val="single" w:color="auto" w:sz="4" w:space="0"/>
              <w:tl2br w:val="nil"/>
              <w:tr2bl w:val="nil"/>
            </w:tcBorders>
            <w:noWrap w:val="0"/>
            <w:vAlign w:val="center"/>
          </w:tcPr>
          <w:p w14:paraId="6D9178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t/a</w:t>
            </w:r>
          </w:p>
        </w:tc>
        <w:tc>
          <w:tcPr>
            <w:tcW w:w="1586" w:type="dxa"/>
            <w:tcBorders>
              <w:top w:val="single" w:color="auto" w:sz="4" w:space="0"/>
              <w:bottom w:val="single" w:color="auto" w:sz="4" w:space="0"/>
              <w:tl2br w:val="nil"/>
              <w:tr2bl w:val="nil"/>
            </w:tcBorders>
            <w:noWrap w:val="0"/>
            <w:vAlign w:val="center"/>
          </w:tcPr>
          <w:p w14:paraId="3B49B96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op w:val="single" w:color="auto" w:sz="4" w:space="0"/>
              <w:bottom w:val="single" w:color="auto" w:sz="4" w:space="0"/>
              <w:tl2br w:val="nil"/>
              <w:tr2bl w:val="nil"/>
            </w:tcBorders>
            <w:noWrap w:val="0"/>
            <w:vAlign w:val="center"/>
          </w:tcPr>
          <w:p w14:paraId="3B17C2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t/a</w:t>
            </w:r>
          </w:p>
        </w:tc>
        <w:tc>
          <w:tcPr>
            <w:tcW w:w="1261" w:type="dxa"/>
            <w:tcBorders>
              <w:top w:val="single" w:color="auto" w:sz="4" w:space="0"/>
              <w:bottom w:val="single" w:color="auto" w:sz="4" w:space="0"/>
              <w:tl2br w:val="nil"/>
              <w:tr2bl w:val="nil"/>
            </w:tcBorders>
            <w:noWrap w:val="0"/>
            <w:vAlign w:val="center"/>
          </w:tcPr>
          <w:p w14:paraId="46CA36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t/a</w:t>
            </w:r>
          </w:p>
        </w:tc>
      </w:tr>
      <w:tr w14:paraId="2A103BA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0BC21819">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op w:val="single" w:color="auto" w:sz="4" w:space="0"/>
              <w:bottom w:val="single" w:color="auto" w:sz="4" w:space="0"/>
              <w:tl2br w:val="nil"/>
              <w:tr2bl w:val="nil"/>
            </w:tcBorders>
            <w:noWrap w:val="0"/>
            <w:vAlign w:val="center"/>
          </w:tcPr>
          <w:p w14:paraId="555579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废包装袋</w:t>
            </w:r>
          </w:p>
        </w:tc>
        <w:tc>
          <w:tcPr>
            <w:tcW w:w="1734" w:type="dxa"/>
            <w:tcBorders>
              <w:top w:val="single" w:color="auto" w:sz="4" w:space="0"/>
              <w:bottom w:val="single" w:color="auto" w:sz="4" w:space="0"/>
              <w:tl2br w:val="nil"/>
              <w:tr2bl w:val="nil"/>
            </w:tcBorders>
            <w:noWrap w:val="0"/>
            <w:vAlign w:val="center"/>
          </w:tcPr>
          <w:p w14:paraId="4AD2510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op w:val="single" w:color="auto" w:sz="4" w:space="0"/>
              <w:bottom w:val="single" w:color="auto" w:sz="4" w:space="0"/>
              <w:tl2br w:val="nil"/>
              <w:tr2bl w:val="nil"/>
            </w:tcBorders>
            <w:noWrap w:val="0"/>
            <w:vAlign w:val="center"/>
          </w:tcPr>
          <w:p w14:paraId="346E324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op w:val="single" w:color="auto" w:sz="4" w:space="0"/>
              <w:bottom w:val="single" w:color="auto" w:sz="4" w:space="0"/>
              <w:tl2br w:val="nil"/>
              <w:tr2bl w:val="nil"/>
            </w:tcBorders>
            <w:noWrap w:val="0"/>
            <w:vAlign w:val="center"/>
          </w:tcPr>
          <w:p w14:paraId="720BF21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op w:val="single" w:color="auto" w:sz="4" w:space="0"/>
              <w:bottom w:val="single" w:color="auto" w:sz="4" w:space="0"/>
              <w:tl2br w:val="nil"/>
              <w:tr2bl w:val="nil"/>
            </w:tcBorders>
            <w:noWrap w:val="0"/>
            <w:vAlign w:val="center"/>
          </w:tcPr>
          <w:p w14:paraId="54C42F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t/a</w:t>
            </w:r>
          </w:p>
        </w:tc>
        <w:tc>
          <w:tcPr>
            <w:tcW w:w="1586" w:type="dxa"/>
            <w:tcBorders>
              <w:top w:val="single" w:color="auto" w:sz="4" w:space="0"/>
              <w:bottom w:val="single" w:color="auto" w:sz="4" w:space="0"/>
              <w:tl2br w:val="nil"/>
              <w:tr2bl w:val="nil"/>
            </w:tcBorders>
            <w:noWrap w:val="0"/>
            <w:vAlign w:val="center"/>
          </w:tcPr>
          <w:p w14:paraId="5A9CF58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op w:val="single" w:color="auto" w:sz="4" w:space="0"/>
              <w:bottom w:val="single" w:color="auto" w:sz="4" w:space="0"/>
              <w:tl2br w:val="nil"/>
              <w:tr2bl w:val="nil"/>
            </w:tcBorders>
            <w:noWrap w:val="0"/>
            <w:vAlign w:val="center"/>
          </w:tcPr>
          <w:p w14:paraId="1B9BC0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t/a</w:t>
            </w:r>
          </w:p>
        </w:tc>
        <w:tc>
          <w:tcPr>
            <w:tcW w:w="1261" w:type="dxa"/>
            <w:tcBorders>
              <w:top w:val="single" w:color="auto" w:sz="4" w:space="0"/>
              <w:bottom w:val="single" w:color="auto" w:sz="4" w:space="0"/>
              <w:tl2br w:val="nil"/>
              <w:tr2bl w:val="nil"/>
            </w:tcBorders>
            <w:noWrap w:val="0"/>
            <w:vAlign w:val="center"/>
          </w:tcPr>
          <w:p w14:paraId="2394B1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t/a</w:t>
            </w:r>
          </w:p>
        </w:tc>
      </w:tr>
      <w:tr w14:paraId="1147D8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19F42267">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op w:val="single" w:color="auto" w:sz="4" w:space="0"/>
              <w:bottom w:val="single" w:color="auto" w:sz="4" w:space="0"/>
              <w:tl2br w:val="nil"/>
              <w:tr2bl w:val="nil"/>
            </w:tcBorders>
            <w:noWrap w:val="0"/>
            <w:vAlign w:val="center"/>
          </w:tcPr>
          <w:p w14:paraId="5F4DA54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废离子交换树</w:t>
            </w:r>
          </w:p>
        </w:tc>
        <w:tc>
          <w:tcPr>
            <w:tcW w:w="1734" w:type="dxa"/>
            <w:tcBorders>
              <w:top w:val="single" w:color="auto" w:sz="4" w:space="0"/>
              <w:bottom w:val="single" w:color="auto" w:sz="4" w:space="0"/>
              <w:tl2br w:val="nil"/>
              <w:tr2bl w:val="nil"/>
            </w:tcBorders>
            <w:shd w:val="clear" w:color="auto" w:fill="auto"/>
            <w:noWrap w:val="0"/>
            <w:vAlign w:val="center"/>
          </w:tcPr>
          <w:p w14:paraId="0A967044">
            <w:pPr>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op w:val="single" w:color="auto" w:sz="4" w:space="0"/>
              <w:bottom w:val="single" w:color="auto" w:sz="4" w:space="0"/>
              <w:tl2br w:val="nil"/>
              <w:tr2bl w:val="nil"/>
            </w:tcBorders>
            <w:shd w:val="clear" w:color="auto" w:fill="auto"/>
            <w:noWrap w:val="0"/>
            <w:vAlign w:val="center"/>
          </w:tcPr>
          <w:p w14:paraId="40D59E47">
            <w:pPr>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op w:val="single" w:color="auto" w:sz="4" w:space="0"/>
              <w:bottom w:val="single" w:color="auto" w:sz="4" w:space="0"/>
              <w:tl2br w:val="nil"/>
              <w:tr2bl w:val="nil"/>
            </w:tcBorders>
            <w:shd w:val="clear" w:color="auto" w:fill="auto"/>
            <w:noWrap w:val="0"/>
            <w:vAlign w:val="center"/>
          </w:tcPr>
          <w:p w14:paraId="11DF620B">
            <w:pPr>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op w:val="single" w:color="auto" w:sz="4" w:space="0"/>
              <w:bottom w:val="single" w:color="auto" w:sz="4" w:space="0"/>
              <w:tl2br w:val="nil"/>
              <w:tr2bl w:val="nil"/>
            </w:tcBorders>
            <w:shd w:val="clear" w:color="auto" w:fill="auto"/>
            <w:noWrap w:val="0"/>
            <w:vAlign w:val="center"/>
          </w:tcPr>
          <w:p w14:paraId="1F67D0E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val="en-US" w:eastAsia="zh-CN"/>
              </w:rPr>
              <w:t>t/a</w:t>
            </w:r>
          </w:p>
        </w:tc>
        <w:tc>
          <w:tcPr>
            <w:tcW w:w="1586" w:type="dxa"/>
            <w:tcBorders>
              <w:top w:val="single" w:color="auto" w:sz="4" w:space="0"/>
              <w:bottom w:val="single" w:color="auto" w:sz="4" w:space="0"/>
              <w:tl2br w:val="nil"/>
              <w:tr2bl w:val="nil"/>
            </w:tcBorders>
            <w:shd w:val="clear" w:color="auto" w:fill="auto"/>
            <w:noWrap w:val="0"/>
            <w:vAlign w:val="center"/>
          </w:tcPr>
          <w:p w14:paraId="2BBCEB66">
            <w:pPr>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op w:val="single" w:color="auto" w:sz="4" w:space="0"/>
              <w:bottom w:val="single" w:color="auto" w:sz="4" w:space="0"/>
              <w:tl2br w:val="nil"/>
              <w:tr2bl w:val="nil"/>
            </w:tcBorders>
            <w:shd w:val="clear" w:color="auto" w:fill="auto"/>
            <w:noWrap w:val="0"/>
            <w:vAlign w:val="center"/>
          </w:tcPr>
          <w:p w14:paraId="719A44B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val="en-US" w:eastAsia="zh-CN"/>
              </w:rPr>
              <w:t>t/a</w:t>
            </w:r>
          </w:p>
        </w:tc>
        <w:tc>
          <w:tcPr>
            <w:tcW w:w="1261" w:type="dxa"/>
            <w:tcBorders>
              <w:top w:val="single" w:color="auto" w:sz="4" w:space="0"/>
              <w:bottom w:val="single" w:color="auto" w:sz="4" w:space="0"/>
              <w:tl2br w:val="nil"/>
              <w:tr2bl w:val="nil"/>
            </w:tcBorders>
            <w:shd w:val="clear" w:color="auto" w:fill="auto"/>
            <w:noWrap w:val="0"/>
            <w:vAlign w:val="center"/>
          </w:tcPr>
          <w:p w14:paraId="291A388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val="en-US" w:eastAsia="zh-CN"/>
              </w:rPr>
              <w:t>t/a</w:t>
            </w:r>
          </w:p>
        </w:tc>
      </w:tr>
      <w:tr w14:paraId="1BC8D4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6F38EA4B">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op w:val="single" w:color="auto" w:sz="4" w:space="0"/>
              <w:bottom w:val="single" w:color="auto" w:sz="4" w:space="0"/>
              <w:tl2br w:val="nil"/>
              <w:tr2bl w:val="nil"/>
            </w:tcBorders>
            <w:noWrap w:val="0"/>
            <w:vAlign w:val="center"/>
          </w:tcPr>
          <w:p w14:paraId="3E7A01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废滤料</w:t>
            </w:r>
          </w:p>
        </w:tc>
        <w:tc>
          <w:tcPr>
            <w:tcW w:w="1734" w:type="dxa"/>
            <w:tcBorders>
              <w:top w:val="single" w:color="auto" w:sz="4" w:space="0"/>
              <w:bottom w:val="single" w:color="auto" w:sz="4" w:space="0"/>
              <w:tl2br w:val="nil"/>
              <w:tr2bl w:val="nil"/>
            </w:tcBorders>
            <w:noWrap w:val="0"/>
            <w:vAlign w:val="center"/>
          </w:tcPr>
          <w:p w14:paraId="1882F78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op w:val="single" w:color="auto" w:sz="4" w:space="0"/>
              <w:bottom w:val="single" w:color="auto" w:sz="4" w:space="0"/>
              <w:tl2br w:val="nil"/>
              <w:tr2bl w:val="nil"/>
            </w:tcBorders>
            <w:noWrap w:val="0"/>
            <w:vAlign w:val="center"/>
          </w:tcPr>
          <w:p w14:paraId="4223512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op w:val="single" w:color="auto" w:sz="4" w:space="0"/>
              <w:bottom w:val="single" w:color="auto" w:sz="4" w:space="0"/>
              <w:tl2br w:val="nil"/>
              <w:tr2bl w:val="nil"/>
            </w:tcBorders>
            <w:noWrap w:val="0"/>
            <w:vAlign w:val="center"/>
          </w:tcPr>
          <w:p w14:paraId="50D1F50A">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op w:val="single" w:color="auto" w:sz="4" w:space="0"/>
              <w:bottom w:val="single" w:color="auto" w:sz="4" w:space="0"/>
              <w:tl2br w:val="nil"/>
              <w:tr2bl w:val="nil"/>
            </w:tcBorders>
            <w:noWrap w:val="0"/>
            <w:vAlign w:val="center"/>
          </w:tcPr>
          <w:p w14:paraId="644B40A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0.3</w:t>
            </w:r>
            <w:r>
              <w:rPr>
                <w:rFonts w:hint="default" w:ascii="Times New Roman" w:hAnsi="Times New Roman" w:eastAsia="宋体" w:cs="Times New Roman"/>
                <w:color w:val="auto"/>
                <w:sz w:val="21"/>
                <w:szCs w:val="21"/>
                <w:highlight w:val="none"/>
                <w:lang w:val="en-US" w:eastAsia="zh-CN"/>
              </w:rPr>
              <w:t>t/a</w:t>
            </w:r>
          </w:p>
        </w:tc>
        <w:tc>
          <w:tcPr>
            <w:tcW w:w="1586" w:type="dxa"/>
            <w:tcBorders>
              <w:top w:val="single" w:color="auto" w:sz="4" w:space="0"/>
              <w:bottom w:val="single" w:color="auto" w:sz="4" w:space="0"/>
              <w:tl2br w:val="nil"/>
              <w:tr2bl w:val="nil"/>
            </w:tcBorders>
            <w:noWrap w:val="0"/>
            <w:vAlign w:val="center"/>
          </w:tcPr>
          <w:p w14:paraId="29FDC37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op w:val="single" w:color="auto" w:sz="4" w:space="0"/>
              <w:bottom w:val="single" w:color="auto" w:sz="4" w:space="0"/>
              <w:tl2br w:val="nil"/>
              <w:tr2bl w:val="nil"/>
            </w:tcBorders>
            <w:noWrap w:val="0"/>
            <w:vAlign w:val="center"/>
          </w:tcPr>
          <w:p w14:paraId="342C880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0.3</w:t>
            </w:r>
            <w:r>
              <w:rPr>
                <w:rFonts w:hint="default" w:ascii="Times New Roman" w:hAnsi="Times New Roman" w:eastAsia="宋体" w:cs="Times New Roman"/>
                <w:color w:val="auto"/>
                <w:sz w:val="21"/>
                <w:szCs w:val="21"/>
                <w:highlight w:val="none"/>
                <w:lang w:val="en-US" w:eastAsia="zh-CN"/>
              </w:rPr>
              <w:t>t/a</w:t>
            </w:r>
          </w:p>
        </w:tc>
        <w:tc>
          <w:tcPr>
            <w:tcW w:w="1261" w:type="dxa"/>
            <w:tcBorders>
              <w:top w:val="single" w:color="auto" w:sz="4" w:space="0"/>
              <w:bottom w:val="single" w:color="auto" w:sz="4" w:space="0"/>
              <w:tl2br w:val="nil"/>
              <w:tr2bl w:val="nil"/>
            </w:tcBorders>
            <w:noWrap w:val="0"/>
            <w:vAlign w:val="center"/>
          </w:tcPr>
          <w:p w14:paraId="69B8F5C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+0.3</w:t>
            </w:r>
            <w:r>
              <w:rPr>
                <w:rFonts w:hint="default" w:ascii="Times New Roman" w:hAnsi="Times New Roman" w:eastAsia="宋体" w:cs="Times New Roman"/>
                <w:color w:val="auto"/>
                <w:sz w:val="21"/>
                <w:szCs w:val="21"/>
                <w:highlight w:val="none"/>
                <w:lang w:val="en-US" w:eastAsia="zh-CN"/>
              </w:rPr>
              <w:t>t/a</w:t>
            </w:r>
          </w:p>
        </w:tc>
      </w:tr>
      <w:tr w14:paraId="553AF8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restart"/>
            <w:tcBorders>
              <w:tl2br w:val="nil"/>
              <w:tr2bl w:val="nil"/>
            </w:tcBorders>
            <w:noWrap w:val="0"/>
            <w:vAlign w:val="center"/>
          </w:tcPr>
          <w:p w14:paraId="5FE43180">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危险废物</w:t>
            </w:r>
          </w:p>
        </w:tc>
        <w:tc>
          <w:tcPr>
            <w:tcW w:w="1607" w:type="dxa"/>
            <w:tcBorders>
              <w:tl2br w:val="nil"/>
              <w:tr2bl w:val="nil"/>
            </w:tcBorders>
            <w:shd w:val="clear" w:color="auto" w:fill="auto"/>
            <w:noWrap w:val="0"/>
            <w:vAlign w:val="center"/>
          </w:tcPr>
          <w:p w14:paraId="7297063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废酸桶</w:t>
            </w:r>
          </w:p>
        </w:tc>
        <w:tc>
          <w:tcPr>
            <w:tcW w:w="1734" w:type="dxa"/>
            <w:tcBorders>
              <w:tl2br w:val="nil"/>
              <w:tr2bl w:val="nil"/>
            </w:tcBorders>
            <w:shd w:val="clear" w:color="auto" w:fill="auto"/>
            <w:noWrap w:val="0"/>
            <w:vAlign w:val="center"/>
          </w:tcPr>
          <w:p w14:paraId="53291839">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shd w:val="clear" w:color="auto" w:fill="auto"/>
            <w:noWrap w:val="0"/>
            <w:vAlign w:val="center"/>
          </w:tcPr>
          <w:p w14:paraId="674820A1">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shd w:val="clear" w:color="auto" w:fill="auto"/>
            <w:noWrap w:val="0"/>
            <w:vAlign w:val="center"/>
          </w:tcPr>
          <w:p w14:paraId="7D3C9406">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shd w:val="clear" w:color="auto" w:fill="auto"/>
            <w:noWrap w:val="0"/>
            <w:vAlign w:val="center"/>
          </w:tcPr>
          <w:p w14:paraId="02A3456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shd w:val="clear" w:color="auto" w:fill="auto"/>
            <w:noWrap w:val="0"/>
            <w:vAlign w:val="center"/>
          </w:tcPr>
          <w:p w14:paraId="0E978B28">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shd w:val="clear" w:color="auto" w:fill="auto"/>
            <w:noWrap w:val="0"/>
            <w:vAlign w:val="center"/>
          </w:tcPr>
          <w:p w14:paraId="7EEB4DA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shd w:val="clear" w:color="auto" w:fill="auto"/>
            <w:noWrap w:val="0"/>
            <w:vAlign w:val="center"/>
          </w:tcPr>
          <w:p w14:paraId="64D3B6A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lang w:val="en-US" w:eastAsia="zh-CN"/>
              </w:rPr>
              <w:t>t/a</w:t>
            </w:r>
          </w:p>
        </w:tc>
      </w:tr>
      <w:tr w14:paraId="088EBA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04AEDD9D">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p>
        </w:tc>
        <w:tc>
          <w:tcPr>
            <w:tcW w:w="1607" w:type="dxa"/>
            <w:tcBorders>
              <w:tl2br w:val="nil"/>
              <w:tr2bl w:val="nil"/>
            </w:tcBorders>
            <w:noWrap w:val="0"/>
            <w:vAlign w:val="center"/>
          </w:tcPr>
          <w:p w14:paraId="3758D9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污泥</w:t>
            </w:r>
          </w:p>
        </w:tc>
        <w:tc>
          <w:tcPr>
            <w:tcW w:w="1734" w:type="dxa"/>
            <w:tcBorders>
              <w:tl2br w:val="nil"/>
              <w:tr2bl w:val="nil"/>
            </w:tcBorders>
            <w:noWrap w:val="0"/>
            <w:vAlign w:val="center"/>
          </w:tcPr>
          <w:p w14:paraId="050D53B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4AB4D0E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10164B4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290156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4CE2E0A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1AE2B4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2643C33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t/a</w:t>
            </w:r>
          </w:p>
        </w:tc>
      </w:tr>
      <w:tr w14:paraId="0779A5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2" w:type="dxa"/>
            <w:vMerge w:val="continue"/>
            <w:tcBorders>
              <w:tl2br w:val="nil"/>
              <w:tr2bl w:val="nil"/>
            </w:tcBorders>
            <w:noWrap w:val="0"/>
            <w:vAlign w:val="center"/>
          </w:tcPr>
          <w:p w14:paraId="246F4A50">
            <w:pPr>
              <w:pStyle w:val="62"/>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 w:val="21"/>
                <w:szCs w:val="21"/>
                <w:highlight w:val="none"/>
              </w:rPr>
            </w:pPr>
            <w:bookmarkStart w:id="30" w:name="_Toc7987"/>
            <w:bookmarkStart w:id="31" w:name="_Toc20067"/>
            <w:bookmarkStart w:id="32" w:name="_Toc21735"/>
          </w:p>
        </w:tc>
        <w:tc>
          <w:tcPr>
            <w:tcW w:w="1607" w:type="dxa"/>
            <w:tcBorders>
              <w:tl2br w:val="nil"/>
              <w:tr2bl w:val="nil"/>
            </w:tcBorders>
            <w:noWrap w:val="0"/>
            <w:vAlign w:val="center"/>
          </w:tcPr>
          <w:p w14:paraId="6DB0E3B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废布袋</w:t>
            </w:r>
          </w:p>
        </w:tc>
        <w:tc>
          <w:tcPr>
            <w:tcW w:w="1734" w:type="dxa"/>
            <w:tcBorders>
              <w:tl2br w:val="nil"/>
              <w:tr2bl w:val="nil"/>
            </w:tcBorders>
            <w:noWrap w:val="0"/>
            <w:vAlign w:val="center"/>
          </w:tcPr>
          <w:p w14:paraId="1B5AB72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252" w:type="dxa"/>
            <w:tcBorders>
              <w:tl2br w:val="nil"/>
              <w:tr2bl w:val="nil"/>
            </w:tcBorders>
            <w:noWrap w:val="0"/>
            <w:vAlign w:val="center"/>
          </w:tcPr>
          <w:p w14:paraId="61EAD930">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62" w:type="dxa"/>
            <w:tcBorders>
              <w:tl2br w:val="nil"/>
              <w:tr2bl w:val="nil"/>
            </w:tcBorders>
            <w:noWrap w:val="0"/>
            <w:vAlign w:val="center"/>
          </w:tcPr>
          <w:p w14:paraId="568C029F">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525" w:type="dxa"/>
            <w:tcBorders>
              <w:tl2br w:val="nil"/>
              <w:tr2bl w:val="nil"/>
            </w:tcBorders>
            <w:noWrap w:val="0"/>
            <w:vAlign w:val="center"/>
          </w:tcPr>
          <w:p w14:paraId="6C26CC6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c>
          <w:tcPr>
            <w:tcW w:w="1586" w:type="dxa"/>
            <w:tcBorders>
              <w:tl2br w:val="nil"/>
              <w:tr2bl w:val="nil"/>
            </w:tcBorders>
            <w:noWrap w:val="0"/>
            <w:vAlign w:val="center"/>
          </w:tcPr>
          <w:p w14:paraId="1A1BBB81">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603" w:type="dxa"/>
            <w:tcBorders>
              <w:tl2br w:val="nil"/>
              <w:tr2bl w:val="nil"/>
            </w:tcBorders>
            <w:noWrap w:val="0"/>
            <w:vAlign w:val="center"/>
          </w:tcPr>
          <w:p w14:paraId="20E9044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c>
          <w:tcPr>
            <w:tcW w:w="1261" w:type="dxa"/>
            <w:tcBorders>
              <w:tl2br w:val="nil"/>
              <w:tr2bl w:val="nil"/>
            </w:tcBorders>
            <w:noWrap w:val="0"/>
            <w:vAlign w:val="center"/>
          </w:tcPr>
          <w:p w14:paraId="49E7373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t/a</w:t>
            </w:r>
          </w:p>
        </w:tc>
      </w:tr>
    </w:tbl>
    <w:p w14:paraId="12247765">
      <w:pPr>
        <w:pStyle w:val="62"/>
        <w:spacing w:before="192" w:beforeLines="80" w:after="24"/>
        <w:jc w:val="left"/>
        <w:outlineLvl w:val="0"/>
        <w:rPr>
          <w:rFonts w:hint="default" w:ascii="Times New Roman" w:hAnsi="Times New Roman" w:cs="Times New Roman"/>
          <w:snapToGrid w:val="0"/>
          <w:color w:val="auto"/>
          <w:spacing w:val="-6"/>
          <w:kern w:val="21"/>
          <w:sz w:val="24"/>
          <w:szCs w:val="24"/>
          <w:highlight w:val="none"/>
        </w:rPr>
        <w:sectPr>
          <w:footerReference r:id="rId6" w:type="default"/>
          <w:pgSz w:w="16838" w:h="11906" w:orient="landscape"/>
          <w:pgMar w:top="1134" w:right="1701" w:bottom="1134"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snapToGrid w:val="0"/>
          <w:color w:val="auto"/>
          <w:kern w:val="21"/>
          <w:sz w:val="24"/>
          <w:szCs w:val="24"/>
          <w:highlight w:val="none"/>
        </w:rPr>
        <w:t>注：</w:t>
      </w:r>
      <w:r>
        <w:rPr>
          <w:rFonts w:hint="default" w:ascii="Times New Roman" w:hAnsi="Times New Roman" w:cs="Times New Roman"/>
          <w:snapToGrid w:val="0"/>
          <w:color w:val="auto"/>
          <w:spacing w:val="-16"/>
          <w:kern w:val="21"/>
          <w:sz w:val="24"/>
          <w:szCs w:val="24"/>
          <w:highlight w:val="none"/>
        </w:rPr>
        <w:fldChar w:fldCharType="begin"/>
      </w:r>
      <w:r>
        <w:rPr>
          <w:rFonts w:hint="default" w:ascii="Times New Roman" w:hAnsi="Times New Roman" w:cs="Times New Roman"/>
          <w:snapToGrid w:val="0"/>
          <w:color w:val="auto"/>
          <w:spacing w:val="-16"/>
          <w:kern w:val="21"/>
          <w:sz w:val="24"/>
          <w:szCs w:val="24"/>
          <w:highlight w:val="none"/>
        </w:rPr>
        <w:instrText xml:space="preserve"> = 6 \* GB3 \* MERGEFORMAT </w:instrText>
      </w:r>
      <w:r>
        <w:rPr>
          <w:rFonts w:hint="default" w:ascii="Times New Roman" w:hAnsi="Times New Roman" w:cs="Times New Roman"/>
          <w:snapToGrid w:val="0"/>
          <w:color w:val="auto"/>
          <w:spacing w:val="-16"/>
          <w:kern w:val="21"/>
          <w:sz w:val="24"/>
          <w:szCs w:val="24"/>
          <w:highlight w:val="none"/>
        </w:rPr>
        <w:fldChar w:fldCharType="separate"/>
      </w:r>
      <w:r>
        <w:rPr>
          <w:rFonts w:hint="default" w:ascii="Times New Roman" w:hAnsi="Times New Roman" w:cs="Times New Roman"/>
          <w:color w:val="auto"/>
          <w:sz w:val="24"/>
          <w:szCs w:val="24"/>
          <w:highlight w:val="none"/>
        </w:rPr>
        <w:t>⑥</w:t>
      </w:r>
      <w:r>
        <w:rPr>
          <w:rFonts w:hint="default" w:ascii="Times New Roman" w:hAnsi="Times New Roman" w:cs="Times New Roman"/>
          <w:snapToGrid w:val="0"/>
          <w:color w:val="auto"/>
          <w:spacing w:val="-16"/>
          <w:kern w:val="21"/>
          <w:sz w:val="24"/>
          <w:szCs w:val="24"/>
          <w:highlight w:val="none"/>
        </w:rPr>
        <w:fldChar w:fldCharType="end"/>
      </w:r>
      <w:r>
        <w:rPr>
          <w:rFonts w:hint="default" w:ascii="Times New Roman" w:hAnsi="Times New Roman" w:cs="Times New Roman"/>
          <w:snapToGrid w:val="0"/>
          <w:color w:val="auto"/>
          <w:spacing w:val="-16"/>
          <w:kern w:val="21"/>
          <w:sz w:val="24"/>
          <w:szCs w:val="24"/>
          <w:highlight w:val="none"/>
        </w:rPr>
        <w:t>=</w:t>
      </w:r>
      <w:r>
        <w:rPr>
          <w:rFonts w:hint="default" w:ascii="Times New Roman" w:hAnsi="Times New Roman" w:cs="Times New Roman"/>
          <w:snapToGrid w:val="0"/>
          <w:color w:val="auto"/>
          <w:spacing w:val="-6"/>
          <w:kern w:val="21"/>
          <w:sz w:val="24"/>
          <w:szCs w:val="24"/>
          <w:highlight w:val="none"/>
        </w:rPr>
        <w:fldChar w:fldCharType="begin"/>
      </w:r>
      <w:r>
        <w:rPr>
          <w:rFonts w:hint="default" w:ascii="Times New Roman" w:hAnsi="Times New Roman" w:cs="Times New Roman"/>
          <w:snapToGrid w:val="0"/>
          <w:color w:val="auto"/>
          <w:spacing w:val="-6"/>
          <w:kern w:val="21"/>
          <w:sz w:val="24"/>
          <w:szCs w:val="24"/>
          <w:highlight w:val="none"/>
        </w:rPr>
        <w:instrText xml:space="preserve"> = 1 \* GB3 \* MERGEFORMAT </w:instrText>
      </w:r>
      <w:r>
        <w:rPr>
          <w:rFonts w:hint="default" w:ascii="Times New Roman" w:hAnsi="Times New Roman" w:cs="Times New Roman"/>
          <w:snapToGrid w:val="0"/>
          <w:color w:val="auto"/>
          <w:spacing w:val="-6"/>
          <w:kern w:val="21"/>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snapToGrid w:val="0"/>
          <w:color w:val="auto"/>
          <w:spacing w:val="-6"/>
          <w:kern w:val="21"/>
          <w:sz w:val="24"/>
          <w:szCs w:val="24"/>
          <w:highlight w:val="none"/>
        </w:rPr>
        <w:fldChar w:fldCharType="end"/>
      </w:r>
      <w:r>
        <w:rPr>
          <w:rFonts w:hint="default" w:ascii="Times New Roman" w:hAnsi="Times New Roman" w:cs="Times New Roman"/>
          <w:snapToGrid w:val="0"/>
          <w:color w:val="auto"/>
          <w:spacing w:val="-6"/>
          <w:kern w:val="21"/>
          <w:sz w:val="24"/>
          <w:szCs w:val="24"/>
          <w:highlight w:val="none"/>
        </w:rPr>
        <w:t>+</w:t>
      </w:r>
      <w:r>
        <w:rPr>
          <w:rFonts w:hint="default" w:ascii="Times New Roman" w:hAnsi="Times New Roman" w:cs="Times New Roman"/>
          <w:snapToGrid w:val="0"/>
          <w:color w:val="auto"/>
          <w:spacing w:val="-6"/>
          <w:kern w:val="21"/>
          <w:sz w:val="24"/>
          <w:szCs w:val="24"/>
          <w:highlight w:val="none"/>
        </w:rPr>
        <w:fldChar w:fldCharType="begin"/>
      </w:r>
      <w:r>
        <w:rPr>
          <w:rFonts w:hint="default" w:ascii="Times New Roman" w:hAnsi="Times New Roman" w:cs="Times New Roman"/>
          <w:snapToGrid w:val="0"/>
          <w:color w:val="auto"/>
          <w:spacing w:val="-6"/>
          <w:kern w:val="21"/>
          <w:sz w:val="24"/>
          <w:szCs w:val="24"/>
          <w:highlight w:val="none"/>
        </w:rPr>
        <w:instrText xml:space="preserve"> = 3 \* GB3 \* MERGEFORMAT </w:instrText>
      </w:r>
      <w:r>
        <w:rPr>
          <w:rFonts w:hint="default" w:ascii="Times New Roman" w:hAnsi="Times New Roman" w:cs="Times New Roman"/>
          <w:snapToGrid w:val="0"/>
          <w:color w:val="auto"/>
          <w:spacing w:val="-6"/>
          <w:kern w:val="21"/>
          <w:sz w:val="24"/>
          <w:szCs w:val="24"/>
          <w:highlight w:val="none"/>
        </w:rPr>
        <w:fldChar w:fldCharType="separate"/>
      </w:r>
      <w:r>
        <w:rPr>
          <w:rFonts w:hint="default" w:ascii="Times New Roman" w:hAnsi="Times New Roman" w:cs="Times New Roman"/>
          <w:color w:val="auto"/>
          <w:sz w:val="24"/>
          <w:szCs w:val="24"/>
          <w:highlight w:val="none"/>
        </w:rPr>
        <w:t>③</w:t>
      </w:r>
      <w:r>
        <w:rPr>
          <w:rFonts w:hint="default" w:ascii="Times New Roman" w:hAnsi="Times New Roman" w:cs="Times New Roman"/>
          <w:snapToGrid w:val="0"/>
          <w:color w:val="auto"/>
          <w:spacing w:val="-6"/>
          <w:kern w:val="21"/>
          <w:sz w:val="24"/>
          <w:szCs w:val="24"/>
          <w:highlight w:val="none"/>
        </w:rPr>
        <w:fldChar w:fldCharType="end"/>
      </w:r>
      <w:r>
        <w:rPr>
          <w:rFonts w:hint="default" w:ascii="Times New Roman" w:hAnsi="Times New Roman" w:cs="Times New Roman"/>
          <w:snapToGrid w:val="0"/>
          <w:color w:val="auto"/>
          <w:spacing w:val="-6"/>
          <w:kern w:val="21"/>
          <w:sz w:val="24"/>
          <w:szCs w:val="24"/>
          <w:highlight w:val="none"/>
        </w:rPr>
        <w:t>+</w:t>
      </w:r>
      <w:r>
        <w:rPr>
          <w:rFonts w:hint="default" w:ascii="Times New Roman" w:hAnsi="Times New Roman" w:cs="Times New Roman"/>
          <w:snapToGrid w:val="0"/>
          <w:color w:val="auto"/>
          <w:spacing w:val="-6"/>
          <w:kern w:val="21"/>
          <w:sz w:val="24"/>
          <w:szCs w:val="24"/>
          <w:highlight w:val="none"/>
        </w:rPr>
        <w:fldChar w:fldCharType="begin"/>
      </w:r>
      <w:r>
        <w:rPr>
          <w:rFonts w:hint="default" w:ascii="Times New Roman" w:hAnsi="Times New Roman" w:cs="Times New Roman"/>
          <w:snapToGrid w:val="0"/>
          <w:color w:val="auto"/>
          <w:spacing w:val="-6"/>
          <w:kern w:val="21"/>
          <w:sz w:val="24"/>
          <w:szCs w:val="24"/>
          <w:highlight w:val="none"/>
        </w:rPr>
        <w:instrText xml:space="preserve"> = 4 \* GB3 \* MERGEFORMAT </w:instrText>
      </w:r>
      <w:r>
        <w:rPr>
          <w:rFonts w:hint="default" w:ascii="Times New Roman" w:hAnsi="Times New Roman" w:cs="Times New Roman"/>
          <w:snapToGrid w:val="0"/>
          <w:color w:val="auto"/>
          <w:spacing w:val="-6"/>
          <w:kern w:val="21"/>
          <w:sz w:val="24"/>
          <w:szCs w:val="24"/>
          <w:highlight w:val="none"/>
        </w:rPr>
        <w:fldChar w:fldCharType="separate"/>
      </w:r>
      <w:r>
        <w:rPr>
          <w:rFonts w:hint="default" w:ascii="Times New Roman" w:hAnsi="Times New Roman" w:cs="Times New Roman"/>
          <w:color w:val="auto"/>
          <w:sz w:val="24"/>
          <w:szCs w:val="24"/>
          <w:highlight w:val="none"/>
        </w:rPr>
        <w:t>④</w:t>
      </w:r>
      <w:r>
        <w:rPr>
          <w:rFonts w:hint="default" w:ascii="Times New Roman" w:hAnsi="Times New Roman" w:cs="Times New Roman"/>
          <w:snapToGrid w:val="0"/>
          <w:color w:val="auto"/>
          <w:spacing w:val="-6"/>
          <w:kern w:val="21"/>
          <w:sz w:val="24"/>
          <w:szCs w:val="24"/>
          <w:highlight w:val="none"/>
        </w:rPr>
        <w:fldChar w:fldCharType="end"/>
      </w:r>
      <w:r>
        <w:rPr>
          <w:rFonts w:hint="default" w:ascii="Times New Roman" w:hAnsi="Times New Roman" w:cs="Times New Roman"/>
          <w:snapToGrid w:val="0"/>
          <w:color w:val="auto"/>
          <w:spacing w:val="-6"/>
          <w:kern w:val="21"/>
          <w:sz w:val="24"/>
          <w:szCs w:val="24"/>
          <w:highlight w:val="none"/>
        </w:rPr>
        <w:t>-</w:t>
      </w:r>
      <w:r>
        <w:rPr>
          <w:rFonts w:hint="default" w:ascii="Times New Roman" w:hAnsi="Times New Roman" w:cs="Times New Roman"/>
          <w:snapToGrid w:val="0"/>
          <w:color w:val="auto"/>
          <w:spacing w:val="-16"/>
          <w:kern w:val="21"/>
          <w:sz w:val="24"/>
          <w:szCs w:val="24"/>
          <w:highlight w:val="none"/>
        </w:rPr>
        <w:fldChar w:fldCharType="begin"/>
      </w:r>
      <w:r>
        <w:rPr>
          <w:rFonts w:hint="default" w:ascii="Times New Roman" w:hAnsi="Times New Roman" w:cs="Times New Roman"/>
          <w:snapToGrid w:val="0"/>
          <w:color w:val="auto"/>
          <w:spacing w:val="-16"/>
          <w:kern w:val="21"/>
          <w:sz w:val="24"/>
          <w:szCs w:val="24"/>
          <w:highlight w:val="none"/>
        </w:rPr>
        <w:instrText xml:space="preserve"> = 5 \* GB3 \* MERGEFORMAT </w:instrText>
      </w:r>
      <w:r>
        <w:rPr>
          <w:rFonts w:hint="default" w:ascii="Times New Roman" w:hAnsi="Times New Roman" w:cs="Times New Roman"/>
          <w:snapToGrid w:val="0"/>
          <w:color w:val="auto"/>
          <w:spacing w:val="-16"/>
          <w:kern w:val="21"/>
          <w:sz w:val="24"/>
          <w:szCs w:val="24"/>
          <w:highlight w:val="none"/>
        </w:rPr>
        <w:fldChar w:fldCharType="separate"/>
      </w:r>
      <w:r>
        <w:rPr>
          <w:rFonts w:hint="default" w:ascii="Times New Roman" w:hAnsi="Times New Roman" w:cs="Times New Roman"/>
          <w:color w:val="auto"/>
          <w:sz w:val="24"/>
          <w:szCs w:val="24"/>
          <w:highlight w:val="none"/>
        </w:rPr>
        <w:t>⑤</w:t>
      </w:r>
      <w:r>
        <w:rPr>
          <w:rFonts w:hint="default" w:ascii="Times New Roman" w:hAnsi="Times New Roman" w:cs="Times New Roman"/>
          <w:snapToGrid w:val="0"/>
          <w:color w:val="auto"/>
          <w:spacing w:val="-16"/>
          <w:kern w:val="21"/>
          <w:sz w:val="24"/>
          <w:szCs w:val="24"/>
          <w:highlight w:val="none"/>
        </w:rPr>
        <w:fldChar w:fldCharType="end"/>
      </w:r>
      <w:r>
        <w:rPr>
          <w:rFonts w:hint="default" w:ascii="Times New Roman" w:hAnsi="Times New Roman" w:cs="Times New Roman"/>
          <w:snapToGrid w:val="0"/>
          <w:color w:val="auto"/>
          <w:spacing w:val="-16"/>
          <w:kern w:val="21"/>
          <w:sz w:val="24"/>
          <w:szCs w:val="24"/>
          <w:highlight w:val="none"/>
        </w:rPr>
        <w:t>；</w:t>
      </w:r>
      <w:r>
        <w:rPr>
          <w:rFonts w:hint="default" w:ascii="Times New Roman" w:hAnsi="Times New Roman" w:cs="Times New Roman"/>
          <w:snapToGrid w:val="0"/>
          <w:color w:val="auto"/>
          <w:spacing w:val="-6"/>
          <w:kern w:val="21"/>
          <w:sz w:val="24"/>
          <w:szCs w:val="24"/>
          <w:highlight w:val="none"/>
        </w:rPr>
        <w:fldChar w:fldCharType="begin"/>
      </w:r>
      <w:r>
        <w:rPr>
          <w:rFonts w:hint="default" w:ascii="Times New Roman" w:hAnsi="Times New Roman" w:cs="Times New Roman"/>
          <w:snapToGrid w:val="0"/>
          <w:color w:val="auto"/>
          <w:spacing w:val="-6"/>
          <w:kern w:val="21"/>
          <w:sz w:val="24"/>
          <w:szCs w:val="24"/>
          <w:highlight w:val="none"/>
        </w:rPr>
        <w:instrText xml:space="preserve"> = 7 \* GB3 \* MERGEFORMAT </w:instrText>
      </w:r>
      <w:r>
        <w:rPr>
          <w:rFonts w:hint="default" w:ascii="Times New Roman" w:hAnsi="Times New Roman" w:cs="Times New Roman"/>
          <w:snapToGrid w:val="0"/>
          <w:color w:val="auto"/>
          <w:spacing w:val="-6"/>
          <w:kern w:val="21"/>
          <w:sz w:val="24"/>
          <w:szCs w:val="24"/>
          <w:highlight w:val="none"/>
        </w:rPr>
        <w:fldChar w:fldCharType="separate"/>
      </w:r>
      <w:r>
        <w:rPr>
          <w:rFonts w:hint="default" w:ascii="Times New Roman" w:hAnsi="Times New Roman" w:cs="Times New Roman"/>
          <w:color w:val="auto"/>
          <w:sz w:val="24"/>
          <w:szCs w:val="24"/>
          <w:highlight w:val="none"/>
        </w:rPr>
        <w:t>⑦</w:t>
      </w:r>
      <w:r>
        <w:rPr>
          <w:rFonts w:hint="default" w:ascii="Times New Roman" w:hAnsi="Times New Roman" w:cs="Times New Roman"/>
          <w:snapToGrid w:val="0"/>
          <w:color w:val="auto"/>
          <w:spacing w:val="-6"/>
          <w:kern w:val="21"/>
          <w:sz w:val="24"/>
          <w:szCs w:val="24"/>
          <w:highlight w:val="none"/>
        </w:rPr>
        <w:fldChar w:fldCharType="end"/>
      </w:r>
      <w:r>
        <w:rPr>
          <w:rFonts w:hint="default" w:ascii="Times New Roman" w:hAnsi="Times New Roman" w:cs="Times New Roman"/>
          <w:snapToGrid w:val="0"/>
          <w:color w:val="auto"/>
          <w:spacing w:val="-6"/>
          <w:kern w:val="21"/>
          <w:sz w:val="24"/>
          <w:szCs w:val="24"/>
          <w:highlight w:val="none"/>
        </w:rPr>
        <w:t>=</w:t>
      </w:r>
      <w:r>
        <w:rPr>
          <w:rFonts w:hint="default" w:ascii="Times New Roman" w:hAnsi="Times New Roman" w:cs="Times New Roman"/>
          <w:snapToGrid w:val="0"/>
          <w:color w:val="auto"/>
          <w:spacing w:val="-16"/>
          <w:kern w:val="21"/>
          <w:sz w:val="24"/>
          <w:szCs w:val="24"/>
          <w:highlight w:val="none"/>
        </w:rPr>
        <w:fldChar w:fldCharType="begin"/>
      </w:r>
      <w:r>
        <w:rPr>
          <w:rFonts w:hint="default" w:ascii="Times New Roman" w:hAnsi="Times New Roman" w:cs="Times New Roman"/>
          <w:snapToGrid w:val="0"/>
          <w:color w:val="auto"/>
          <w:spacing w:val="-16"/>
          <w:kern w:val="21"/>
          <w:sz w:val="24"/>
          <w:szCs w:val="24"/>
          <w:highlight w:val="none"/>
        </w:rPr>
        <w:instrText xml:space="preserve"> = 6 \* GB3 \* MERGEFORMAT </w:instrText>
      </w:r>
      <w:r>
        <w:rPr>
          <w:rFonts w:hint="default" w:ascii="Times New Roman" w:hAnsi="Times New Roman" w:cs="Times New Roman"/>
          <w:snapToGrid w:val="0"/>
          <w:color w:val="auto"/>
          <w:spacing w:val="-16"/>
          <w:kern w:val="21"/>
          <w:sz w:val="24"/>
          <w:szCs w:val="24"/>
          <w:highlight w:val="none"/>
        </w:rPr>
        <w:fldChar w:fldCharType="separate"/>
      </w:r>
      <w:r>
        <w:rPr>
          <w:rFonts w:hint="default" w:ascii="Times New Roman" w:hAnsi="Times New Roman" w:cs="Times New Roman"/>
          <w:color w:val="auto"/>
          <w:sz w:val="24"/>
          <w:szCs w:val="24"/>
          <w:highlight w:val="none"/>
        </w:rPr>
        <w:t>⑥</w:t>
      </w:r>
      <w:r>
        <w:rPr>
          <w:rFonts w:hint="default" w:ascii="Times New Roman" w:hAnsi="Times New Roman" w:cs="Times New Roman"/>
          <w:snapToGrid w:val="0"/>
          <w:color w:val="auto"/>
          <w:spacing w:val="-16"/>
          <w:kern w:val="21"/>
          <w:sz w:val="24"/>
          <w:szCs w:val="24"/>
          <w:highlight w:val="none"/>
        </w:rPr>
        <w:fldChar w:fldCharType="end"/>
      </w:r>
      <w:r>
        <w:rPr>
          <w:rFonts w:hint="default" w:ascii="Times New Roman" w:hAnsi="Times New Roman" w:cs="Times New Roman"/>
          <w:snapToGrid w:val="0"/>
          <w:color w:val="auto"/>
          <w:spacing w:val="-16"/>
          <w:kern w:val="21"/>
          <w:sz w:val="24"/>
          <w:szCs w:val="24"/>
          <w:highlight w:val="none"/>
        </w:rPr>
        <w:t>-</w:t>
      </w:r>
      <w:r>
        <w:rPr>
          <w:rFonts w:hint="default" w:ascii="Times New Roman" w:hAnsi="Times New Roman" w:cs="Times New Roman"/>
          <w:snapToGrid w:val="0"/>
          <w:color w:val="auto"/>
          <w:spacing w:val="-6"/>
          <w:kern w:val="21"/>
          <w:sz w:val="24"/>
          <w:szCs w:val="24"/>
          <w:highlight w:val="none"/>
        </w:rPr>
        <w:fldChar w:fldCharType="begin"/>
      </w:r>
      <w:r>
        <w:rPr>
          <w:rFonts w:hint="default" w:ascii="Times New Roman" w:hAnsi="Times New Roman" w:cs="Times New Roman"/>
          <w:snapToGrid w:val="0"/>
          <w:color w:val="auto"/>
          <w:spacing w:val="-6"/>
          <w:kern w:val="21"/>
          <w:sz w:val="24"/>
          <w:szCs w:val="24"/>
          <w:highlight w:val="none"/>
        </w:rPr>
        <w:instrText xml:space="preserve"> = 1 \* GB3 \* MERGEFORMAT </w:instrText>
      </w:r>
      <w:r>
        <w:rPr>
          <w:rFonts w:hint="default" w:ascii="Times New Roman" w:hAnsi="Times New Roman" w:cs="Times New Roman"/>
          <w:snapToGrid w:val="0"/>
          <w:color w:val="auto"/>
          <w:spacing w:val="-6"/>
          <w:kern w:val="21"/>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snapToGrid w:val="0"/>
          <w:color w:val="auto"/>
          <w:spacing w:val="-6"/>
          <w:kern w:val="21"/>
          <w:sz w:val="24"/>
          <w:szCs w:val="24"/>
          <w:highlight w:val="none"/>
        </w:rPr>
        <w:fldChar w:fldCharType="end"/>
      </w:r>
      <w:bookmarkEnd w:id="30"/>
      <w:bookmarkEnd w:id="31"/>
      <w:bookmarkEnd w:id="32"/>
    </w:p>
    <w:p w14:paraId="54C506AE">
      <w:pPr>
        <w:jc w:val="center"/>
        <w:rPr>
          <w:rFonts w:hint="default" w:ascii="Times New Roman" w:hAnsi="Times New Roman" w:cs="Times New Roman"/>
          <w:b/>
          <w:bCs/>
          <w:color w:val="auto"/>
          <w:sz w:val="32"/>
          <w:szCs w:val="40"/>
          <w:highlight w:val="none"/>
        </w:rPr>
      </w:pPr>
      <w:r>
        <w:rPr>
          <w:rFonts w:hint="default" w:ascii="Times New Roman" w:hAnsi="Times New Roman" w:cs="Times New Roman"/>
          <w:b/>
          <w:bCs/>
          <w:color w:val="auto"/>
          <w:sz w:val="32"/>
          <w:szCs w:val="40"/>
          <w:highlight w:val="none"/>
        </w:rPr>
        <w:t>资料性附件</w:t>
      </w:r>
    </w:p>
    <w:p w14:paraId="1E8C1360">
      <w:pPr>
        <w:spacing w:line="360" w:lineRule="auto"/>
        <w:rPr>
          <w:rFonts w:hint="default" w:ascii="Times New Roman" w:hAnsi="Times New Roman" w:cs="Times New Roman"/>
          <w:b/>
          <w:bCs/>
          <w:color w:val="auto"/>
          <w:sz w:val="32"/>
          <w:szCs w:val="40"/>
          <w:highlight w:val="none"/>
        </w:rPr>
      </w:pPr>
      <w:r>
        <w:rPr>
          <w:rFonts w:hint="default" w:ascii="Times New Roman" w:hAnsi="Times New Roman" w:cs="Times New Roman"/>
          <w:b/>
          <w:bCs/>
          <w:color w:val="auto"/>
          <w:sz w:val="32"/>
          <w:szCs w:val="40"/>
          <w:highlight w:val="none"/>
        </w:rPr>
        <w:t>一、附件</w:t>
      </w:r>
    </w:p>
    <w:p w14:paraId="6D2D698C">
      <w:pPr>
        <w:spacing w:line="360" w:lineRule="auto"/>
        <w:rPr>
          <w:rFonts w:hint="default" w:ascii="Times New Roman" w:hAnsi="Times New Roman" w:cs="Times New Roman"/>
          <w:color w:val="auto"/>
          <w:sz w:val="28"/>
          <w:szCs w:val="36"/>
          <w:highlight w:val="none"/>
        </w:rPr>
      </w:pPr>
      <w:r>
        <w:rPr>
          <w:rFonts w:hint="default" w:ascii="Times New Roman" w:hAnsi="Times New Roman" w:cs="Times New Roman"/>
          <w:color w:val="auto"/>
          <w:sz w:val="28"/>
          <w:szCs w:val="36"/>
          <w:highlight w:val="none"/>
          <w:lang w:val="en-US" w:eastAsia="zh-CN"/>
        </w:rPr>
        <w:t>附件</w:t>
      </w:r>
      <w:r>
        <w:rPr>
          <w:rFonts w:hint="default" w:ascii="Times New Roman" w:hAnsi="Times New Roman" w:cs="Times New Roman"/>
          <w:color w:val="auto"/>
          <w:sz w:val="28"/>
          <w:szCs w:val="36"/>
          <w:highlight w:val="none"/>
        </w:rPr>
        <w:t>1、委托书</w:t>
      </w:r>
    </w:p>
    <w:p w14:paraId="4E84133C">
      <w:pPr>
        <w:spacing w:line="360" w:lineRule="auto"/>
        <w:rPr>
          <w:rFonts w:hint="default" w:ascii="Times New Roman" w:hAnsi="Times New Roman" w:cs="Times New Roman"/>
          <w:color w:val="auto"/>
          <w:sz w:val="28"/>
          <w:szCs w:val="36"/>
          <w:highlight w:val="none"/>
        </w:rPr>
      </w:pPr>
      <w:r>
        <w:rPr>
          <w:rFonts w:hint="default" w:ascii="Times New Roman" w:hAnsi="Times New Roman" w:cs="Times New Roman"/>
          <w:color w:val="auto"/>
          <w:sz w:val="28"/>
          <w:szCs w:val="36"/>
          <w:highlight w:val="none"/>
          <w:lang w:val="en-US" w:eastAsia="zh-CN"/>
        </w:rPr>
        <w:t>附件</w:t>
      </w:r>
      <w:r>
        <w:rPr>
          <w:rFonts w:hint="default" w:ascii="Times New Roman" w:hAnsi="Times New Roman" w:cs="Times New Roman"/>
          <w:color w:val="auto"/>
          <w:sz w:val="28"/>
          <w:szCs w:val="36"/>
          <w:highlight w:val="none"/>
        </w:rPr>
        <w:t>2、企业声明</w:t>
      </w:r>
    </w:p>
    <w:p w14:paraId="0D04ABB0">
      <w:pPr>
        <w:spacing w:line="360" w:lineRule="auto"/>
        <w:rPr>
          <w:rFonts w:hint="default" w:ascii="Times New Roman" w:hAnsi="Times New Roman" w:cs="Times New Roman"/>
          <w:color w:val="auto"/>
          <w:sz w:val="28"/>
          <w:szCs w:val="36"/>
          <w:highlight w:val="none"/>
        </w:rPr>
      </w:pPr>
      <w:r>
        <w:rPr>
          <w:rFonts w:hint="default" w:ascii="Times New Roman" w:hAnsi="Times New Roman" w:cs="Times New Roman"/>
          <w:color w:val="auto"/>
          <w:sz w:val="28"/>
          <w:szCs w:val="36"/>
          <w:highlight w:val="none"/>
          <w:lang w:val="en-US" w:eastAsia="zh-CN"/>
        </w:rPr>
        <w:t>附件</w:t>
      </w:r>
      <w:r>
        <w:rPr>
          <w:rFonts w:hint="default" w:ascii="Times New Roman" w:hAnsi="Times New Roman" w:cs="Times New Roman"/>
          <w:color w:val="auto"/>
          <w:sz w:val="28"/>
          <w:szCs w:val="36"/>
          <w:highlight w:val="none"/>
        </w:rPr>
        <w:t>3、营业执照</w:t>
      </w:r>
    </w:p>
    <w:p w14:paraId="28CC715C">
      <w:pPr>
        <w:spacing w:line="360" w:lineRule="auto"/>
        <w:rPr>
          <w:rFonts w:hint="default" w:ascii="Times New Roman" w:hAnsi="Times New Roman" w:cs="Times New Roman"/>
          <w:color w:val="auto"/>
          <w:sz w:val="28"/>
          <w:szCs w:val="36"/>
          <w:highlight w:val="none"/>
        </w:rPr>
      </w:pPr>
      <w:r>
        <w:rPr>
          <w:rFonts w:hint="default" w:ascii="Times New Roman" w:hAnsi="Times New Roman" w:cs="Times New Roman"/>
          <w:color w:val="auto"/>
          <w:sz w:val="28"/>
          <w:szCs w:val="36"/>
          <w:highlight w:val="none"/>
          <w:lang w:val="en-US" w:eastAsia="zh-CN"/>
        </w:rPr>
        <w:t>附件</w:t>
      </w:r>
      <w:r>
        <w:rPr>
          <w:rFonts w:hint="default" w:ascii="Times New Roman" w:hAnsi="Times New Roman" w:cs="Times New Roman"/>
          <w:color w:val="auto"/>
          <w:sz w:val="28"/>
          <w:szCs w:val="36"/>
          <w:highlight w:val="none"/>
        </w:rPr>
        <w:t>4、山东省建设项目备案证明</w:t>
      </w:r>
    </w:p>
    <w:p w14:paraId="422758CF">
      <w:pPr>
        <w:spacing w:line="360" w:lineRule="auto"/>
        <w:rPr>
          <w:rFonts w:hint="default" w:ascii="Times New Roman" w:hAnsi="Times New Roman" w:eastAsia="宋体" w:cs="Times New Roman"/>
          <w:color w:val="auto"/>
          <w:sz w:val="28"/>
          <w:szCs w:val="36"/>
          <w:highlight w:val="none"/>
        </w:rPr>
      </w:pPr>
      <w:r>
        <w:rPr>
          <w:rFonts w:hint="default" w:ascii="Times New Roman" w:hAnsi="Times New Roman" w:cs="Times New Roman"/>
          <w:color w:val="auto"/>
          <w:sz w:val="28"/>
          <w:szCs w:val="36"/>
          <w:highlight w:val="none"/>
          <w:lang w:val="en-US" w:eastAsia="zh-CN"/>
        </w:rPr>
        <w:t>附件5</w:t>
      </w:r>
      <w:r>
        <w:rPr>
          <w:rFonts w:hint="default" w:ascii="Times New Roman" w:hAnsi="Times New Roman" w:cs="Times New Roman"/>
          <w:color w:val="auto"/>
          <w:sz w:val="28"/>
          <w:szCs w:val="36"/>
          <w:highlight w:val="none"/>
        </w:rPr>
        <w:t>、租赁</w:t>
      </w:r>
      <w:r>
        <w:rPr>
          <w:rFonts w:hint="default" w:ascii="Times New Roman" w:hAnsi="Times New Roman" w:eastAsia="宋体" w:cs="Times New Roman"/>
          <w:color w:val="auto"/>
          <w:sz w:val="28"/>
          <w:szCs w:val="36"/>
          <w:highlight w:val="none"/>
        </w:rPr>
        <w:t>合同</w:t>
      </w:r>
    </w:p>
    <w:p w14:paraId="08A38EE2">
      <w:pPr>
        <w:spacing w:line="360" w:lineRule="auto"/>
        <w:rPr>
          <w:rFonts w:hint="eastAsia" w:cs="Times New Roman"/>
          <w:color w:val="auto"/>
          <w:sz w:val="28"/>
          <w:szCs w:val="36"/>
          <w:highlight w:val="none"/>
          <w:lang w:val="en-US" w:eastAsia="zh-CN"/>
        </w:rPr>
      </w:pPr>
      <w:r>
        <w:rPr>
          <w:rFonts w:hint="default" w:ascii="Times New Roman" w:hAnsi="Times New Roman" w:cs="Times New Roman"/>
          <w:color w:val="auto"/>
          <w:sz w:val="28"/>
          <w:szCs w:val="36"/>
          <w:highlight w:val="none"/>
          <w:lang w:val="en-US" w:eastAsia="zh-CN"/>
        </w:rPr>
        <w:t>附件6、</w:t>
      </w:r>
      <w:r>
        <w:rPr>
          <w:rFonts w:hint="default" w:ascii="Times New Roman" w:hAnsi="Times New Roman" w:eastAsia="宋体" w:cs="Times New Roman"/>
          <w:color w:val="auto"/>
          <w:sz w:val="28"/>
          <w:szCs w:val="36"/>
          <w:highlight w:val="none"/>
          <w:lang w:val="en-US" w:eastAsia="zh-CN"/>
        </w:rPr>
        <w:t>淄博市生态环境局关于</w:t>
      </w:r>
      <w:r>
        <w:rPr>
          <w:rFonts w:hint="default" w:ascii="Times New Roman" w:hAnsi="Times New Roman" w:eastAsia="宋体" w:cs="Times New Roman"/>
          <w:color w:val="auto"/>
          <w:sz w:val="28"/>
          <w:szCs w:val="36"/>
          <w:highlight w:val="none"/>
          <w:lang w:eastAsia="zh-CN"/>
        </w:rPr>
        <w:t>《</w:t>
      </w:r>
      <w:r>
        <w:rPr>
          <w:rFonts w:hint="default" w:ascii="Times New Roman" w:hAnsi="Times New Roman" w:eastAsia="宋体" w:cs="Times New Roman"/>
          <w:color w:val="auto"/>
          <w:sz w:val="28"/>
          <w:szCs w:val="36"/>
          <w:highlight w:val="none"/>
          <w:lang w:val="en-US" w:eastAsia="zh-CN"/>
        </w:rPr>
        <w:t>淄川区双杨镇工业聚集区总体规划（2021-2035年）环境影响报告书</w:t>
      </w:r>
      <w:r>
        <w:rPr>
          <w:rFonts w:hint="default" w:ascii="Times New Roman" w:hAnsi="Times New Roman" w:eastAsia="宋体" w:cs="Times New Roman"/>
          <w:color w:val="auto"/>
          <w:sz w:val="28"/>
          <w:szCs w:val="36"/>
          <w:highlight w:val="none"/>
          <w:lang w:eastAsia="zh-CN"/>
        </w:rPr>
        <w:t>》</w:t>
      </w:r>
      <w:r>
        <w:rPr>
          <w:rFonts w:hint="default" w:ascii="Times New Roman" w:hAnsi="Times New Roman" w:eastAsia="宋体" w:cs="Times New Roman"/>
          <w:color w:val="auto"/>
          <w:sz w:val="28"/>
          <w:szCs w:val="36"/>
          <w:highlight w:val="none"/>
          <w:lang w:val="en-US" w:eastAsia="zh-CN"/>
        </w:rPr>
        <w:t>的审查意见</w:t>
      </w:r>
      <w:r>
        <w:rPr>
          <w:rFonts w:hint="eastAsia" w:cs="Times New Roman"/>
          <w:color w:val="auto"/>
          <w:sz w:val="28"/>
          <w:szCs w:val="36"/>
          <w:highlight w:val="none"/>
          <w:lang w:val="en-US" w:eastAsia="zh-CN"/>
        </w:rPr>
        <w:t>。</w:t>
      </w:r>
    </w:p>
    <w:p w14:paraId="31B9B1DA">
      <w:pPr>
        <w:pStyle w:val="2"/>
        <w:ind w:left="0" w:leftChars="0" w:firstLine="0" w:firstLineChars="0"/>
        <w:rPr>
          <w:rFonts w:hint="default"/>
          <w:lang w:val="en-US" w:eastAsia="zh-CN"/>
        </w:rPr>
      </w:pPr>
      <w:r>
        <w:rPr>
          <w:rFonts w:hint="eastAsia" w:cs="Times New Roman"/>
          <w:color w:val="auto"/>
          <w:sz w:val="28"/>
          <w:szCs w:val="36"/>
          <w:highlight w:val="none"/>
          <w:lang w:val="en-US" w:eastAsia="zh-CN"/>
        </w:rPr>
        <w:t>附件7、高纯晶体氧化铝粉成分检测报告</w:t>
      </w:r>
    </w:p>
    <w:p w14:paraId="5B551CDD">
      <w:pPr>
        <w:pStyle w:val="2"/>
        <w:ind w:left="0" w:leftChars="0" w:firstLine="0" w:firstLineChars="0"/>
        <w:rPr>
          <w:rFonts w:hint="default"/>
          <w:lang w:val="en-US" w:eastAsia="zh-CN"/>
        </w:rPr>
      </w:pPr>
      <w:r>
        <w:rPr>
          <w:rFonts w:hint="eastAsia" w:cs="Times New Roman"/>
          <w:color w:val="auto"/>
          <w:sz w:val="28"/>
          <w:szCs w:val="36"/>
          <w:highlight w:val="none"/>
          <w:lang w:val="en-US" w:eastAsia="zh-CN"/>
        </w:rPr>
        <w:t>附件8、环境风险评价专项报告</w:t>
      </w:r>
    </w:p>
    <w:p w14:paraId="52974FA5">
      <w:pPr>
        <w:spacing w:line="360" w:lineRule="auto"/>
        <w:rPr>
          <w:rFonts w:hint="default" w:ascii="Times New Roman" w:hAnsi="Times New Roman" w:cs="Times New Roman"/>
          <w:b/>
          <w:bCs/>
          <w:color w:val="auto"/>
          <w:sz w:val="32"/>
          <w:szCs w:val="40"/>
          <w:highlight w:val="none"/>
        </w:rPr>
      </w:pPr>
      <w:r>
        <w:rPr>
          <w:rFonts w:hint="default" w:ascii="Times New Roman" w:hAnsi="Times New Roman" w:cs="Times New Roman"/>
          <w:b/>
          <w:bCs/>
          <w:color w:val="auto"/>
          <w:sz w:val="32"/>
          <w:szCs w:val="40"/>
          <w:highlight w:val="none"/>
          <w:lang w:val="en-US" w:eastAsia="zh-CN"/>
        </w:rPr>
        <w:t>二</w:t>
      </w:r>
      <w:r>
        <w:rPr>
          <w:rFonts w:hint="default" w:ascii="Times New Roman" w:hAnsi="Times New Roman" w:cs="Times New Roman"/>
          <w:b/>
          <w:bCs/>
          <w:color w:val="auto"/>
          <w:sz w:val="32"/>
          <w:szCs w:val="40"/>
          <w:highlight w:val="none"/>
        </w:rPr>
        <w:t>、附图</w:t>
      </w:r>
    </w:p>
    <w:p w14:paraId="70051379">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附图1、项目地理位置图</w:t>
      </w:r>
    </w:p>
    <w:p w14:paraId="09947044">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附图2、周边敏感目标分布图</w:t>
      </w:r>
    </w:p>
    <w:p w14:paraId="6B230A55">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附图3、项目周边环境概况图</w:t>
      </w:r>
      <w:r>
        <w:rPr>
          <w:rFonts w:hint="default" w:ascii="Times New Roman" w:hAnsi="Times New Roman" w:eastAsia="宋体" w:cs="Times New Roman"/>
          <w:color w:val="auto"/>
          <w:sz w:val="28"/>
          <w:szCs w:val="36"/>
          <w:highlight w:val="none"/>
          <w:lang w:val="en-US" w:eastAsia="zh-CN"/>
        </w:rPr>
        <w:drawing>
          <wp:anchor distT="0" distB="0" distL="114300" distR="114300" simplePos="0" relativeHeight="251694080" behindDoc="0" locked="0" layoutInCell="1" allowOverlap="1">
            <wp:simplePos x="0" y="0"/>
            <wp:positionH relativeFrom="column">
              <wp:posOffset>7745730</wp:posOffset>
            </wp:positionH>
            <wp:positionV relativeFrom="paragraph">
              <wp:posOffset>208915</wp:posOffset>
            </wp:positionV>
            <wp:extent cx="1474470" cy="1376680"/>
            <wp:effectExtent l="0" t="0" r="11430" b="13970"/>
            <wp:wrapNone/>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p>
    <w:p w14:paraId="21436990">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w:t>
      </w:r>
      <w:r>
        <w:rPr>
          <w:rFonts w:hint="eastAsia" w:cs="Times New Roman"/>
          <w:color w:val="auto"/>
          <w:sz w:val="28"/>
          <w:szCs w:val="36"/>
          <w:highlight w:val="none"/>
          <w:lang w:val="en-US" w:eastAsia="zh-CN"/>
        </w:rPr>
        <w:t>4</w:t>
      </w:r>
      <w:r>
        <w:rPr>
          <w:rFonts w:hint="default" w:ascii="Times New Roman" w:hAnsi="Times New Roman" w:eastAsia="宋体" w:cs="Times New Roman"/>
          <w:color w:val="auto"/>
          <w:sz w:val="28"/>
          <w:szCs w:val="36"/>
          <w:highlight w:val="none"/>
          <w:lang w:val="en-US" w:eastAsia="zh-CN"/>
        </w:rPr>
        <w:t>、项目厂区平面布置图</w:t>
      </w:r>
    </w:p>
    <w:p w14:paraId="53C486ED">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w:t>
      </w:r>
      <w:r>
        <w:rPr>
          <w:rFonts w:hint="eastAsia" w:cs="Times New Roman"/>
          <w:color w:val="auto"/>
          <w:sz w:val="28"/>
          <w:szCs w:val="36"/>
          <w:highlight w:val="none"/>
          <w:lang w:val="en-US" w:eastAsia="zh-CN"/>
        </w:rPr>
        <w:t>5</w:t>
      </w:r>
      <w:r>
        <w:rPr>
          <w:rFonts w:hint="default" w:ascii="Times New Roman" w:hAnsi="Times New Roman" w:eastAsia="宋体" w:cs="Times New Roman"/>
          <w:color w:val="auto"/>
          <w:sz w:val="28"/>
          <w:szCs w:val="36"/>
          <w:highlight w:val="none"/>
          <w:lang w:val="en-US" w:eastAsia="zh-CN"/>
        </w:rPr>
        <w:t>、淄博市淄川区三区三线分布图</w:t>
      </w:r>
    </w:p>
    <w:p w14:paraId="5706EF8E">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w:t>
      </w:r>
      <w:r>
        <w:rPr>
          <w:rFonts w:hint="eastAsia" w:cs="Times New Roman"/>
          <w:color w:val="auto"/>
          <w:sz w:val="28"/>
          <w:szCs w:val="36"/>
          <w:highlight w:val="none"/>
          <w:lang w:val="en-US" w:eastAsia="zh-CN"/>
        </w:rPr>
        <w:t>6</w:t>
      </w:r>
      <w:r>
        <w:rPr>
          <w:rFonts w:hint="default" w:ascii="Times New Roman" w:hAnsi="Times New Roman" w:eastAsia="宋体" w:cs="Times New Roman"/>
          <w:color w:val="auto"/>
          <w:sz w:val="28"/>
          <w:szCs w:val="36"/>
          <w:highlight w:val="none"/>
          <w:lang w:val="en-US" w:eastAsia="zh-CN"/>
        </w:rPr>
        <w:t>、淄博市环境管控单元分布图</w:t>
      </w:r>
    </w:p>
    <w:p w14:paraId="437833A1">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w:t>
      </w:r>
      <w:r>
        <w:rPr>
          <w:rFonts w:hint="eastAsia" w:cs="Times New Roman"/>
          <w:color w:val="auto"/>
          <w:sz w:val="28"/>
          <w:szCs w:val="36"/>
          <w:highlight w:val="none"/>
          <w:lang w:val="en-US" w:eastAsia="zh-CN"/>
        </w:rPr>
        <w:t>7</w:t>
      </w:r>
      <w:r>
        <w:rPr>
          <w:rFonts w:hint="default" w:ascii="Times New Roman" w:hAnsi="Times New Roman" w:eastAsia="宋体" w:cs="Times New Roman"/>
          <w:color w:val="auto"/>
          <w:sz w:val="28"/>
          <w:szCs w:val="36"/>
          <w:highlight w:val="none"/>
          <w:lang w:val="en-US" w:eastAsia="zh-CN"/>
        </w:rPr>
        <w:t>、本项目与双杨镇工业集聚区的位置关系图</w:t>
      </w:r>
    </w:p>
    <w:p w14:paraId="6E01D662">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w:t>
      </w:r>
      <w:r>
        <w:rPr>
          <w:rFonts w:hint="eastAsia" w:cs="Times New Roman"/>
          <w:color w:val="auto"/>
          <w:sz w:val="28"/>
          <w:szCs w:val="36"/>
          <w:highlight w:val="none"/>
          <w:lang w:val="en-US" w:eastAsia="zh-CN"/>
        </w:rPr>
        <w:t>8</w:t>
      </w:r>
      <w:r>
        <w:rPr>
          <w:rFonts w:hint="default" w:ascii="Times New Roman" w:hAnsi="Times New Roman" w:eastAsia="宋体" w:cs="Times New Roman"/>
          <w:color w:val="auto"/>
          <w:sz w:val="28"/>
          <w:szCs w:val="36"/>
          <w:highlight w:val="none"/>
          <w:lang w:val="en-US" w:eastAsia="zh-CN"/>
        </w:rPr>
        <w:t>、声环境功能区划位置关系图</w:t>
      </w:r>
    </w:p>
    <w:p w14:paraId="23B63617">
      <w:pPr>
        <w:spacing w:line="360" w:lineRule="auto"/>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附图</w:t>
      </w:r>
      <w:r>
        <w:rPr>
          <w:rFonts w:hint="eastAsia" w:cs="Times New Roman"/>
          <w:color w:val="auto"/>
          <w:sz w:val="28"/>
          <w:szCs w:val="36"/>
          <w:highlight w:val="none"/>
          <w:lang w:val="en-US" w:eastAsia="zh-CN"/>
        </w:rPr>
        <w:t>9</w:t>
      </w:r>
      <w:r>
        <w:rPr>
          <w:rFonts w:hint="default" w:ascii="Times New Roman" w:hAnsi="Times New Roman" w:eastAsia="宋体" w:cs="Times New Roman"/>
          <w:color w:val="auto"/>
          <w:sz w:val="28"/>
          <w:szCs w:val="36"/>
          <w:highlight w:val="none"/>
          <w:lang w:val="en-US" w:eastAsia="zh-CN"/>
        </w:rPr>
        <w:t>、工程师现场勘查照片</w:t>
      </w:r>
    </w:p>
    <w:p w14:paraId="41FA1AE8">
      <w:pPr>
        <w:rPr>
          <w:rFonts w:hint="default" w:ascii="Times New Roman" w:hAnsi="Times New Roman" w:cs="Times New Roman"/>
          <w:color w:val="auto"/>
        </w:rPr>
      </w:pPr>
    </w:p>
    <w:p w14:paraId="16D8FADA">
      <w:pPr>
        <w:spacing w:line="800" w:lineRule="exact"/>
        <w:textAlignment w:val="baseline"/>
        <w:outlineLvl w:val="2"/>
        <w:rPr>
          <w:rFonts w:hint="default" w:ascii="Times New Roman" w:hAnsi="Times New Roman" w:cs="Times New Roman"/>
          <w:b/>
          <w:color w:val="auto"/>
          <w:sz w:val="44"/>
          <w:szCs w:val="44"/>
        </w:rPr>
        <w:sectPr>
          <w:pgSz w:w="11906" w:h="16838"/>
          <w:pgMar w:top="1417" w:right="1134" w:bottom="1417" w:left="1134" w:header="851" w:footer="850" w:gutter="0"/>
          <w:pgBorders>
            <w:top w:val="none" w:sz="0" w:space="0"/>
            <w:left w:val="none" w:sz="0" w:space="0"/>
            <w:bottom w:val="none" w:sz="0" w:space="0"/>
            <w:right w:val="none" w:sz="0" w:space="0"/>
          </w:pgBorders>
          <w:pgNumType w:fmt="numberInDash"/>
          <w:cols w:space="720" w:num="1"/>
          <w:docGrid w:linePitch="312" w:charSpace="0"/>
        </w:sectPr>
      </w:pPr>
    </w:p>
    <w:p w14:paraId="452B1C74">
      <w:pPr>
        <w:ind w:left="-745" w:leftChars="-355" w:firstLine="964" w:firstLineChars="400"/>
        <w:outlineLvl w:val="0"/>
        <w:rPr>
          <w:rFonts w:ascii="宋体" w:hAnsi="宋体" w:cs="宋体"/>
          <w:b/>
          <w:bCs/>
          <w:color w:val="000000"/>
          <w:sz w:val="24"/>
          <w:highlight w:val="none"/>
        </w:rPr>
      </w:pPr>
      <w:r>
        <w:rPr>
          <w:rFonts w:hint="eastAsia" w:ascii="宋体" w:hAnsi="宋体" w:cs="宋体"/>
          <w:b/>
          <w:bCs/>
          <w:color w:val="000000"/>
          <w:sz w:val="24"/>
          <w:highlight w:val="none"/>
        </w:rPr>
        <w:t>附件1、委托书</w:t>
      </w:r>
    </w:p>
    <w:p w14:paraId="727B2C26">
      <w:pPr>
        <w:pStyle w:val="2"/>
        <w:rPr>
          <w:color w:val="000000"/>
          <w:highlight w:val="none"/>
        </w:rPr>
      </w:pPr>
    </w:p>
    <w:p w14:paraId="5B3D13F7">
      <w:pPr>
        <w:spacing w:line="800" w:lineRule="exact"/>
        <w:jc w:val="center"/>
        <w:textAlignment w:val="baseline"/>
        <w:rPr>
          <w:b/>
          <w:color w:val="000000"/>
          <w:sz w:val="44"/>
          <w:szCs w:val="44"/>
          <w:highlight w:val="none"/>
        </w:rPr>
      </w:pPr>
    </w:p>
    <w:p w14:paraId="354D2CFF">
      <w:pPr>
        <w:spacing w:line="800" w:lineRule="exact"/>
        <w:jc w:val="center"/>
        <w:textAlignment w:val="baseline"/>
        <w:rPr>
          <w:b/>
          <w:color w:val="000000"/>
          <w:sz w:val="44"/>
          <w:szCs w:val="44"/>
          <w:highlight w:val="none"/>
        </w:rPr>
      </w:pPr>
      <w:r>
        <w:rPr>
          <w:b/>
          <w:color w:val="000000"/>
          <w:sz w:val="44"/>
          <w:szCs w:val="44"/>
          <w:highlight w:val="none"/>
        </w:rPr>
        <w:t>委 托 书</w:t>
      </w:r>
    </w:p>
    <w:p w14:paraId="7D61442C">
      <w:pPr>
        <w:spacing w:line="480" w:lineRule="auto"/>
        <w:textAlignment w:val="baseline"/>
        <w:rPr>
          <w:rFonts w:hint="eastAsia"/>
          <w:bCs/>
          <w:color w:val="000000"/>
          <w:sz w:val="32"/>
          <w:szCs w:val="32"/>
          <w:highlight w:val="none"/>
        </w:rPr>
      </w:pPr>
    </w:p>
    <w:p w14:paraId="534A5599">
      <w:pPr>
        <w:spacing w:line="480" w:lineRule="auto"/>
        <w:textAlignment w:val="baseline"/>
        <w:rPr>
          <w:rFonts w:hint="eastAsia"/>
          <w:bCs/>
          <w:color w:val="000000"/>
          <w:sz w:val="32"/>
          <w:szCs w:val="32"/>
          <w:highlight w:val="none"/>
        </w:rPr>
      </w:pPr>
      <w:r>
        <w:rPr>
          <w:rFonts w:hint="eastAsia"/>
          <w:bCs/>
          <w:color w:val="000000"/>
          <w:sz w:val="32"/>
          <w:szCs w:val="32"/>
          <w:highlight w:val="none"/>
        </w:rPr>
        <w:t>淄博嘉泽瑞安工程技术服务有限公司：</w:t>
      </w:r>
    </w:p>
    <w:p w14:paraId="2CD34454">
      <w:pPr>
        <w:spacing w:line="480" w:lineRule="auto"/>
        <w:ind w:firstLine="643"/>
        <w:rPr>
          <w:bCs/>
          <w:color w:val="000000"/>
          <w:sz w:val="32"/>
          <w:szCs w:val="32"/>
          <w:highlight w:val="none"/>
        </w:rPr>
      </w:pPr>
    </w:p>
    <w:p w14:paraId="35351C2B">
      <w:pPr>
        <w:spacing w:line="480" w:lineRule="auto"/>
        <w:ind w:firstLine="643"/>
        <w:rPr>
          <w:bCs/>
          <w:color w:val="000000"/>
          <w:sz w:val="32"/>
          <w:szCs w:val="32"/>
          <w:highlight w:val="none"/>
        </w:rPr>
      </w:pPr>
      <w:r>
        <w:rPr>
          <w:bCs/>
          <w:color w:val="000000"/>
          <w:sz w:val="32"/>
          <w:szCs w:val="32"/>
          <w:highlight w:val="none"/>
        </w:rPr>
        <w:t>根据国家《建设项目环境保护管理条例》和当地环保部门的要求</w:t>
      </w:r>
      <w:r>
        <w:rPr>
          <w:rFonts w:hint="eastAsia"/>
          <w:bCs/>
          <w:color w:val="000000"/>
          <w:sz w:val="32"/>
          <w:szCs w:val="32"/>
          <w:highlight w:val="none"/>
        </w:rPr>
        <w:t>，</w:t>
      </w:r>
      <w:r>
        <w:rPr>
          <w:rFonts w:hint="eastAsia"/>
          <w:bCs/>
          <w:color w:val="000000"/>
          <w:sz w:val="32"/>
          <w:szCs w:val="32"/>
          <w:highlight w:val="none"/>
          <w:u w:val="single"/>
          <w:lang w:eastAsia="zh-CN"/>
        </w:rPr>
        <w:t>年产36000吨新能源电池用高纯晶体纳米新材料项目</w:t>
      </w:r>
      <w:r>
        <w:rPr>
          <w:bCs/>
          <w:color w:val="000000"/>
          <w:sz w:val="32"/>
          <w:szCs w:val="32"/>
          <w:highlight w:val="none"/>
        </w:rPr>
        <w:t>需执行环境影响评价制度，今委托贵公司承担该项目环境影响评价报告表的编制。</w:t>
      </w:r>
    </w:p>
    <w:p w14:paraId="5D5AD51A">
      <w:pPr>
        <w:spacing w:line="580" w:lineRule="exact"/>
        <w:ind w:firstLine="482"/>
        <w:textAlignment w:val="baseline"/>
        <w:rPr>
          <w:bCs/>
          <w:color w:val="000000"/>
          <w:highlight w:val="none"/>
        </w:rPr>
      </w:pPr>
    </w:p>
    <w:p w14:paraId="7B74463A">
      <w:pPr>
        <w:spacing w:line="580" w:lineRule="exact"/>
        <w:ind w:firstLine="482"/>
        <w:textAlignment w:val="baseline"/>
        <w:rPr>
          <w:bCs/>
          <w:color w:val="000000"/>
          <w:highlight w:val="none"/>
        </w:rPr>
      </w:pPr>
    </w:p>
    <w:p w14:paraId="3020E44C">
      <w:pPr>
        <w:spacing w:line="580" w:lineRule="exact"/>
        <w:ind w:firstLine="482"/>
        <w:textAlignment w:val="baseline"/>
        <w:rPr>
          <w:bCs/>
          <w:color w:val="000000"/>
          <w:highlight w:val="none"/>
        </w:rPr>
      </w:pPr>
    </w:p>
    <w:p w14:paraId="0294A5CF">
      <w:pPr>
        <w:spacing w:line="580" w:lineRule="exact"/>
        <w:ind w:firstLine="482"/>
        <w:textAlignment w:val="baseline"/>
        <w:rPr>
          <w:bCs/>
          <w:color w:val="000000"/>
          <w:highlight w:val="none"/>
        </w:rPr>
      </w:pPr>
    </w:p>
    <w:p w14:paraId="01162AD6">
      <w:pPr>
        <w:ind w:firstLine="643"/>
        <w:rPr>
          <w:bCs/>
          <w:color w:val="000000"/>
          <w:sz w:val="32"/>
          <w:szCs w:val="32"/>
          <w:highlight w:val="none"/>
        </w:rPr>
      </w:pPr>
    </w:p>
    <w:p w14:paraId="63D8E466">
      <w:pPr>
        <w:spacing w:line="360" w:lineRule="auto"/>
        <w:ind w:firstLine="643"/>
        <w:rPr>
          <w:rFonts w:hint="eastAsia" w:eastAsia="宋体"/>
          <w:bCs/>
          <w:color w:val="000000"/>
          <w:sz w:val="32"/>
          <w:szCs w:val="32"/>
          <w:highlight w:val="none"/>
          <w:lang w:eastAsia="zh-CN"/>
        </w:rPr>
      </w:pPr>
      <w:r>
        <w:rPr>
          <w:rFonts w:hint="eastAsia"/>
          <w:bCs/>
          <w:color w:val="000000"/>
          <w:sz w:val="30"/>
          <w:szCs w:val="30"/>
          <w:highlight w:val="none"/>
        </w:rPr>
        <w:t xml:space="preserve">                   </w:t>
      </w:r>
      <w:r>
        <w:rPr>
          <w:bCs/>
          <w:color w:val="000000"/>
          <w:sz w:val="32"/>
          <w:szCs w:val="32"/>
          <w:highlight w:val="none"/>
        </w:rPr>
        <w:t>委托方</w:t>
      </w:r>
      <w:r>
        <w:rPr>
          <w:rFonts w:hint="eastAsia"/>
          <w:bCs/>
          <w:color w:val="000000"/>
          <w:sz w:val="32"/>
          <w:szCs w:val="32"/>
          <w:highlight w:val="none"/>
        </w:rPr>
        <w:t>：</w:t>
      </w:r>
      <w:r>
        <w:rPr>
          <w:rFonts w:hint="eastAsia"/>
          <w:bCs/>
          <w:color w:val="000000"/>
          <w:sz w:val="32"/>
          <w:szCs w:val="32"/>
          <w:highlight w:val="none"/>
          <w:lang w:eastAsia="zh-CN"/>
        </w:rPr>
        <w:t>淄博鸿安铝业有限公司</w:t>
      </w:r>
    </w:p>
    <w:p w14:paraId="5EE6121B">
      <w:pPr>
        <w:spacing w:line="360" w:lineRule="auto"/>
        <w:ind w:firstLine="4480" w:firstLineChars="1400"/>
        <w:rPr>
          <w:bCs/>
          <w:color w:val="000000"/>
          <w:sz w:val="32"/>
          <w:szCs w:val="32"/>
          <w:highlight w:val="none"/>
        </w:rPr>
      </w:pPr>
      <w:r>
        <w:rPr>
          <w:bCs/>
          <w:color w:val="000000"/>
          <w:sz w:val="32"/>
          <w:szCs w:val="32"/>
          <w:highlight w:val="none"/>
        </w:rPr>
        <w:t>委托时间：</w:t>
      </w:r>
      <w:r>
        <w:rPr>
          <w:rFonts w:hint="eastAsia"/>
          <w:bCs/>
          <w:color w:val="000000"/>
          <w:sz w:val="32"/>
          <w:szCs w:val="32"/>
          <w:highlight w:val="none"/>
        </w:rPr>
        <w:t>202</w:t>
      </w:r>
      <w:r>
        <w:rPr>
          <w:rFonts w:hint="eastAsia"/>
          <w:bCs/>
          <w:color w:val="000000"/>
          <w:sz w:val="32"/>
          <w:szCs w:val="32"/>
          <w:highlight w:val="none"/>
          <w:lang w:val="en-US" w:eastAsia="zh-CN"/>
        </w:rPr>
        <w:t>5</w:t>
      </w:r>
      <w:r>
        <w:rPr>
          <w:bCs/>
          <w:color w:val="000000"/>
          <w:sz w:val="32"/>
          <w:szCs w:val="32"/>
          <w:highlight w:val="none"/>
        </w:rPr>
        <w:t>年</w:t>
      </w:r>
      <w:r>
        <w:rPr>
          <w:rFonts w:hint="eastAsia"/>
          <w:bCs/>
          <w:color w:val="000000"/>
          <w:sz w:val="32"/>
          <w:szCs w:val="32"/>
          <w:highlight w:val="none"/>
          <w:lang w:val="en-US" w:eastAsia="zh-CN"/>
        </w:rPr>
        <w:t>06</w:t>
      </w:r>
      <w:r>
        <w:rPr>
          <w:bCs/>
          <w:color w:val="000000"/>
          <w:sz w:val="32"/>
          <w:szCs w:val="32"/>
          <w:highlight w:val="none"/>
        </w:rPr>
        <w:t>月</w:t>
      </w:r>
    </w:p>
    <w:p w14:paraId="7E2465D4">
      <w:pPr>
        <w:jc w:val="center"/>
        <w:rPr>
          <w:color w:val="000000"/>
          <w:highlight w:val="none"/>
        </w:rPr>
      </w:pPr>
    </w:p>
    <w:p w14:paraId="6348B0C9">
      <w:pPr>
        <w:jc w:val="center"/>
        <w:rPr>
          <w:rFonts w:hint="eastAsia"/>
          <w:color w:val="000000"/>
          <w:highlight w:val="none"/>
        </w:rPr>
      </w:pPr>
    </w:p>
    <w:p w14:paraId="338AA85A">
      <w:pPr>
        <w:jc w:val="center"/>
        <w:rPr>
          <w:rFonts w:hint="eastAsia"/>
          <w:color w:val="000000"/>
          <w:highlight w:val="none"/>
        </w:rPr>
      </w:pPr>
    </w:p>
    <w:p w14:paraId="7D18C181">
      <w:pPr>
        <w:jc w:val="center"/>
        <w:rPr>
          <w:rFonts w:hint="eastAsia"/>
          <w:color w:val="000000"/>
          <w:highlight w:val="none"/>
        </w:rPr>
      </w:pPr>
    </w:p>
    <w:p w14:paraId="23EE5A5B">
      <w:pPr>
        <w:jc w:val="center"/>
        <w:rPr>
          <w:rFonts w:hint="eastAsia"/>
          <w:color w:val="000000"/>
          <w:highlight w:val="none"/>
        </w:rPr>
      </w:pPr>
    </w:p>
    <w:p w14:paraId="39C2CAD0">
      <w:pPr>
        <w:jc w:val="center"/>
        <w:rPr>
          <w:color w:val="000000"/>
          <w:highlight w:val="none"/>
        </w:rPr>
      </w:pPr>
      <w:r>
        <w:rPr>
          <w:rFonts w:hint="eastAsia"/>
          <w:color w:val="000000"/>
          <w:highlight w:val="none"/>
        </w:rPr>
        <w:t xml:space="preserve">        </w:t>
      </w:r>
    </w:p>
    <w:p w14:paraId="24B6D668">
      <w:pPr>
        <w:ind w:left="-745" w:leftChars="-355" w:firstLine="964" w:firstLineChars="400"/>
        <w:outlineLvl w:val="0"/>
        <w:rPr>
          <w:rFonts w:ascii="宋体" w:hAnsi="宋体" w:cs="宋体"/>
          <w:b/>
          <w:bCs/>
          <w:color w:val="000000"/>
          <w:sz w:val="24"/>
          <w:highlight w:val="none"/>
        </w:rPr>
      </w:pPr>
      <w:r>
        <w:rPr>
          <w:rFonts w:hint="eastAsia" w:ascii="宋体" w:hAnsi="宋体" w:cs="宋体"/>
          <w:b/>
          <w:bCs/>
          <w:color w:val="000000"/>
          <w:sz w:val="24"/>
          <w:highlight w:val="none"/>
        </w:rPr>
        <w:br w:type="page"/>
      </w:r>
      <w:r>
        <w:rPr>
          <w:rFonts w:hint="eastAsia" w:ascii="宋体" w:hAnsi="宋体" w:cs="宋体"/>
          <w:b/>
          <w:bCs/>
          <w:color w:val="000000"/>
          <w:sz w:val="24"/>
          <w:highlight w:val="none"/>
        </w:rPr>
        <w:t>附件2、企业声明</w:t>
      </w:r>
    </w:p>
    <w:p w14:paraId="29AED928">
      <w:pPr>
        <w:rPr>
          <w:color w:val="000000"/>
          <w:highlight w:val="none"/>
        </w:rPr>
      </w:pPr>
    </w:p>
    <w:p w14:paraId="389E1535">
      <w:pPr>
        <w:rPr>
          <w:color w:val="000000"/>
          <w:highlight w:val="none"/>
        </w:rPr>
      </w:pPr>
    </w:p>
    <w:p w14:paraId="5D013656">
      <w:pPr>
        <w:rPr>
          <w:color w:val="000000"/>
          <w:highlight w:val="none"/>
        </w:rPr>
      </w:pPr>
    </w:p>
    <w:p w14:paraId="03EBDF86">
      <w:pPr>
        <w:rPr>
          <w:color w:val="000000"/>
          <w:highlight w:val="none"/>
        </w:rPr>
      </w:pPr>
    </w:p>
    <w:p w14:paraId="4E5AF89D">
      <w:pPr>
        <w:spacing w:line="360" w:lineRule="auto"/>
        <w:jc w:val="center"/>
        <w:rPr>
          <w:rFonts w:hAnsi="宋体"/>
          <w:b/>
          <w:color w:val="000000"/>
          <w:sz w:val="56"/>
          <w:szCs w:val="56"/>
          <w:highlight w:val="none"/>
        </w:rPr>
      </w:pPr>
      <w:r>
        <w:rPr>
          <w:rFonts w:hint="eastAsia"/>
          <w:b/>
          <w:color w:val="000000"/>
          <w:sz w:val="40"/>
          <w:szCs w:val="40"/>
          <w:highlight w:val="none"/>
        </w:rPr>
        <w:t>企业声明</w:t>
      </w:r>
    </w:p>
    <w:p w14:paraId="023749F0">
      <w:pPr>
        <w:spacing w:line="360" w:lineRule="auto"/>
        <w:ind w:firstLine="600" w:firstLineChars="200"/>
        <w:jc w:val="left"/>
        <w:rPr>
          <w:rFonts w:hint="eastAsia"/>
          <w:bCs/>
          <w:color w:val="000000"/>
          <w:sz w:val="30"/>
          <w:szCs w:val="30"/>
          <w:highlight w:val="none"/>
        </w:rPr>
      </w:pPr>
      <w:r>
        <w:rPr>
          <w:rFonts w:hint="eastAsia"/>
          <w:bCs/>
          <w:color w:val="000000"/>
          <w:sz w:val="30"/>
          <w:szCs w:val="30"/>
          <w:highlight w:val="none"/>
          <w:lang w:eastAsia="zh-CN"/>
        </w:rPr>
        <w:t>年产36000吨新能源电池用高纯晶体纳米新材料项目</w:t>
      </w:r>
      <w:r>
        <w:rPr>
          <w:rFonts w:hint="eastAsia"/>
          <w:bCs/>
          <w:color w:val="000000"/>
          <w:sz w:val="30"/>
          <w:szCs w:val="30"/>
          <w:highlight w:val="none"/>
        </w:rPr>
        <w:t>环境影响报告表已委托淄博嘉泽瑞安工程技术服务有限公司编制完成。</w:t>
      </w:r>
    </w:p>
    <w:p w14:paraId="0BAD0DD9">
      <w:pPr>
        <w:spacing w:line="360" w:lineRule="auto"/>
        <w:ind w:firstLine="600" w:firstLineChars="200"/>
        <w:jc w:val="left"/>
        <w:rPr>
          <w:rFonts w:hint="eastAsia"/>
          <w:bCs/>
          <w:color w:val="000000"/>
          <w:sz w:val="30"/>
          <w:szCs w:val="30"/>
          <w:highlight w:val="none"/>
        </w:rPr>
      </w:pPr>
      <w:r>
        <w:rPr>
          <w:rFonts w:hint="eastAsia"/>
          <w:bCs/>
          <w:color w:val="000000"/>
          <w:sz w:val="30"/>
          <w:szCs w:val="30"/>
          <w:highlight w:val="none"/>
        </w:rPr>
        <w:t>我公司在此声明：</w:t>
      </w:r>
    </w:p>
    <w:p w14:paraId="0E7F22C3">
      <w:pPr>
        <w:spacing w:line="360" w:lineRule="auto"/>
        <w:ind w:firstLine="600" w:firstLineChars="200"/>
        <w:jc w:val="left"/>
        <w:rPr>
          <w:rFonts w:hint="eastAsia"/>
          <w:bCs/>
          <w:color w:val="000000"/>
          <w:sz w:val="30"/>
          <w:szCs w:val="30"/>
          <w:highlight w:val="none"/>
        </w:rPr>
      </w:pPr>
      <w:r>
        <w:rPr>
          <w:rFonts w:hint="eastAsia"/>
          <w:bCs/>
          <w:color w:val="000000"/>
          <w:sz w:val="30"/>
          <w:szCs w:val="30"/>
          <w:highlight w:val="none"/>
        </w:rPr>
        <w:t>1、环评过程中我公司提供给环评单位的数据、工艺、建设规模等信息均真实。</w:t>
      </w:r>
    </w:p>
    <w:p w14:paraId="5021F5F8">
      <w:pPr>
        <w:spacing w:line="360" w:lineRule="auto"/>
        <w:ind w:firstLine="600" w:firstLineChars="200"/>
        <w:jc w:val="left"/>
        <w:rPr>
          <w:rFonts w:hint="eastAsia"/>
          <w:bCs/>
          <w:color w:val="000000"/>
          <w:sz w:val="30"/>
          <w:szCs w:val="30"/>
          <w:highlight w:val="none"/>
        </w:rPr>
      </w:pPr>
      <w:r>
        <w:rPr>
          <w:rFonts w:hint="eastAsia"/>
          <w:bCs/>
          <w:color w:val="000000"/>
          <w:sz w:val="30"/>
          <w:szCs w:val="30"/>
          <w:highlight w:val="none"/>
        </w:rPr>
        <w:t>2、报告表编制完成后，经认真阅读，我单位对环评报告表中所写内容表示认可。</w:t>
      </w:r>
    </w:p>
    <w:p w14:paraId="162CF8EB">
      <w:pPr>
        <w:spacing w:line="360" w:lineRule="auto"/>
        <w:ind w:firstLine="600" w:firstLineChars="200"/>
        <w:jc w:val="left"/>
        <w:rPr>
          <w:rFonts w:hint="eastAsia"/>
          <w:bCs/>
          <w:color w:val="000000"/>
          <w:sz w:val="30"/>
          <w:szCs w:val="30"/>
          <w:highlight w:val="none"/>
        </w:rPr>
      </w:pPr>
      <w:r>
        <w:rPr>
          <w:rFonts w:hint="eastAsia"/>
          <w:bCs/>
          <w:color w:val="000000"/>
          <w:sz w:val="30"/>
          <w:szCs w:val="30"/>
          <w:highlight w:val="none"/>
        </w:rPr>
        <w:t>3、报告表内容无不宜公开信息！</w:t>
      </w:r>
    </w:p>
    <w:p w14:paraId="3456B0E3">
      <w:pPr>
        <w:spacing w:line="360" w:lineRule="auto"/>
        <w:ind w:firstLine="600" w:firstLineChars="200"/>
        <w:jc w:val="left"/>
        <w:rPr>
          <w:rFonts w:hint="eastAsia"/>
          <w:bCs/>
          <w:color w:val="000000"/>
          <w:sz w:val="30"/>
          <w:szCs w:val="30"/>
          <w:highlight w:val="none"/>
        </w:rPr>
      </w:pPr>
      <w:r>
        <w:rPr>
          <w:rFonts w:hint="eastAsia"/>
          <w:bCs/>
          <w:color w:val="000000"/>
          <w:sz w:val="30"/>
          <w:szCs w:val="30"/>
          <w:highlight w:val="none"/>
        </w:rPr>
        <w:t>环评报告表审批完成后，我公司将严格按照报告表中所列内容进行建设，同时严格落实报告表中所提各项污染防治措施和风险防范措施。如出现建设内容与报告表的审批内容不一致情况，我公司愿承担全部责任。</w:t>
      </w:r>
    </w:p>
    <w:p w14:paraId="358E292B">
      <w:pPr>
        <w:jc w:val="right"/>
        <w:rPr>
          <w:rFonts w:hint="eastAsia" w:ascii="宋体" w:hAnsi="宋体" w:cs="宋体"/>
          <w:bCs/>
          <w:color w:val="000000"/>
          <w:sz w:val="24"/>
          <w:highlight w:val="none"/>
        </w:rPr>
      </w:pPr>
    </w:p>
    <w:p w14:paraId="16717CB4">
      <w:pPr>
        <w:jc w:val="right"/>
        <w:rPr>
          <w:rFonts w:hint="eastAsia" w:ascii="宋体" w:hAnsi="宋体" w:cs="宋体"/>
          <w:bCs/>
          <w:color w:val="000000"/>
          <w:sz w:val="24"/>
          <w:highlight w:val="none"/>
        </w:rPr>
      </w:pPr>
    </w:p>
    <w:p w14:paraId="306225F8">
      <w:pPr>
        <w:pStyle w:val="12"/>
        <w:ind w:firstLine="480"/>
        <w:rPr>
          <w:rFonts w:hint="eastAsia" w:ascii="宋体" w:hAnsi="宋体" w:cs="宋体"/>
          <w:bCs/>
          <w:color w:val="000000"/>
          <w:highlight w:val="none"/>
        </w:rPr>
      </w:pPr>
    </w:p>
    <w:p w14:paraId="710AC770">
      <w:pPr>
        <w:rPr>
          <w:rFonts w:hint="eastAsia"/>
          <w:color w:val="000000"/>
          <w:sz w:val="20"/>
          <w:szCs w:val="22"/>
          <w:highlight w:val="none"/>
        </w:rPr>
      </w:pPr>
    </w:p>
    <w:p w14:paraId="2EF1E2CF">
      <w:pPr>
        <w:spacing w:line="360" w:lineRule="auto"/>
        <w:ind w:firstLine="643"/>
        <w:rPr>
          <w:rFonts w:hint="eastAsia" w:eastAsia="宋体"/>
          <w:bCs/>
          <w:color w:val="000000"/>
          <w:sz w:val="28"/>
          <w:szCs w:val="28"/>
          <w:highlight w:val="none"/>
          <w:lang w:eastAsia="zh-CN"/>
        </w:rPr>
      </w:pPr>
      <w:r>
        <w:rPr>
          <w:rFonts w:hint="eastAsia"/>
          <w:bCs/>
          <w:color w:val="000000"/>
          <w:sz w:val="28"/>
          <w:szCs w:val="28"/>
          <w:highlight w:val="none"/>
        </w:rPr>
        <w:t xml:space="preserve">       </w:t>
      </w:r>
      <w:r>
        <w:rPr>
          <w:bCs/>
          <w:color w:val="000000"/>
          <w:sz w:val="28"/>
          <w:szCs w:val="28"/>
          <w:highlight w:val="none"/>
        </w:rPr>
        <w:t xml:space="preserve"> </w:t>
      </w:r>
      <w:r>
        <w:rPr>
          <w:rFonts w:hint="eastAsia"/>
          <w:bCs/>
          <w:color w:val="000000"/>
          <w:sz w:val="28"/>
          <w:szCs w:val="28"/>
          <w:highlight w:val="none"/>
        </w:rPr>
        <w:t xml:space="preserve">                </w:t>
      </w:r>
      <w:r>
        <w:rPr>
          <w:rFonts w:hint="eastAsia"/>
          <w:bCs/>
          <w:color w:val="000000"/>
          <w:sz w:val="32"/>
          <w:szCs w:val="32"/>
          <w:highlight w:val="none"/>
          <w:lang w:eastAsia="zh-CN"/>
        </w:rPr>
        <w:t>淄博鸿安铝业有限公司</w:t>
      </w:r>
    </w:p>
    <w:p w14:paraId="63B60673">
      <w:pPr>
        <w:spacing w:line="360" w:lineRule="auto"/>
        <w:rPr>
          <w:rFonts w:hint="eastAsia" w:ascii="Times New Roman" w:hAnsi="Times New Roman" w:eastAsia="宋体" w:cs="Times New Roman"/>
          <w:bCs/>
          <w:color w:val="000000"/>
          <w:sz w:val="32"/>
          <w:szCs w:val="32"/>
          <w:highlight w:val="none"/>
        </w:rPr>
      </w:pPr>
      <w:r>
        <w:rPr>
          <w:rFonts w:hint="eastAsia"/>
          <w:bCs/>
          <w:color w:val="000000"/>
          <w:sz w:val="28"/>
          <w:szCs w:val="28"/>
          <w:highlight w:val="none"/>
        </w:rPr>
        <w:t xml:space="preserve">                       </w:t>
      </w:r>
      <w:r>
        <w:rPr>
          <w:bCs/>
          <w:color w:val="000000"/>
          <w:sz w:val="28"/>
          <w:szCs w:val="28"/>
          <w:highlight w:val="none"/>
        </w:rPr>
        <w:t xml:space="preserve"> </w:t>
      </w:r>
      <w:r>
        <w:rPr>
          <w:rFonts w:hint="eastAsia"/>
          <w:bCs/>
          <w:color w:val="000000"/>
          <w:sz w:val="28"/>
          <w:szCs w:val="28"/>
          <w:highlight w:val="none"/>
        </w:rPr>
        <w:t xml:space="preserve">             </w:t>
      </w:r>
      <w:r>
        <w:rPr>
          <w:bCs/>
          <w:color w:val="000000"/>
          <w:sz w:val="28"/>
          <w:szCs w:val="28"/>
          <w:highlight w:val="none"/>
        </w:rPr>
        <w:t xml:space="preserve"> </w:t>
      </w:r>
      <w:r>
        <w:rPr>
          <w:rFonts w:hint="eastAsia"/>
          <w:bCs/>
          <w:color w:val="000000"/>
          <w:sz w:val="28"/>
          <w:szCs w:val="28"/>
          <w:highlight w:val="none"/>
        </w:rPr>
        <w:t xml:space="preserve"> </w:t>
      </w:r>
      <w:r>
        <w:rPr>
          <w:rFonts w:hint="eastAsia" w:ascii="Times New Roman" w:hAnsi="Times New Roman" w:eastAsia="宋体" w:cs="Times New Roman"/>
          <w:bCs/>
          <w:color w:val="000000"/>
          <w:sz w:val="32"/>
          <w:szCs w:val="32"/>
          <w:highlight w:val="none"/>
        </w:rPr>
        <w:t>202</w:t>
      </w:r>
      <w:r>
        <w:rPr>
          <w:rFonts w:hint="eastAsia" w:ascii="Times New Roman" w:hAnsi="Times New Roman" w:eastAsia="宋体" w:cs="Times New Roman"/>
          <w:bCs/>
          <w:color w:val="000000"/>
          <w:sz w:val="32"/>
          <w:szCs w:val="32"/>
          <w:highlight w:val="none"/>
          <w:lang w:val="en-US" w:eastAsia="zh-CN"/>
        </w:rPr>
        <w:t>5</w:t>
      </w:r>
      <w:r>
        <w:rPr>
          <w:rFonts w:hint="eastAsia" w:ascii="Times New Roman" w:hAnsi="Times New Roman" w:eastAsia="宋体" w:cs="Times New Roman"/>
          <w:bCs/>
          <w:color w:val="000000"/>
          <w:sz w:val="32"/>
          <w:szCs w:val="32"/>
          <w:highlight w:val="none"/>
        </w:rPr>
        <w:t>年0</w:t>
      </w:r>
      <w:r>
        <w:rPr>
          <w:rFonts w:hint="eastAsia" w:ascii="Times New Roman" w:hAnsi="Times New Roman" w:eastAsia="宋体" w:cs="Times New Roman"/>
          <w:bCs/>
          <w:color w:val="000000"/>
          <w:sz w:val="32"/>
          <w:szCs w:val="32"/>
          <w:highlight w:val="none"/>
          <w:lang w:val="en-US" w:eastAsia="zh-CN"/>
        </w:rPr>
        <w:t>7</w:t>
      </w:r>
      <w:r>
        <w:rPr>
          <w:rFonts w:hint="eastAsia" w:ascii="Times New Roman" w:hAnsi="Times New Roman" w:eastAsia="宋体" w:cs="Times New Roman"/>
          <w:bCs/>
          <w:color w:val="000000"/>
          <w:sz w:val="32"/>
          <w:szCs w:val="32"/>
          <w:highlight w:val="none"/>
        </w:rPr>
        <w:t>月</w:t>
      </w:r>
    </w:p>
    <w:p w14:paraId="1D0B8D92">
      <w:pPr>
        <w:rPr>
          <w:rFonts w:hint="default" w:ascii="Times New Roman" w:hAnsi="Times New Roman" w:cs="Times New Roman"/>
          <w:bCs/>
          <w:color w:val="auto"/>
          <w:sz w:val="32"/>
          <w:szCs w:val="32"/>
        </w:rPr>
      </w:pPr>
    </w:p>
    <w:p w14:paraId="7474A043">
      <w:pPr>
        <w:ind w:right="150"/>
        <w:rPr>
          <w:rFonts w:hint="default" w:ascii="Times New Roman" w:hAnsi="Times New Roman" w:cs="Times New Roman"/>
          <w:bCs/>
          <w:color w:val="auto"/>
          <w:sz w:val="30"/>
          <w:szCs w:val="30"/>
        </w:rPr>
        <w:sectPr>
          <w:footerReference r:id="rId7" w:type="default"/>
          <w:pgSz w:w="11906" w:h="16838"/>
          <w:pgMar w:top="1417" w:right="1134" w:bottom="1417" w:left="113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D187CDE">
      <w:pPr>
        <w:keepNext w:val="0"/>
        <w:keepLines w:val="0"/>
        <w:pageBreakBefore w:val="0"/>
        <w:widowControl w:val="0"/>
        <w:kinsoku/>
        <w:wordWrap/>
        <w:overflowPunct/>
        <w:topLinePunct w:val="0"/>
        <w:autoSpaceDE/>
        <w:autoSpaceDN/>
        <w:bidi w:val="0"/>
        <w:adjustRightInd/>
        <w:snapToGrid/>
        <w:spacing w:line="0" w:lineRule="atLeast"/>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附件3、营业执照</w:t>
      </w:r>
    </w:p>
    <w:p w14:paraId="1A9C4F65">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eastAsia="zh-CN"/>
        </w:rPr>
        <w:drawing>
          <wp:inline distT="0" distB="0" distL="114300" distR="114300">
            <wp:extent cx="5580380" cy="8104505"/>
            <wp:effectExtent l="0" t="0" r="10795" b="1270"/>
            <wp:docPr id="35" name="图片 231" descr="b5cb81181c5232cd764d324329823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1" descr="b5cb81181c5232cd764d3243298238a"/>
                    <pic:cNvPicPr>
                      <a:picLocks noChangeAspect="1"/>
                    </pic:cNvPicPr>
                  </pic:nvPicPr>
                  <pic:blipFill>
                    <a:blip r:embed="rId33"/>
                    <a:srcRect l="4761" t="12303" r="5798" b="29320"/>
                    <a:stretch>
                      <a:fillRect/>
                    </a:stretch>
                  </pic:blipFill>
                  <pic:spPr>
                    <a:xfrm rot="-5400000">
                      <a:off x="0" y="0"/>
                      <a:ext cx="5580380" cy="8104505"/>
                    </a:xfrm>
                    <a:prstGeom prst="rect">
                      <a:avLst/>
                    </a:prstGeom>
                    <a:noFill/>
                    <a:ln>
                      <a:noFill/>
                    </a:ln>
                  </pic:spPr>
                </pic:pic>
              </a:graphicData>
            </a:graphic>
          </wp:inline>
        </w:drawing>
      </w:r>
    </w:p>
    <w:p w14:paraId="6445A0D5">
      <w:pPr>
        <w:keepNext w:val="0"/>
        <w:keepLines w:val="0"/>
        <w:pageBreakBefore w:val="0"/>
        <w:widowControl w:val="0"/>
        <w:kinsoku/>
        <w:wordWrap/>
        <w:overflowPunct/>
        <w:topLinePunct w:val="0"/>
        <w:autoSpaceDE/>
        <w:autoSpaceDN/>
        <w:bidi w:val="0"/>
        <w:adjustRightInd/>
        <w:snapToGrid/>
        <w:spacing w:line="0" w:lineRule="atLeast"/>
        <w:textAlignment w:val="auto"/>
        <w:rPr>
          <w:rFonts w:hint="default" w:ascii="Times New Roman" w:hAnsi="Times New Roman" w:cs="Times New Roman"/>
          <w:b/>
          <w:bCs/>
          <w:color w:val="auto"/>
          <w:sz w:val="24"/>
        </w:rPr>
        <w:sectPr>
          <w:headerReference r:id="rId10" w:type="first"/>
          <w:footerReference r:id="rId13" w:type="first"/>
          <w:headerReference r:id="rId8" w:type="default"/>
          <w:footerReference r:id="rId11" w:type="default"/>
          <w:headerReference r:id="rId9" w:type="even"/>
          <w:footerReference r:id="rId12" w:type="even"/>
          <w:pgSz w:w="16838" w:h="11906" w:orient="landscape"/>
          <w:pgMar w:top="1134" w:right="1134" w:bottom="1134" w:left="113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2E6D6BD0">
      <w:pPr>
        <w:jc w:val="left"/>
        <w:rPr>
          <w:rFonts w:hint="default" w:ascii="Times New Roman" w:hAnsi="Times New Roman" w:cs="Times New Roman"/>
          <w:b/>
          <w:bCs/>
          <w:color w:val="auto"/>
          <w:sz w:val="24"/>
        </w:rPr>
      </w:pPr>
      <w:r>
        <w:rPr>
          <w:rFonts w:hint="default" w:ascii="Times New Roman" w:hAnsi="Times New Roman" w:cs="Times New Roman"/>
          <w:b/>
          <w:bCs/>
          <w:color w:val="auto"/>
          <w:sz w:val="24"/>
        </w:rPr>
        <w:t>附件4、山东省建设项目备案证明</w:t>
      </w:r>
    </w:p>
    <w:p w14:paraId="6A7B76CD">
      <w:pPr>
        <w:jc w:val="center"/>
        <w:rPr>
          <w:rFonts w:hint="eastAsia" w:ascii="Times New Roman" w:hAnsi="Times New Roman" w:eastAsia="宋体" w:cs="Times New Roman"/>
          <w:b/>
          <w:color w:val="auto"/>
          <w:sz w:val="24"/>
          <w:lang w:eastAsia="zh-CN"/>
        </w:rPr>
      </w:pPr>
      <w:r>
        <w:drawing>
          <wp:inline distT="0" distB="0" distL="114300" distR="114300">
            <wp:extent cx="5457825" cy="7572375"/>
            <wp:effectExtent l="0" t="0" r="9525" b="9525"/>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34"/>
                    <a:stretch>
                      <a:fillRect/>
                    </a:stretch>
                  </pic:blipFill>
                  <pic:spPr>
                    <a:xfrm>
                      <a:off x="0" y="0"/>
                      <a:ext cx="5457825" cy="7572375"/>
                    </a:xfrm>
                    <a:prstGeom prst="rect">
                      <a:avLst/>
                    </a:prstGeom>
                    <a:noFill/>
                    <a:ln>
                      <a:noFill/>
                    </a:ln>
                  </pic:spPr>
                </pic:pic>
              </a:graphicData>
            </a:graphic>
          </wp:inline>
        </w:drawing>
      </w:r>
    </w:p>
    <w:p w14:paraId="3A2CBD0D">
      <w:pPr>
        <w:rPr>
          <w:rFonts w:hint="default" w:ascii="Times New Roman" w:hAnsi="Times New Roman" w:cs="Times New Roman"/>
          <w:b/>
          <w:bCs/>
          <w:color w:val="auto"/>
          <w:sz w:val="24"/>
        </w:rPr>
      </w:pPr>
      <w:r>
        <w:rPr>
          <w:rFonts w:hint="default" w:ascii="Times New Roman" w:hAnsi="Times New Roman" w:cs="Times New Roman"/>
          <w:b/>
          <w:bCs/>
          <w:color w:val="auto"/>
          <w:sz w:val="24"/>
        </w:rPr>
        <w:br w:type="page"/>
      </w:r>
    </w:p>
    <w:p w14:paraId="565BC1E4">
      <w:pPr>
        <w:jc w:val="left"/>
        <w:rPr>
          <w:rFonts w:hint="default" w:ascii="Times New Roman" w:hAnsi="Times New Roman" w:cs="Times New Roman"/>
          <w:color w:val="auto"/>
        </w:rPr>
      </w:pPr>
      <w:r>
        <w:rPr>
          <w:rFonts w:hint="default" w:ascii="Times New Roman" w:hAnsi="Times New Roman" w:cs="Times New Roman"/>
          <w:b/>
          <w:bCs/>
          <w:color w:val="auto"/>
          <w:sz w:val="24"/>
        </w:rPr>
        <w:t>附件</w:t>
      </w:r>
      <w:r>
        <w:rPr>
          <w:rFonts w:hint="default" w:ascii="Times New Roman" w:hAnsi="Times New Roman" w:cs="Times New Roman"/>
          <w:b/>
          <w:bCs/>
          <w:color w:val="auto"/>
          <w:sz w:val="24"/>
          <w:lang w:val="en-US" w:eastAsia="zh-CN"/>
        </w:rPr>
        <w:t>5</w:t>
      </w:r>
      <w:r>
        <w:rPr>
          <w:rFonts w:hint="default" w:ascii="Times New Roman" w:hAnsi="Times New Roman" w:cs="Times New Roman"/>
          <w:b/>
          <w:bCs/>
          <w:color w:val="auto"/>
          <w:sz w:val="24"/>
        </w:rPr>
        <w:t>、租赁合同</w:t>
      </w:r>
    </w:p>
    <w:p w14:paraId="71AD378D">
      <w:pPr>
        <w:pStyle w:val="2"/>
        <w:ind w:left="0" w:leftChars="0" w:firstLine="0" w:firstLineChars="0"/>
        <w:jc w:val="center"/>
        <w:rPr>
          <w:rFonts w:hint="default" w:ascii="Times New Roman" w:hAnsi="Times New Roman" w:eastAsia="宋体" w:cs="Times New Roman"/>
          <w:b/>
          <w:bCs/>
          <w:color w:val="auto"/>
          <w:sz w:val="24"/>
          <w:lang w:eastAsia="zh-CN"/>
        </w:rPr>
      </w:pPr>
      <w:r>
        <w:drawing>
          <wp:inline distT="0" distB="0" distL="114300" distR="114300">
            <wp:extent cx="5353050" cy="7467600"/>
            <wp:effectExtent l="0" t="0" r="0" b="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35"/>
                    <a:stretch>
                      <a:fillRect/>
                    </a:stretch>
                  </pic:blipFill>
                  <pic:spPr>
                    <a:xfrm>
                      <a:off x="0" y="0"/>
                      <a:ext cx="5353050" cy="7467600"/>
                    </a:xfrm>
                    <a:prstGeom prst="rect">
                      <a:avLst/>
                    </a:prstGeom>
                    <a:noFill/>
                    <a:ln>
                      <a:noFill/>
                    </a:ln>
                  </pic:spPr>
                </pic:pic>
              </a:graphicData>
            </a:graphic>
          </wp:inline>
        </w:drawing>
      </w:r>
    </w:p>
    <w:p w14:paraId="3FA214CC">
      <w:pPr>
        <w:rPr>
          <w:rFonts w:hint="eastAsia" w:ascii="Times New Roman" w:hAnsi="Times New Roman" w:eastAsia="宋体" w:cs="Times New Roman"/>
          <w:b/>
          <w:bCs/>
          <w:color w:val="auto"/>
          <w:sz w:val="24"/>
          <w:lang w:eastAsia="zh-CN"/>
        </w:rPr>
        <w:sectPr>
          <w:headerReference r:id="rId14" w:type="default"/>
          <w:pgSz w:w="11906" w:h="16838"/>
          <w:pgMar w:top="1417" w:right="1134" w:bottom="1417" w:left="1134" w:header="851" w:footer="850" w:gutter="0"/>
          <w:pgBorders>
            <w:top w:val="none" w:sz="0" w:space="0"/>
            <w:left w:val="none" w:sz="0" w:space="0"/>
            <w:bottom w:val="none" w:sz="0" w:space="0"/>
            <w:right w:val="none" w:sz="0" w:space="0"/>
          </w:pgBorders>
          <w:pgNumType w:fmt="numberInDash"/>
          <w:cols w:space="720" w:num="1"/>
          <w:docGrid w:linePitch="312" w:charSpace="0"/>
        </w:sectPr>
      </w:pPr>
      <w:r>
        <w:rPr>
          <w:rFonts w:hint="eastAsia" w:ascii="Times New Roman" w:hAnsi="Times New Roman" w:eastAsia="宋体" w:cs="Times New Roman"/>
          <w:b/>
          <w:bCs/>
          <w:color w:val="auto"/>
          <w:sz w:val="24"/>
          <w:lang w:eastAsia="zh-CN"/>
        </w:rPr>
        <w:drawing>
          <wp:inline distT="0" distB="0" distL="114300" distR="114300">
            <wp:extent cx="6116955" cy="8402955"/>
            <wp:effectExtent l="0" t="0" r="17145" b="17145"/>
            <wp:docPr id="38" name="图片 240" descr="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40" descr="1_00"/>
                    <pic:cNvPicPr>
                      <a:picLocks noChangeAspect="1"/>
                    </pic:cNvPicPr>
                  </pic:nvPicPr>
                  <pic:blipFill>
                    <a:blip r:embed="rId36"/>
                    <a:stretch>
                      <a:fillRect/>
                    </a:stretch>
                  </pic:blipFill>
                  <pic:spPr>
                    <a:xfrm>
                      <a:off x="0" y="0"/>
                      <a:ext cx="6116955" cy="8402955"/>
                    </a:xfrm>
                    <a:prstGeom prst="rect">
                      <a:avLst/>
                    </a:prstGeom>
                    <a:noFill/>
                    <a:ln>
                      <a:noFill/>
                    </a:ln>
                  </pic:spPr>
                </pic:pic>
              </a:graphicData>
            </a:graphic>
          </wp:inline>
        </w:drawing>
      </w:r>
      <w:r>
        <w:rPr>
          <w:rFonts w:hint="eastAsia" w:ascii="Times New Roman" w:hAnsi="Times New Roman" w:eastAsia="宋体" w:cs="Times New Roman"/>
          <w:b/>
          <w:bCs/>
          <w:color w:val="auto"/>
          <w:sz w:val="24"/>
          <w:lang w:eastAsia="zh-CN"/>
        </w:rPr>
        <w:drawing>
          <wp:inline distT="0" distB="0" distL="114300" distR="114300">
            <wp:extent cx="6116955" cy="8402955"/>
            <wp:effectExtent l="0" t="0" r="17145" b="17145"/>
            <wp:docPr id="39" name="图片 241" descr="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1" descr="2_00"/>
                    <pic:cNvPicPr>
                      <a:picLocks noChangeAspect="1"/>
                    </pic:cNvPicPr>
                  </pic:nvPicPr>
                  <pic:blipFill>
                    <a:blip r:embed="rId37"/>
                    <a:stretch>
                      <a:fillRect/>
                    </a:stretch>
                  </pic:blipFill>
                  <pic:spPr>
                    <a:xfrm>
                      <a:off x="0" y="0"/>
                      <a:ext cx="6116955" cy="8402955"/>
                    </a:xfrm>
                    <a:prstGeom prst="rect">
                      <a:avLst/>
                    </a:prstGeom>
                    <a:noFill/>
                    <a:ln>
                      <a:noFill/>
                    </a:ln>
                  </pic:spPr>
                </pic:pic>
              </a:graphicData>
            </a:graphic>
          </wp:inline>
        </w:drawing>
      </w:r>
      <w:r>
        <w:rPr>
          <w:rFonts w:hint="eastAsia" w:ascii="Times New Roman" w:hAnsi="Times New Roman" w:eastAsia="宋体" w:cs="Times New Roman"/>
          <w:b/>
          <w:bCs/>
          <w:color w:val="auto"/>
          <w:sz w:val="24"/>
          <w:lang w:eastAsia="zh-CN"/>
        </w:rPr>
        <w:drawing>
          <wp:inline distT="0" distB="0" distL="114300" distR="114300">
            <wp:extent cx="6116955" cy="8402955"/>
            <wp:effectExtent l="0" t="0" r="17145" b="17145"/>
            <wp:docPr id="40" name="图片 242" descr="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2" descr="3_00"/>
                    <pic:cNvPicPr>
                      <a:picLocks noChangeAspect="1"/>
                    </pic:cNvPicPr>
                  </pic:nvPicPr>
                  <pic:blipFill>
                    <a:blip r:embed="rId38"/>
                    <a:stretch>
                      <a:fillRect/>
                    </a:stretch>
                  </pic:blipFill>
                  <pic:spPr>
                    <a:xfrm>
                      <a:off x="0" y="0"/>
                      <a:ext cx="6116955" cy="8402955"/>
                    </a:xfrm>
                    <a:prstGeom prst="rect">
                      <a:avLst/>
                    </a:prstGeom>
                    <a:noFill/>
                    <a:ln>
                      <a:noFill/>
                    </a:ln>
                  </pic:spPr>
                </pic:pic>
              </a:graphicData>
            </a:graphic>
          </wp:inline>
        </w:drawing>
      </w:r>
    </w:p>
    <w:p w14:paraId="6AD50BE7">
      <w:pPr>
        <w:rPr>
          <w:rFonts w:hint="default" w:ascii="Times New Roman" w:hAnsi="Times New Roman" w:eastAsia="宋体" w:cs="Times New Roman"/>
          <w:b/>
          <w:bCs/>
          <w:color w:val="auto"/>
          <w:sz w:val="24"/>
        </w:rPr>
      </w:pPr>
      <w:r>
        <w:rPr>
          <w:rFonts w:hint="default" w:ascii="Times New Roman" w:hAnsi="Times New Roman" w:cs="Times New Roman"/>
          <w:b/>
          <w:bCs/>
          <w:color w:val="auto"/>
          <w:sz w:val="24"/>
        </w:rPr>
        <w:t>附件</w:t>
      </w:r>
      <w:r>
        <w:rPr>
          <w:rFonts w:hint="eastAsia" w:ascii="Times New Roman" w:hAnsi="Times New Roman" w:cs="Times New Roman"/>
          <w:b/>
          <w:bCs/>
          <w:color w:val="auto"/>
          <w:sz w:val="24"/>
          <w:lang w:val="en-US" w:eastAsia="zh-CN"/>
        </w:rPr>
        <w:t>6</w:t>
      </w:r>
      <w:r>
        <w:rPr>
          <w:rFonts w:hint="default" w:ascii="Times New Roman" w:hAnsi="Times New Roman" w:cs="Times New Roman"/>
          <w:b/>
          <w:bCs/>
          <w:color w:val="auto"/>
          <w:sz w:val="24"/>
        </w:rPr>
        <w:t>、</w:t>
      </w:r>
      <w:r>
        <w:rPr>
          <w:rFonts w:hint="default" w:ascii="Times New Roman" w:hAnsi="Times New Roman" w:eastAsia="宋体" w:cs="Times New Roman"/>
          <w:b/>
          <w:bCs/>
          <w:color w:val="auto"/>
          <w:sz w:val="24"/>
          <w:lang w:val="en-US" w:eastAsia="zh-CN"/>
        </w:rPr>
        <w:t>淄博市生态环境局关于</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淄川区双杨镇工业聚集区总体规划（2021-2035年）环境影响报告书</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的审查意见</w:t>
      </w:r>
    </w:p>
    <w:p w14:paraId="226579C6">
      <w:pPr>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eastAsia="zh-CN"/>
        </w:rPr>
        <w:drawing>
          <wp:inline distT="0" distB="0" distL="114300" distR="114300">
            <wp:extent cx="5984240" cy="8450580"/>
            <wp:effectExtent l="0" t="0" r="16510" b="7620"/>
            <wp:docPr id="42" name="图片 100" descr="172299869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0" descr="1722998695881"/>
                    <pic:cNvPicPr>
                      <a:picLocks noChangeAspect="1"/>
                    </pic:cNvPicPr>
                  </pic:nvPicPr>
                  <pic:blipFill>
                    <a:blip r:embed="rId39"/>
                    <a:stretch>
                      <a:fillRect/>
                    </a:stretch>
                  </pic:blipFill>
                  <pic:spPr>
                    <a:xfrm>
                      <a:off x="0" y="0"/>
                      <a:ext cx="5984240" cy="8450580"/>
                    </a:xfrm>
                    <a:prstGeom prst="rect">
                      <a:avLst/>
                    </a:prstGeom>
                    <a:noFill/>
                    <a:ln>
                      <a:noFill/>
                    </a:ln>
                  </pic:spPr>
                </pic:pic>
              </a:graphicData>
            </a:graphic>
          </wp:inline>
        </w:drawing>
      </w:r>
    </w:p>
    <w:p w14:paraId="2F16355E">
      <w:pPr>
        <w:pStyle w:val="2"/>
        <w:ind w:left="0" w:leftChars="0" w:firstLine="0" w:firstLineChars="0"/>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6064250" cy="8796020"/>
            <wp:effectExtent l="0" t="0" r="12700" b="5080"/>
            <wp:docPr id="43" name="图片 101" descr="172299872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1" descr="1722998723139"/>
                    <pic:cNvPicPr>
                      <a:picLocks noChangeAspect="1"/>
                    </pic:cNvPicPr>
                  </pic:nvPicPr>
                  <pic:blipFill>
                    <a:blip r:embed="rId40"/>
                    <a:stretch>
                      <a:fillRect/>
                    </a:stretch>
                  </pic:blipFill>
                  <pic:spPr>
                    <a:xfrm>
                      <a:off x="0" y="0"/>
                      <a:ext cx="6064250" cy="8796020"/>
                    </a:xfrm>
                    <a:prstGeom prst="rect">
                      <a:avLst/>
                    </a:prstGeom>
                    <a:noFill/>
                    <a:ln>
                      <a:noFill/>
                    </a:ln>
                  </pic:spPr>
                </pic:pic>
              </a:graphicData>
            </a:graphic>
          </wp:inline>
        </w:drawing>
      </w:r>
    </w:p>
    <w:p w14:paraId="450E14AA">
      <w:pPr>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6057265" cy="8809990"/>
            <wp:effectExtent l="0" t="0" r="635" b="10160"/>
            <wp:docPr id="44" name="图片 102" descr="172299875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2" descr="1722998753292"/>
                    <pic:cNvPicPr>
                      <a:picLocks noChangeAspect="1"/>
                    </pic:cNvPicPr>
                  </pic:nvPicPr>
                  <pic:blipFill>
                    <a:blip r:embed="rId41"/>
                    <a:stretch>
                      <a:fillRect/>
                    </a:stretch>
                  </pic:blipFill>
                  <pic:spPr>
                    <a:xfrm>
                      <a:off x="0" y="0"/>
                      <a:ext cx="6057265" cy="8809990"/>
                    </a:xfrm>
                    <a:prstGeom prst="rect">
                      <a:avLst/>
                    </a:prstGeom>
                    <a:noFill/>
                    <a:ln>
                      <a:noFill/>
                    </a:ln>
                  </pic:spPr>
                </pic:pic>
              </a:graphicData>
            </a:graphic>
          </wp:inline>
        </w:drawing>
      </w:r>
    </w:p>
    <w:p w14:paraId="3A2BB226">
      <w:pPr>
        <w:pStyle w:val="2"/>
        <w:ind w:left="0" w:leftChars="0" w:firstLine="0" w:firstLineChars="0"/>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6101715" cy="8791575"/>
            <wp:effectExtent l="0" t="0" r="13335" b="9525"/>
            <wp:docPr id="45" name="图片 103" descr="172299878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3" descr="1722998782140"/>
                    <pic:cNvPicPr>
                      <a:picLocks noChangeAspect="1"/>
                    </pic:cNvPicPr>
                  </pic:nvPicPr>
                  <pic:blipFill>
                    <a:blip r:embed="rId42"/>
                    <a:stretch>
                      <a:fillRect/>
                    </a:stretch>
                  </pic:blipFill>
                  <pic:spPr>
                    <a:xfrm>
                      <a:off x="0" y="0"/>
                      <a:ext cx="6101715" cy="8791575"/>
                    </a:xfrm>
                    <a:prstGeom prst="rect">
                      <a:avLst/>
                    </a:prstGeom>
                    <a:noFill/>
                    <a:ln>
                      <a:noFill/>
                    </a:ln>
                  </pic:spPr>
                </pic:pic>
              </a:graphicData>
            </a:graphic>
          </wp:inline>
        </w:drawing>
      </w:r>
    </w:p>
    <w:p w14:paraId="748DE883">
      <w:pPr>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6085840" cy="8830945"/>
            <wp:effectExtent l="0" t="0" r="10160" b="8255"/>
            <wp:docPr id="46" name="图片 104" descr="172299880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4" descr="1722998809109"/>
                    <pic:cNvPicPr>
                      <a:picLocks noChangeAspect="1"/>
                    </pic:cNvPicPr>
                  </pic:nvPicPr>
                  <pic:blipFill>
                    <a:blip r:embed="rId43"/>
                    <a:stretch>
                      <a:fillRect/>
                    </a:stretch>
                  </pic:blipFill>
                  <pic:spPr>
                    <a:xfrm>
                      <a:off x="0" y="0"/>
                      <a:ext cx="6085840" cy="8830945"/>
                    </a:xfrm>
                    <a:prstGeom prst="rect">
                      <a:avLst/>
                    </a:prstGeom>
                    <a:noFill/>
                    <a:ln>
                      <a:noFill/>
                    </a:ln>
                  </pic:spPr>
                </pic:pic>
              </a:graphicData>
            </a:graphic>
          </wp:inline>
        </w:drawing>
      </w:r>
    </w:p>
    <w:p w14:paraId="4C0E885B">
      <w:pPr>
        <w:pStyle w:val="2"/>
        <w:ind w:left="0" w:leftChars="0" w:firstLine="0" w:firstLineChars="0"/>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6049645" cy="8613140"/>
            <wp:effectExtent l="0" t="0" r="8255" b="16510"/>
            <wp:docPr id="47" name="图片 105" descr="172299883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5" descr="1722998837022"/>
                    <pic:cNvPicPr>
                      <a:picLocks noChangeAspect="1"/>
                    </pic:cNvPicPr>
                  </pic:nvPicPr>
                  <pic:blipFill>
                    <a:blip r:embed="rId44"/>
                    <a:stretch>
                      <a:fillRect/>
                    </a:stretch>
                  </pic:blipFill>
                  <pic:spPr>
                    <a:xfrm>
                      <a:off x="0" y="0"/>
                      <a:ext cx="6049645" cy="8613140"/>
                    </a:xfrm>
                    <a:prstGeom prst="rect">
                      <a:avLst/>
                    </a:prstGeom>
                    <a:noFill/>
                    <a:ln>
                      <a:noFill/>
                    </a:ln>
                  </pic:spPr>
                </pic:pic>
              </a:graphicData>
            </a:graphic>
          </wp:inline>
        </w:drawing>
      </w:r>
    </w:p>
    <w:p w14:paraId="3A3F660F">
      <w:pPr>
        <w:pStyle w:val="2"/>
        <w:ind w:left="0" w:leftChars="0" w:firstLine="0" w:firstLineChars="0"/>
        <w:rPr>
          <w:rFonts w:hint="default" w:ascii="Times New Roman" w:hAnsi="Times New Roman" w:cs="Times New Roman"/>
          <w:color w:val="auto"/>
          <w:lang w:eastAsia="zh-CN"/>
        </w:rPr>
      </w:pPr>
    </w:p>
    <w:p w14:paraId="2BD92626">
      <w:pPr>
        <w:pStyle w:val="2"/>
        <w:ind w:left="0" w:leftChars="0" w:firstLine="0" w:firstLineChars="0"/>
        <w:rPr>
          <w:rFonts w:hint="default"/>
          <w:lang w:val="en-US" w:eastAsia="zh-CN"/>
        </w:rPr>
      </w:pPr>
      <w:r>
        <w:rPr>
          <w:rFonts w:hint="eastAsia" w:cs="Times New Roman"/>
          <w:color w:val="auto"/>
          <w:sz w:val="28"/>
          <w:szCs w:val="36"/>
          <w:highlight w:val="none"/>
          <w:lang w:val="en-US" w:eastAsia="zh-CN"/>
        </w:rPr>
        <w:t>附件7、高纯晶体氧化铝粉成分检测报告</w:t>
      </w:r>
    </w:p>
    <w:p w14:paraId="472962D1">
      <w:pPr>
        <w:pStyle w:val="2"/>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8382000" cy="5868670"/>
            <wp:effectExtent l="0" t="0" r="17780" b="0"/>
            <wp:docPr id="27" name="图片 27" descr="4a7c32379383823c654e6b4987984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a7c32379383823c654e6b4987984b0"/>
                    <pic:cNvPicPr>
                      <a:picLocks noChangeAspect="1"/>
                    </pic:cNvPicPr>
                  </pic:nvPicPr>
                  <pic:blipFill>
                    <a:blip r:embed="rId45"/>
                    <a:srcRect l="13338" t="3678" r="15792" b="8113"/>
                    <a:stretch>
                      <a:fillRect/>
                    </a:stretch>
                  </pic:blipFill>
                  <pic:spPr>
                    <a:xfrm rot="5400000">
                      <a:off x="0" y="0"/>
                      <a:ext cx="8382000" cy="5868670"/>
                    </a:xfrm>
                    <a:prstGeom prst="rect">
                      <a:avLst/>
                    </a:prstGeom>
                  </pic:spPr>
                </pic:pic>
              </a:graphicData>
            </a:graphic>
          </wp:inline>
        </w:drawing>
      </w:r>
    </w:p>
    <w:p w14:paraId="2B50F0EA">
      <w:pPr>
        <w:pStyle w:val="2"/>
        <w:ind w:left="0" w:leftChars="0" w:firstLine="0" w:firstLineChars="0"/>
        <w:rPr>
          <w:rFonts w:hint="default" w:ascii="Times New Roman" w:hAnsi="Times New Roman" w:eastAsia="宋体" w:cs="Times New Roman"/>
          <w:color w:val="auto"/>
          <w:sz w:val="28"/>
          <w:szCs w:val="36"/>
          <w:highlight w:val="none"/>
          <w:lang w:val="en-US" w:eastAsia="zh-CN"/>
        </w:rPr>
      </w:pPr>
      <w:r>
        <w:rPr>
          <w:rFonts w:hint="default" w:ascii="Times New Roman" w:hAnsi="Times New Roman" w:eastAsia="宋体" w:cs="Times New Roman"/>
          <w:color w:val="auto"/>
          <w:sz w:val="28"/>
          <w:szCs w:val="36"/>
          <w:highlight w:val="none"/>
          <w:lang w:val="en-US" w:eastAsia="zh-CN"/>
        </w:rPr>
        <w:t>附件</w:t>
      </w:r>
      <w:r>
        <w:rPr>
          <w:rFonts w:hint="eastAsia" w:cs="Times New Roman"/>
          <w:color w:val="auto"/>
          <w:sz w:val="28"/>
          <w:szCs w:val="36"/>
          <w:highlight w:val="none"/>
          <w:lang w:val="en-US" w:eastAsia="zh-CN"/>
        </w:rPr>
        <w:t>8</w:t>
      </w:r>
      <w:r>
        <w:rPr>
          <w:rFonts w:hint="default" w:ascii="Times New Roman" w:hAnsi="Times New Roman" w:eastAsia="宋体" w:cs="Times New Roman"/>
          <w:color w:val="auto"/>
          <w:sz w:val="28"/>
          <w:szCs w:val="36"/>
          <w:highlight w:val="none"/>
          <w:lang w:val="en-US" w:eastAsia="zh-CN"/>
        </w:rPr>
        <w:t>、环境风险评价专项报告</w:t>
      </w:r>
    </w:p>
    <w:p w14:paraId="0BB0AFCA">
      <w:pPr>
        <w:jc w:val="center"/>
        <w:rPr>
          <w:rFonts w:hint="default" w:ascii="Times New Roman" w:hAnsi="Times New Roman" w:eastAsia="宋体" w:cs="Times New Roman"/>
          <w:color w:val="FF0000"/>
          <w:sz w:val="48"/>
          <w:szCs w:val="48"/>
        </w:rPr>
      </w:pPr>
      <w:bookmarkStart w:id="33" w:name="_Toc33691320"/>
    </w:p>
    <w:p w14:paraId="35943D7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FF0000"/>
          <w:sz w:val="48"/>
          <w:szCs w:val="48"/>
          <w:lang w:val="zh-TW" w:eastAsia="zh-CN"/>
        </w:rPr>
      </w:pPr>
    </w:p>
    <w:p w14:paraId="2717F2D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48"/>
          <w:szCs w:val="48"/>
          <w:lang w:val="zh-TW" w:eastAsia="zh-CN"/>
        </w:rPr>
      </w:pPr>
      <w:r>
        <w:rPr>
          <w:rFonts w:hint="eastAsia" w:cs="Times New Roman"/>
          <w:b/>
          <w:bCs/>
          <w:color w:val="auto"/>
          <w:sz w:val="48"/>
          <w:szCs w:val="48"/>
          <w:lang w:val="zh-TW" w:eastAsia="zh-CN"/>
        </w:rPr>
        <w:t>淄博鸿安铝业有限公司</w:t>
      </w:r>
    </w:p>
    <w:p w14:paraId="665C122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48"/>
          <w:szCs w:val="48"/>
        </w:rPr>
      </w:pPr>
      <w:r>
        <w:rPr>
          <w:rFonts w:hint="eastAsia" w:cs="Times New Roman"/>
          <w:b/>
          <w:bCs/>
          <w:color w:val="auto"/>
          <w:sz w:val="48"/>
          <w:szCs w:val="48"/>
          <w:lang w:val="zh-TW" w:eastAsia="zh-CN"/>
        </w:rPr>
        <w:t>年产36000吨新能源电池用高纯晶体纳米新材料项目</w:t>
      </w:r>
      <w:r>
        <w:rPr>
          <w:rFonts w:hint="default" w:ascii="Times New Roman" w:hAnsi="Times New Roman" w:eastAsia="宋体" w:cs="Times New Roman"/>
          <w:b/>
          <w:bCs/>
          <w:color w:val="auto"/>
          <w:sz w:val="48"/>
          <w:szCs w:val="48"/>
        </w:rPr>
        <w:t>环境风险评价专项报告</w:t>
      </w:r>
    </w:p>
    <w:p w14:paraId="2FA69228">
      <w:pPr>
        <w:rPr>
          <w:rFonts w:hint="default" w:ascii="Times New Roman" w:hAnsi="Times New Roman" w:eastAsia="宋体" w:cs="Times New Roman"/>
          <w:color w:val="FF0000"/>
        </w:rPr>
      </w:pPr>
    </w:p>
    <w:p w14:paraId="644CDBEC">
      <w:pPr>
        <w:rPr>
          <w:rFonts w:hint="default" w:ascii="Times New Roman" w:hAnsi="Times New Roman" w:eastAsia="宋体" w:cs="Times New Roman"/>
          <w:color w:val="FF0000"/>
        </w:rPr>
      </w:pPr>
    </w:p>
    <w:p w14:paraId="5AB034E6">
      <w:pPr>
        <w:rPr>
          <w:rFonts w:hint="default" w:ascii="Times New Roman" w:hAnsi="Times New Roman" w:eastAsia="宋体" w:cs="Times New Roman"/>
          <w:color w:val="FF0000"/>
        </w:rPr>
      </w:pPr>
    </w:p>
    <w:p w14:paraId="443F8A4C">
      <w:pPr>
        <w:rPr>
          <w:rFonts w:hint="default" w:ascii="Times New Roman" w:hAnsi="Times New Roman" w:eastAsia="宋体" w:cs="Times New Roman"/>
          <w:color w:val="FF0000"/>
        </w:rPr>
      </w:pPr>
    </w:p>
    <w:p w14:paraId="293BDA46">
      <w:pPr>
        <w:rPr>
          <w:rFonts w:hint="default" w:ascii="Times New Roman" w:hAnsi="Times New Roman" w:eastAsia="宋体" w:cs="Times New Roman"/>
          <w:color w:val="FF0000"/>
        </w:rPr>
      </w:pPr>
    </w:p>
    <w:p w14:paraId="2ABFD3B8">
      <w:pPr>
        <w:rPr>
          <w:rFonts w:hint="default" w:ascii="Times New Roman" w:hAnsi="Times New Roman" w:eastAsia="宋体" w:cs="Times New Roman"/>
          <w:color w:val="FF0000"/>
        </w:rPr>
      </w:pPr>
    </w:p>
    <w:p w14:paraId="0215FBD1">
      <w:pPr>
        <w:pStyle w:val="2"/>
        <w:rPr>
          <w:rFonts w:hint="default" w:ascii="Times New Roman" w:hAnsi="Times New Roman" w:eastAsia="宋体" w:cs="Times New Roman"/>
          <w:color w:val="FF0000"/>
        </w:rPr>
      </w:pPr>
    </w:p>
    <w:p w14:paraId="3E069B6C">
      <w:pPr>
        <w:rPr>
          <w:rFonts w:hint="default" w:ascii="Times New Roman" w:hAnsi="Times New Roman" w:eastAsia="宋体" w:cs="Times New Roman"/>
          <w:color w:val="FF0000"/>
        </w:rPr>
      </w:pPr>
    </w:p>
    <w:p w14:paraId="09ACBE76">
      <w:pPr>
        <w:pStyle w:val="2"/>
        <w:rPr>
          <w:rFonts w:hint="default" w:ascii="Times New Roman" w:hAnsi="Times New Roman" w:eastAsia="宋体" w:cs="Times New Roman"/>
          <w:color w:val="FF0000"/>
        </w:rPr>
      </w:pPr>
    </w:p>
    <w:p w14:paraId="2C8C9AD6">
      <w:pPr>
        <w:rPr>
          <w:rFonts w:hint="default" w:ascii="Times New Roman" w:hAnsi="Times New Roman" w:eastAsia="宋体" w:cs="Times New Roman"/>
          <w:color w:val="FF0000"/>
        </w:rPr>
      </w:pPr>
    </w:p>
    <w:p w14:paraId="59FD786B">
      <w:pPr>
        <w:rPr>
          <w:rFonts w:hint="default" w:ascii="Times New Roman" w:hAnsi="Times New Roman" w:eastAsia="宋体" w:cs="Times New Roman"/>
          <w:color w:val="FF0000"/>
        </w:rPr>
      </w:pPr>
    </w:p>
    <w:p w14:paraId="4C7E6DA2">
      <w:pPr>
        <w:pStyle w:val="2"/>
        <w:rPr>
          <w:rFonts w:hint="default" w:ascii="Times New Roman" w:hAnsi="Times New Roman" w:eastAsia="宋体" w:cs="Times New Roman"/>
          <w:color w:val="FF0000"/>
        </w:rPr>
      </w:pPr>
    </w:p>
    <w:p w14:paraId="2E2B813F">
      <w:pPr>
        <w:rPr>
          <w:rFonts w:hint="default" w:ascii="Times New Roman" w:hAnsi="Times New Roman" w:eastAsia="宋体" w:cs="Times New Roman"/>
          <w:color w:val="FF0000"/>
        </w:rPr>
      </w:pPr>
    </w:p>
    <w:p w14:paraId="7C0D20A6">
      <w:pPr>
        <w:pStyle w:val="2"/>
        <w:rPr>
          <w:rFonts w:hint="default" w:ascii="Times New Roman" w:hAnsi="Times New Roman" w:eastAsia="宋体" w:cs="Times New Roman"/>
          <w:color w:val="FF0000"/>
        </w:rPr>
      </w:pPr>
    </w:p>
    <w:p w14:paraId="2688BA83">
      <w:pPr>
        <w:rPr>
          <w:rFonts w:hint="default" w:ascii="Times New Roman" w:hAnsi="Times New Roman" w:eastAsia="宋体" w:cs="Times New Roman"/>
          <w:color w:val="FF0000"/>
        </w:rPr>
      </w:pPr>
    </w:p>
    <w:p w14:paraId="1A9D0800">
      <w:pPr>
        <w:rPr>
          <w:rFonts w:hint="default" w:ascii="Times New Roman" w:hAnsi="Times New Roman" w:eastAsia="宋体" w:cs="Times New Roman"/>
          <w:color w:val="FF0000"/>
        </w:rPr>
      </w:pPr>
    </w:p>
    <w:p w14:paraId="65008AD5">
      <w:pPr>
        <w:rPr>
          <w:rFonts w:hint="default" w:ascii="Times New Roman" w:hAnsi="Times New Roman" w:eastAsia="宋体" w:cs="Times New Roman"/>
          <w:color w:val="FF0000"/>
        </w:rPr>
      </w:pPr>
    </w:p>
    <w:p w14:paraId="12CF0258">
      <w:pPr>
        <w:pStyle w:val="2"/>
        <w:rPr>
          <w:rFonts w:hint="default" w:ascii="Times New Roman" w:hAnsi="Times New Roman" w:eastAsia="宋体" w:cs="Times New Roman"/>
          <w:color w:val="FF0000"/>
        </w:rPr>
      </w:pPr>
    </w:p>
    <w:p w14:paraId="72132C08">
      <w:pPr>
        <w:rPr>
          <w:rFonts w:hint="default" w:ascii="Times New Roman" w:hAnsi="Times New Roman" w:eastAsia="宋体" w:cs="Times New Roman"/>
          <w:color w:val="FF0000"/>
        </w:rPr>
      </w:pPr>
    </w:p>
    <w:p w14:paraId="7440F667">
      <w:pPr>
        <w:rPr>
          <w:rFonts w:hint="default" w:ascii="Times New Roman" w:hAnsi="Times New Roman" w:eastAsia="宋体" w:cs="Times New Roman"/>
          <w:color w:val="FF0000"/>
        </w:rPr>
      </w:pPr>
    </w:p>
    <w:p w14:paraId="37A39C89">
      <w:pPr>
        <w:jc w:val="center"/>
        <w:rPr>
          <w:rFonts w:hint="default" w:ascii="Times New Roman" w:hAnsi="Times New Roman" w:eastAsia="宋体" w:cs="Times New Roman"/>
          <w:color w:val="FF0000"/>
          <w:sz w:val="48"/>
          <w:szCs w:val="48"/>
        </w:rPr>
      </w:pPr>
    </w:p>
    <w:p w14:paraId="645CAF6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r>
        <w:rPr>
          <w:rFonts w:hint="default" w:ascii="Times New Roman" w:hAnsi="Times New Roman" w:eastAsia="宋体" w:cs="Times New Roman"/>
          <w:b/>
          <w:bCs/>
          <w:color w:val="auto"/>
          <w:sz w:val="40"/>
          <w:szCs w:val="40"/>
          <w:lang w:val="zh-TW" w:eastAsia="zh-CN"/>
        </w:rPr>
        <w:t>建设单位：</w:t>
      </w:r>
      <w:r>
        <w:rPr>
          <w:rFonts w:hint="eastAsia" w:cs="Times New Roman"/>
          <w:b/>
          <w:bCs/>
          <w:color w:val="auto"/>
          <w:sz w:val="40"/>
          <w:szCs w:val="40"/>
          <w:lang w:val="zh-TW" w:eastAsia="zh-CN"/>
        </w:rPr>
        <w:t>淄博鸿安铝业有限公司</w:t>
      </w:r>
    </w:p>
    <w:p w14:paraId="5517A41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r>
        <w:rPr>
          <w:rFonts w:hint="default" w:ascii="Times New Roman" w:hAnsi="Times New Roman" w:eastAsia="宋体" w:cs="Times New Roman"/>
          <w:b/>
          <w:bCs/>
          <w:color w:val="auto"/>
          <w:sz w:val="40"/>
          <w:szCs w:val="40"/>
          <w:lang w:val="zh-TW" w:eastAsia="zh-CN"/>
        </w:rPr>
        <w:t>编制日期：</w:t>
      </w:r>
      <w:r>
        <w:rPr>
          <w:rFonts w:hint="default" w:ascii="Times New Roman" w:hAnsi="Times New Roman" w:eastAsia="宋体" w:cs="Times New Roman"/>
          <w:b/>
          <w:bCs/>
          <w:color w:val="auto"/>
          <w:sz w:val="40"/>
          <w:szCs w:val="40"/>
          <w:lang w:val="en-US" w:eastAsia="zh-CN"/>
        </w:rPr>
        <w:t>2025</w:t>
      </w:r>
      <w:r>
        <w:rPr>
          <w:rFonts w:hint="default" w:ascii="Times New Roman" w:hAnsi="Times New Roman" w:eastAsia="宋体" w:cs="Times New Roman"/>
          <w:b/>
          <w:bCs/>
          <w:color w:val="auto"/>
          <w:sz w:val="40"/>
          <w:szCs w:val="40"/>
          <w:lang w:val="zh-TW" w:eastAsia="zh-CN"/>
        </w:rPr>
        <w:t>年</w:t>
      </w:r>
      <w:r>
        <w:rPr>
          <w:rFonts w:hint="eastAsia" w:cs="Times New Roman"/>
          <w:b/>
          <w:bCs/>
          <w:color w:val="auto"/>
          <w:sz w:val="40"/>
          <w:szCs w:val="40"/>
          <w:lang w:val="en-US" w:eastAsia="zh-CN"/>
        </w:rPr>
        <w:t>7</w:t>
      </w:r>
      <w:r>
        <w:rPr>
          <w:rFonts w:hint="default" w:ascii="Times New Roman" w:hAnsi="Times New Roman" w:eastAsia="宋体" w:cs="Times New Roman"/>
          <w:b/>
          <w:bCs/>
          <w:color w:val="auto"/>
          <w:sz w:val="40"/>
          <w:szCs w:val="40"/>
          <w:lang w:val="zh-TW" w:eastAsia="zh-CN"/>
        </w:rPr>
        <w:t>月</w:t>
      </w:r>
    </w:p>
    <w:p w14:paraId="17B33B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sz w:val="40"/>
          <w:szCs w:val="40"/>
          <w:lang w:val="zh-TW" w:eastAsia="zh-CN"/>
        </w:rPr>
      </w:pPr>
    </w:p>
    <w:p w14:paraId="23F0CDC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sz w:val="40"/>
          <w:szCs w:val="40"/>
          <w:lang w:val="zh-TW" w:eastAsia="zh-CN"/>
        </w:rPr>
      </w:pPr>
    </w:p>
    <w:p w14:paraId="7801496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sz w:val="40"/>
          <w:szCs w:val="40"/>
          <w:lang w:val="zh-TW" w:eastAsia="zh-CN"/>
        </w:rPr>
        <w:sectPr>
          <w:pgSz w:w="11906" w:h="16838"/>
          <w:pgMar w:top="1418" w:right="1276" w:bottom="1418" w:left="1559" w:header="851" w:footer="680" w:gutter="0"/>
          <w:pgNumType w:chapStyle="1"/>
          <w:cols w:space="720" w:num="1"/>
          <w:docGrid w:linePitch="326" w:charSpace="0"/>
        </w:sectPr>
      </w:pPr>
    </w:p>
    <w:p w14:paraId="1B9C4CB4">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目录</w:t>
      </w:r>
    </w:p>
    <w:p w14:paraId="2F133837">
      <w:pPr>
        <w:pStyle w:val="24"/>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"1-3" \h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_Toc12296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 xml:space="preserve">1 </w:t>
      </w:r>
      <w:r>
        <w:rPr>
          <w:rFonts w:hint="default" w:ascii="Times New Roman" w:hAnsi="Times New Roman" w:eastAsia="宋体" w:cs="Times New Roman"/>
          <w:color w:val="auto"/>
          <w:sz w:val="24"/>
          <w:szCs w:val="24"/>
        </w:rPr>
        <w:t>概述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_Toc12296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BF91827">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_Toc7737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1.1</w:t>
      </w:r>
      <w:r>
        <w:rPr>
          <w:rFonts w:hint="default" w:ascii="Times New Roman" w:hAnsi="Times New Roman" w:eastAsia="宋体" w:cs="Times New Roman"/>
          <w:color w:val="auto"/>
          <w:sz w:val="24"/>
          <w:szCs w:val="24"/>
        </w:rPr>
        <w:t>编制依据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_Toc7737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8B758DA">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_Toc19122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 xml:space="preserve">1.2 </w:t>
      </w:r>
      <w:r>
        <w:rPr>
          <w:rFonts w:hint="default" w:ascii="Times New Roman" w:hAnsi="Times New Roman" w:eastAsia="宋体" w:cs="Times New Roman"/>
          <w:color w:val="auto"/>
          <w:sz w:val="24"/>
          <w:szCs w:val="24"/>
        </w:rPr>
        <w:t>环境风险评价目的</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_Toc19122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433BB75">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_Toc7683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1.3环境风险评价原则及评价程序</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_Toc7683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2BDCE41">
      <w:pPr>
        <w:pStyle w:val="24"/>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_Toc15553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2 风险调查</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_Toc15553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70E4560">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_Toc30824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eastAsia="zh-CN"/>
        </w:rPr>
        <w:t>2.1</w:t>
      </w:r>
      <w:r>
        <w:rPr>
          <w:rFonts w:hint="default" w:ascii="Times New Roman" w:hAnsi="Times New Roman" w:eastAsia="宋体" w:cs="Times New Roman"/>
          <w:bCs/>
          <w:color w:val="auto"/>
          <w:kern w:val="0"/>
          <w:sz w:val="24"/>
          <w:szCs w:val="24"/>
        </w:rPr>
        <w:t xml:space="preserve"> 环境风险源调查</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_Toc30824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542738A">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_Toc6145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eastAsia="zh-CN"/>
        </w:rPr>
        <w:t>2.2 环境敏感目标调查</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_Toc6145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07F3679">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_Toc13052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3</w:t>
      </w:r>
      <w:r>
        <w:rPr>
          <w:rFonts w:hint="default" w:ascii="Times New Roman" w:hAnsi="Times New Roman" w:eastAsia="宋体" w:cs="Times New Roman"/>
          <w:bCs/>
          <w:color w:val="auto"/>
          <w:kern w:val="0"/>
          <w:sz w:val="24"/>
          <w:szCs w:val="24"/>
          <w:highlight w:val="none"/>
        </w:rPr>
        <w:t xml:space="preserve"> 环境风险潜势初判</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_Toc13052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659A9DE">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_Toc24679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rPr>
        <w:t>3.1</w:t>
      </w:r>
      <w:r>
        <w:rPr>
          <w:rFonts w:hint="default" w:ascii="Times New Roman" w:hAnsi="Times New Roman" w:eastAsia="宋体" w:cs="Times New Roman"/>
          <w:bCs/>
          <w:color w:val="auto"/>
          <w:kern w:val="0"/>
          <w:sz w:val="24"/>
          <w:szCs w:val="24"/>
        </w:rPr>
        <w:t xml:space="preserve"> 环境敏感程度的确定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_Toc24679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34F7352">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_Toc23046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rPr>
        <w:t>3.</w:t>
      </w:r>
      <w:r>
        <w:rPr>
          <w:rFonts w:hint="default" w:ascii="Times New Roman" w:hAnsi="Times New Roman" w:eastAsia="宋体" w:cs="Times New Roman"/>
          <w:bCs/>
          <w:color w:val="auto"/>
          <w:kern w:val="0"/>
          <w:sz w:val="24"/>
          <w:szCs w:val="24"/>
        </w:rPr>
        <w:t>2 危险物质及工艺系统危险性（P）的确定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_Toc23046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DC4CB4E">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_Toc12470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 xml:space="preserve">4 </w:t>
      </w:r>
      <w:r>
        <w:rPr>
          <w:rFonts w:hint="default" w:ascii="Times New Roman" w:hAnsi="Times New Roman" w:eastAsia="宋体" w:cs="Times New Roman"/>
          <w:bCs/>
          <w:color w:val="auto"/>
          <w:kern w:val="0"/>
          <w:sz w:val="24"/>
          <w:szCs w:val="24"/>
          <w:highlight w:val="none"/>
        </w:rPr>
        <w:t>环境风险评价等级及评价范围</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_Toc12470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AA93000">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_Toc18027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eastAsia="zh-CN"/>
        </w:rPr>
        <w:t>4.</w:t>
      </w:r>
      <w:r>
        <w:rPr>
          <w:rFonts w:hint="default" w:ascii="Times New Roman" w:hAnsi="Times New Roman" w:eastAsia="宋体" w:cs="Times New Roman"/>
          <w:bCs/>
          <w:color w:val="auto"/>
          <w:kern w:val="0"/>
          <w:sz w:val="24"/>
          <w:szCs w:val="24"/>
          <w:highlight w:val="none"/>
        </w:rPr>
        <w:t>1 环境风险评价等级</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_Toc18027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994AAAA">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_Toc19117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eastAsia="zh-CN"/>
        </w:rPr>
        <w:t>4.</w:t>
      </w:r>
      <w:r>
        <w:rPr>
          <w:rFonts w:hint="default" w:ascii="Times New Roman" w:hAnsi="Times New Roman" w:eastAsia="宋体" w:cs="Times New Roman"/>
          <w:bCs/>
          <w:color w:val="auto"/>
          <w:kern w:val="0"/>
          <w:sz w:val="24"/>
          <w:szCs w:val="24"/>
        </w:rPr>
        <w:t>2 环境风险评价范围</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_Toc19117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A5C942E">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_Toc30131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 xml:space="preserve">5 </w:t>
      </w:r>
      <w:r>
        <w:rPr>
          <w:rFonts w:hint="default" w:ascii="Times New Roman" w:hAnsi="Times New Roman" w:eastAsia="宋体" w:cs="Times New Roman"/>
          <w:bCs/>
          <w:color w:val="auto"/>
          <w:kern w:val="0"/>
          <w:sz w:val="24"/>
          <w:szCs w:val="24"/>
          <w:highlight w:val="none"/>
        </w:rPr>
        <w:t>环境风险识别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_Toc30131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057E0D5">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_Toc30060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5.1 风险识别内容</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_Toc30060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D0826B8">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_Toc15185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5.2物质危险性识别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_Toc15185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7095668">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5.3生产系统风险识别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_Toc1063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9E63AAE">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_Toc23815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5.4 物质向环境转移途径识别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_Toc23815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F9B2271">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_Toc28522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5.5 风险识别结果</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_Toc28522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E05F055">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_Toc31654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highlight w:val="none"/>
          <w:lang w:val="en-US" w:eastAsia="zh-CN"/>
        </w:rPr>
        <w:t xml:space="preserve">6 </w:t>
      </w:r>
      <w:r>
        <w:rPr>
          <w:rFonts w:hint="default" w:ascii="Times New Roman" w:hAnsi="Times New Roman" w:eastAsia="宋体" w:cs="Times New Roman"/>
          <w:bCs/>
          <w:color w:val="auto"/>
          <w:sz w:val="24"/>
          <w:szCs w:val="24"/>
          <w:highlight w:val="none"/>
          <w:lang w:val="en-US"/>
        </w:rPr>
        <w:t>风险事故情形分析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_Toc31654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AE436C9">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_Toc32117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en-US" w:eastAsia="zh-CN"/>
        </w:rPr>
        <w:t>6.</w:t>
      </w:r>
      <w:r>
        <w:rPr>
          <w:rFonts w:hint="default" w:ascii="Times New Roman" w:hAnsi="Times New Roman" w:eastAsia="宋体" w:cs="Times New Roman"/>
          <w:bCs/>
          <w:color w:val="auto"/>
          <w:sz w:val="24"/>
          <w:szCs w:val="24"/>
        </w:rPr>
        <w:t>1风险事故情形设定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_Toc32117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C4D844A">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_Toc29296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en-US" w:eastAsia="zh-CN"/>
        </w:rPr>
        <w:t>6.2源项分析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_Toc29296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AE9ACCD">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_Toc6776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rPr>
        <w:t>6.3</w:t>
      </w:r>
      <w:r>
        <w:rPr>
          <w:rFonts w:hint="default" w:ascii="Times New Roman" w:hAnsi="Times New Roman" w:eastAsia="宋体" w:cs="Times New Roman"/>
          <w:bCs/>
          <w:color w:val="auto"/>
          <w:kern w:val="0"/>
          <w:sz w:val="24"/>
          <w:szCs w:val="24"/>
        </w:rPr>
        <w:t xml:space="preserve"> 环境风险预测与评价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_Toc6776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A35518E">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7</w:t>
      </w:r>
      <w:r>
        <w:rPr>
          <w:rFonts w:hint="default" w:ascii="Times New Roman" w:hAnsi="Times New Roman" w:eastAsia="宋体" w:cs="Times New Roman"/>
          <w:bCs/>
          <w:color w:val="auto"/>
          <w:kern w:val="0"/>
          <w:sz w:val="24"/>
          <w:szCs w:val="24"/>
          <w:highlight w:val="none"/>
        </w:rPr>
        <w:t>环境风险管理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FBC99C8">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_Toc25036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w:t>
      </w:r>
      <w:r>
        <w:rPr>
          <w:rFonts w:hint="default" w:ascii="Times New Roman" w:hAnsi="Times New Roman" w:eastAsia="宋体" w:cs="Times New Roman"/>
          <w:bCs w:val="0"/>
          <w:color w:val="auto"/>
          <w:sz w:val="24"/>
          <w:szCs w:val="24"/>
          <w:shd w:val="clear" w:color="auto" w:fill="auto"/>
          <w:lang w:eastAsia="zh-CN"/>
        </w:rPr>
        <w:t>1大气环境风险防范措施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_Toc25036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CAA0714">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_Toc12625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7.2事故废水环境风险防范措施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_Toc12625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406A9A5">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7.3地下水环境风险防范措施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D7FAAAF">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_Toc24090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7.4事故处理措施事故监测</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_Toc24090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F4CB665">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_Toc31704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7.5 突发环境事件应急预案</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_Toc31704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703F312">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_Toc19750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highlight w:val="none"/>
          <w:lang w:val="en-US" w:eastAsia="zh-CN"/>
        </w:rPr>
        <w:t>8 评价结论及建议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_Toc19750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55B6CDD">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_Toc8677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highlight w:val="none"/>
          <w:lang w:val="en-US" w:eastAsia="zh-CN"/>
        </w:rPr>
        <w:t>8.1 项目危险因素</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_Toc8677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1A094D5">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_Toc25670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highlight w:val="none"/>
          <w:lang w:val="en-US" w:eastAsia="zh-CN"/>
        </w:rPr>
        <w:t>8.2 环境敏感性及事故环境影响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_Toc25670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790B70D">
      <w:pPr>
        <w:pStyle w:val="18"/>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_Toc15069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8.3 环境风险防范措施和应急预案</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_Toc15069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B956ACA">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_Toc22303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bidi="ar-SA"/>
        </w:rPr>
        <w:t>8.4 环境风险评价结论与建议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_Toc22303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43D9F87">
      <w:pPr>
        <w:pStyle w:val="26"/>
        <w:pageBreakBefore w:val="0"/>
        <w:tabs>
          <w:tab w:val="right" w:leader="dot" w:pos="9071"/>
        </w:tabs>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_Toc19408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bidi="ar-SA"/>
        </w:rPr>
        <w:t>8.5环境风险评价自查表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_Toc19408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68C95D1">
      <w:pPr>
        <w:keepNext/>
        <w:keepLines/>
        <w:pageBreakBefore w:val="0"/>
        <w:widowControl/>
        <w:kinsoku/>
        <w:wordWrap/>
        <w:overflowPunct/>
        <w:topLinePunct w:val="0"/>
        <w:autoSpaceDE/>
        <w:autoSpaceDN/>
        <w:bidi w:val="0"/>
        <w:adjustRightInd w:val="0"/>
        <w:snapToGrid w:val="0"/>
        <w:spacing w:line="360" w:lineRule="auto"/>
        <w:ind w:left="0" w:leftChars="0"/>
        <w:jc w:val="center"/>
        <w:textAlignment w:val="auto"/>
        <w:outlineLvl w:val="1"/>
        <w:rPr>
          <w:rFonts w:hint="default" w:ascii="Times New Roman" w:hAnsi="Times New Roman" w:eastAsia="宋体" w:cs="Times New Roman"/>
          <w:color w:val="FF0000"/>
          <w:sz w:val="30"/>
          <w:szCs w:val="30"/>
          <w:lang w:eastAsia="zh-CN"/>
        </w:rPr>
      </w:pPr>
      <w:r>
        <w:rPr>
          <w:rFonts w:hint="default" w:ascii="Times New Roman" w:hAnsi="Times New Roman" w:eastAsia="宋体" w:cs="Times New Roman"/>
          <w:color w:val="auto"/>
          <w:sz w:val="24"/>
          <w:szCs w:val="24"/>
        </w:rPr>
        <w:fldChar w:fldCharType="end"/>
      </w:r>
    </w:p>
    <w:p w14:paraId="2B4E9C03">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035A269A">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5378B640">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63649444">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701A3C4B">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4CAFEA8E">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36873C6A">
      <w:pPr>
        <w:keepNext/>
        <w:keepLines/>
        <w:widowControl/>
        <w:spacing w:before="120" w:after="120" w:line="360" w:lineRule="auto"/>
        <w:jc w:val="center"/>
        <w:outlineLvl w:val="1"/>
        <w:rPr>
          <w:rFonts w:hint="default" w:ascii="Times New Roman" w:hAnsi="Times New Roman" w:eastAsia="宋体" w:cs="Times New Roman"/>
          <w:color w:val="FF0000"/>
          <w:sz w:val="30"/>
          <w:szCs w:val="30"/>
        </w:rPr>
      </w:pPr>
    </w:p>
    <w:p w14:paraId="24C7191D">
      <w:pPr>
        <w:keepNext/>
        <w:keepLines/>
        <w:widowControl/>
        <w:spacing w:before="120" w:after="120" w:line="360" w:lineRule="auto"/>
        <w:jc w:val="center"/>
        <w:outlineLvl w:val="1"/>
        <w:rPr>
          <w:rFonts w:hint="default" w:ascii="Times New Roman" w:hAnsi="Times New Roman" w:eastAsia="宋体" w:cs="Times New Roman"/>
          <w:color w:val="FF0000"/>
          <w:sz w:val="30"/>
          <w:szCs w:val="30"/>
          <w:lang w:eastAsia="zh-CN"/>
        </w:rPr>
      </w:pPr>
    </w:p>
    <w:p w14:paraId="1AC14478">
      <w:pPr>
        <w:pStyle w:val="2"/>
        <w:rPr>
          <w:rFonts w:hint="default" w:ascii="Times New Roman" w:hAnsi="Times New Roman" w:eastAsia="宋体" w:cs="Times New Roman"/>
          <w:color w:val="FF0000"/>
          <w:sz w:val="30"/>
          <w:szCs w:val="30"/>
        </w:rPr>
      </w:pPr>
    </w:p>
    <w:p w14:paraId="7A0D6E3D">
      <w:pPr>
        <w:rPr>
          <w:rFonts w:hint="default" w:ascii="Times New Roman" w:hAnsi="Times New Roman" w:eastAsia="宋体" w:cs="Times New Roman"/>
          <w:color w:val="FF0000"/>
          <w:sz w:val="30"/>
          <w:szCs w:val="30"/>
        </w:rPr>
      </w:pPr>
    </w:p>
    <w:p w14:paraId="6EB79AE5">
      <w:pPr>
        <w:pStyle w:val="2"/>
        <w:rPr>
          <w:rFonts w:hint="default" w:ascii="Times New Roman" w:hAnsi="Times New Roman" w:eastAsia="宋体" w:cs="Times New Roman"/>
          <w:color w:val="FF0000"/>
          <w:sz w:val="30"/>
          <w:szCs w:val="30"/>
        </w:rPr>
      </w:pPr>
    </w:p>
    <w:p w14:paraId="32028F2C">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outlineLvl w:val="0"/>
        <w:rPr>
          <w:rFonts w:hint="default" w:ascii="Times New Roman" w:hAnsi="Times New Roman" w:eastAsia="宋体" w:cs="Times New Roman"/>
          <w:b/>
          <w:color w:val="FF0000"/>
          <w:sz w:val="32"/>
          <w:szCs w:val="32"/>
          <w:lang w:val="en-US" w:eastAsia="zh-CN"/>
        </w:rPr>
        <w:sectPr>
          <w:pgSz w:w="11906" w:h="16838"/>
          <w:pgMar w:top="1418" w:right="1276" w:bottom="1418" w:left="1559" w:header="851" w:footer="680" w:gutter="0"/>
          <w:pgNumType w:chapStyle="1"/>
          <w:cols w:space="720" w:num="1"/>
          <w:docGrid w:linePitch="326" w:charSpace="0"/>
        </w:sectPr>
      </w:pPr>
      <w:bookmarkStart w:id="34" w:name="_Toc68104462"/>
      <w:bookmarkStart w:id="35" w:name="_Toc69993066"/>
    </w:p>
    <w:p w14:paraId="009CB505">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outlineLvl w:val="0"/>
        <w:rPr>
          <w:rFonts w:hint="default" w:ascii="Times New Roman" w:hAnsi="Times New Roman" w:eastAsia="宋体" w:cs="Times New Roman"/>
          <w:b/>
          <w:color w:val="auto"/>
          <w:sz w:val="32"/>
          <w:szCs w:val="32"/>
        </w:rPr>
      </w:pPr>
      <w:bookmarkStart w:id="36" w:name="_Toc12296"/>
      <w:r>
        <w:rPr>
          <w:rFonts w:hint="default" w:ascii="Times New Roman" w:hAnsi="Times New Roman" w:eastAsia="宋体" w:cs="Times New Roman"/>
          <w:b/>
          <w:color w:val="auto"/>
          <w:sz w:val="32"/>
          <w:szCs w:val="32"/>
          <w:lang w:val="en-US" w:eastAsia="zh-CN"/>
        </w:rPr>
        <w:t xml:space="preserve">1 </w:t>
      </w:r>
      <w:r>
        <w:rPr>
          <w:rFonts w:hint="default" w:ascii="Times New Roman" w:hAnsi="Times New Roman" w:eastAsia="宋体" w:cs="Times New Roman"/>
          <w:b/>
          <w:color w:val="auto"/>
          <w:sz w:val="32"/>
          <w:szCs w:val="32"/>
        </w:rPr>
        <w:t>概述</w:t>
      </w:r>
      <w:bookmarkEnd w:id="34"/>
      <w:bookmarkEnd w:id="35"/>
      <w:bookmarkEnd w:id="36"/>
    </w:p>
    <w:p w14:paraId="4422FDA7">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rPr>
      </w:pPr>
      <w:bookmarkStart w:id="37" w:name="_Toc68104463"/>
      <w:bookmarkStart w:id="38" w:name="_Toc69993067"/>
      <w:bookmarkStart w:id="39" w:name="_Toc7737"/>
      <w:r>
        <w:rPr>
          <w:rFonts w:hint="default" w:ascii="Times New Roman" w:hAnsi="Times New Roman" w:eastAsia="宋体" w:cs="Times New Roman"/>
          <w:b/>
          <w:color w:val="auto"/>
          <w:sz w:val="30"/>
          <w:szCs w:val="30"/>
          <w:lang w:val="en-US" w:eastAsia="zh-CN"/>
        </w:rPr>
        <w:t>1.1</w:t>
      </w:r>
      <w:r>
        <w:rPr>
          <w:rFonts w:hint="default" w:ascii="Times New Roman" w:hAnsi="Times New Roman" w:eastAsia="宋体" w:cs="Times New Roman"/>
          <w:b/>
          <w:color w:val="auto"/>
          <w:sz w:val="30"/>
          <w:szCs w:val="30"/>
        </w:rPr>
        <w:t>编制依据</w:t>
      </w:r>
      <w:bookmarkEnd w:id="37"/>
      <w:bookmarkEnd w:id="38"/>
      <w:bookmarkEnd w:id="39"/>
    </w:p>
    <w:p w14:paraId="3D400FBD">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rPr>
      </w:pPr>
      <w:bookmarkStart w:id="40" w:name="_Toc68104464"/>
      <w:bookmarkStart w:id="41" w:name="_Toc69993068"/>
      <w:bookmarkStart w:id="42" w:name="_Toc22276"/>
      <w:r>
        <w:rPr>
          <w:rFonts w:hint="default" w:ascii="Times New Roman" w:hAnsi="Times New Roman" w:eastAsia="宋体" w:cs="Times New Roman"/>
          <w:b/>
          <w:color w:val="auto"/>
          <w:sz w:val="28"/>
          <w:szCs w:val="28"/>
          <w:lang w:val="en-US" w:eastAsia="zh-CN"/>
        </w:rPr>
        <w:t xml:space="preserve">1.1.1 </w:t>
      </w:r>
      <w:r>
        <w:rPr>
          <w:rFonts w:hint="default" w:ascii="Times New Roman" w:hAnsi="Times New Roman" w:eastAsia="宋体" w:cs="Times New Roman"/>
          <w:b/>
          <w:color w:val="auto"/>
          <w:sz w:val="28"/>
          <w:szCs w:val="28"/>
        </w:rPr>
        <w:t>法律、法规、文件</w:t>
      </w:r>
      <w:bookmarkEnd w:id="40"/>
      <w:bookmarkEnd w:id="41"/>
      <w:bookmarkEnd w:id="42"/>
    </w:p>
    <w:p w14:paraId="6D54747C">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《中华人民共和国环境保护法》（2015年1月1日施行）；</w:t>
      </w:r>
    </w:p>
    <w:p w14:paraId="57561301">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《中华人民共和国环境影响评价法》（2018年12月29日修正）；</w:t>
      </w:r>
    </w:p>
    <w:p w14:paraId="7B06564E">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《中华人民共和国水污染防治法》（2018年1月1日施行）；</w:t>
      </w:r>
    </w:p>
    <w:p w14:paraId="0B7B2049">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《中华人民共和国大气污染防治法》（2018年10月26日修正）；</w:t>
      </w:r>
    </w:p>
    <w:p w14:paraId="3398F8A8">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《中华人民共和国固体废物污染环境防治法》（2020年4月29 日修订）；</w:t>
      </w:r>
    </w:p>
    <w:p w14:paraId="793F8518">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《建设项目环境保护管理条例》（2017年10月1日施行）；</w:t>
      </w:r>
    </w:p>
    <w:p w14:paraId="2E384C0D">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《关于进一步加强环境影响评价管理防范环境风险的通知》（环发[2012]77号）</w:t>
      </w:r>
      <w:r>
        <w:rPr>
          <w:rFonts w:hint="default" w:ascii="Times New Roman" w:hAnsi="Times New Roman" w:eastAsia="宋体" w:cs="Times New Roman"/>
          <w:color w:val="auto"/>
          <w:sz w:val="24"/>
          <w:szCs w:val="24"/>
          <w:lang w:eastAsia="zh-CN"/>
        </w:rPr>
        <w:t>；</w:t>
      </w:r>
    </w:p>
    <w:p w14:paraId="5B67AA01">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《关于切实加强风险防范严格环境影响评价管理的通知》（环发[2012]98号）</w:t>
      </w:r>
      <w:r>
        <w:rPr>
          <w:rFonts w:hint="default" w:ascii="Times New Roman" w:hAnsi="Times New Roman" w:eastAsia="宋体" w:cs="Times New Roman"/>
          <w:color w:val="auto"/>
          <w:sz w:val="24"/>
          <w:szCs w:val="24"/>
          <w:lang w:eastAsia="zh-CN"/>
        </w:rPr>
        <w:t>；</w:t>
      </w:r>
    </w:p>
    <w:p w14:paraId="54927A2A">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《企业事业单位突发环境事件应急预案备案管理办法（试行）》（环发[2015]4号）；</w:t>
      </w:r>
    </w:p>
    <w:p w14:paraId="772DF2BE">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《突发事件应急预案管理办法》的通知（国办发〔2024〕5号）；</w:t>
      </w:r>
    </w:p>
    <w:p w14:paraId="1CE2E6B5">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《突发环境事件信息报告办法》（环境保护部令第 17 号）；</w:t>
      </w:r>
    </w:p>
    <w:p w14:paraId="59F3A230">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《山东省突发事件应急预案管理办法》（鲁政办发[2014]15号）；</w:t>
      </w:r>
    </w:p>
    <w:p w14:paraId="2189D622">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《山东省突发环境事件应急预案》（鲁政发〔2021〕14号）；</w:t>
      </w:r>
    </w:p>
    <w:p w14:paraId="708AF44D">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《山东省人民政府办公厅关于印发山东省突发环境事件应急预案的通知》（鲁政办字〔2020〕50号）；</w:t>
      </w:r>
    </w:p>
    <w:p w14:paraId="4A725950">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《山东省生态环境厅突发环境事件应急预案》（鲁</w:t>
      </w:r>
      <w:r>
        <w:rPr>
          <w:rFonts w:hint="eastAsia" w:cs="Times New Roman"/>
          <w:color w:val="auto"/>
          <w:sz w:val="24"/>
          <w:szCs w:val="24"/>
          <w:highlight w:val="none"/>
          <w:lang w:val="en-US" w:eastAsia="zh-CN"/>
        </w:rPr>
        <w:t>环字</w:t>
      </w:r>
      <w:r>
        <w:rPr>
          <w:rFonts w:hint="default" w:ascii="Times New Roman" w:hAnsi="Times New Roman" w:eastAsia="宋体" w:cs="Times New Roman"/>
          <w:color w:val="auto"/>
          <w:sz w:val="24"/>
          <w:szCs w:val="24"/>
          <w:highlight w:val="none"/>
        </w:rPr>
        <w:t>〔2021〕</w:t>
      </w:r>
      <w:r>
        <w:rPr>
          <w:rFonts w:hint="eastAsia" w:cs="Times New Roman"/>
          <w:color w:val="auto"/>
          <w:sz w:val="24"/>
          <w:szCs w:val="24"/>
          <w:highlight w:val="none"/>
          <w:lang w:val="en-US" w:eastAsia="zh-CN"/>
        </w:rPr>
        <w:t>266</w:t>
      </w:r>
      <w:r>
        <w:rPr>
          <w:rFonts w:hint="default" w:ascii="Times New Roman" w:hAnsi="Times New Roman" w:eastAsia="宋体" w:cs="Times New Roman"/>
          <w:color w:val="auto"/>
          <w:sz w:val="24"/>
          <w:szCs w:val="24"/>
          <w:highlight w:val="none"/>
        </w:rPr>
        <w:t>号）；</w:t>
      </w:r>
    </w:p>
    <w:p w14:paraId="59A8E199">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淄博市生态环境局《关于进一步做好突发环境事件应急预案备案管理工作的通知》（淄环发〔2020〕100号）；</w:t>
      </w:r>
    </w:p>
    <w:p w14:paraId="7208F96E">
      <w:pPr>
        <w:pStyle w:val="2"/>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《淄博市突发环境事件应急预案》（淄政办字〔2020〕99号）。</w:t>
      </w:r>
    </w:p>
    <w:p w14:paraId="09FE0226">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rPr>
      </w:pPr>
      <w:bookmarkStart w:id="43" w:name="_Toc69993069"/>
      <w:bookmarkStart w:id="44" w:name="_Toc68104465"/>
      <w:bookmarkStart w:id="45" w:name="_Toc30897"/>
      <w:r>
        <w:rPr>
          <w:rFonts w:hint="default" w:ascii="Times New Roman" w:hAnsi="Times New Roman" w:eastAsia="宋体" w:cs="Times New Roman"/>
          <w:b/>
          <w:color w:val="auto"/>
          <w:sz w:val="28"/>
          <w:szCs w:val="28"/>
          <w:lang w:val="en-US" w:eastAsia="zh-CN"/>
        </w:rPr>
        <w:t xml:space="preserve">1.1.2 </w:t>
      </w:r>
      <w:r>
        <w:rPr>
          <w:rFonts w:hint="default" w:ascii="Times New Roman" w:hAnsi="Times New Roman" w:eastAsia="宋体" w:cs="Times New Roman"/>
          <w:b/>
          <w:color w:val="auto"/>
          <w:sz w:val="28"/>
          <w:szCs w:val="28"/>
        </w:rPr>
        <w:t>技术规范</w:t>
      </w:r>
      <w:bookmarkEnd w:id="43"/>
      <w:bookmarkEnd w:id="44"/>
      <w:bookmarkEnd w:id="45"/>
    </w:p>
    <w:p w14:paraId="35F8E6C4">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《建设项目环境影响评价技术导则 总纲》（HJ2.1-2016）；</w:t>
      </w:r>
    </w:p>
    <w:p w14:paraId="5DE94288">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《建设项目环境风险评价技术导则》（HJ169-2018）</w:t>
      </w:r>
    </w:p>
    <w:p w14:paraId="53296073">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《突发环境事件应急监测技术规范》（HJ589-2010）；</w:t>
      </w:r>
    </w:p>
    <w:p w14:paraId="79CE643C">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《企业突发环境事件风险分级方法》（HJ941-2018）；</w:t>
      </w:r>
    </w:p>
    <w:p w14:paraId="77BE1F56">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《企业突发环境事件风险评估指南（试行）》（</w:t>
      </w:r>
      <w:r>
        <w:rPr>
          <w:rFonts w:hint="eastAsia" w:cs="Times New Roman"/>
          <w:color w:val="auto"/>
          <w:sz w:val="24"/>
          <w:szCs w:val="24"/>
          <w:lang w:val="en-US" w:eastAsia="zh-CN"/>
        </w:rPr>
        <w:t>环办</w:t>
      </w:r>
      <w:r>
        <w:rPr>
          <w:rFonts w:hint="default" w:ascii="Times New Roman" w:hAnsi="Times New Roman" w:eastAsia="宋体" w:cs="Times New Roman"/>
          <w:color w:val="auto"/>
          <w:sz w:val="24"/>
          <w:szCs w:val="24"/>
          <w:highlight w:val="none"/>
        </w:rPr>
        <w:t>〔20</w:t>
      </w:r>
      <w:r>
        <w:rPr>
          <w:rFonts w:hint="eastAsia" w:cs="Times New Roman"/>
          <w:color w:val="auto"/>
          <w:sz w:val="24"/>
          <w:szCs w:val="24"/>
          <w:highlight w:val="none"/>
          <w:lang w:val="en-US" w:eastAsia="zh-CN"/>
        </w:rPr>
        <w:t>14</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34</w:t>
      </w:r>
      <w:r>
        <w:rPr>
          <w:rFonts w:hint="default" w:ascii="Times New Roman" w:hAnsi="Times New Roman" w:eastAsia="宋体" w:cs="Times New Roman"/>
          <w:color w:val="auto"/>
          <w:sz w:val="24"/>
          <w:szCs w:val="24"/>
          <w:highlight w:val="none"/>
        </w:rPr>
        <w:t>号</w:t>
      </w:r>
      <w:r>
        <w:rPr>
          <w:rFonts w:hint="default" w:ascii="Times New Roman" w:hAnsi="Times New Roman" w:eastAsia="宋体" w:cs="Times New Roman"/>
          <w:color w:val="auto"/>
          <w:sz w:val="24"/>
          <w:szCs w:val="24"/>
        </w:rPr>
        <w:t>）；</w:t>
      </w:r>
    </w:p>
    <w:p w14:paraId="772F2B2C">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《危险化学品重大危险源辨识》（GB18218-2018）；</w:t>
      </w:r>
    </w:p>
    <w:p w14:paraId="611AC4AD">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《危险化学品目录》（2022年调整版）</w:t>
      </w:r>
    </w:p>
    <w:p w14:paraId="708C39BC">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《危险货物品名表》（GB12268-2012）；</w:t>
      </w:r>
    </w:p>
    <w:p w14:paraId="070C2290">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《化学品分类和标签规范》（GB 30000.2-GB 30000.29）；</w:t>
      </w:r>
    </w:p>
    <w:p w14:paraId="7C0F9817">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《建筑设计防火规范》(GB50016-2014)；</w:t>
      </w:r>
    </w:p>
    <w:p w14:paraId="792997D2">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《常用危险化学物品</w:t>
      </w:r>
      <w:r>
        <w:rPr>
          <w:rFonts w:hint="default" w:ascii="Times New Roman" w:hAnsi="Times New Roman" w:eastAsia="宋体" w:cs="Times New Roman"/>
          <w:color w:val="auto"/>
          <w:sz w:val="24"/>
          <w:szCs w:val="24"/>
          <w:lang w:val="en-US" w:eastAsia="zh-CN"/>
        </w:rPr>
        <w:t>贮存</w:t>
      </w:r>
      <w:r>
        <w:rPr>
          <w:rFonts w:hint="default" w:ascii="Times New Roman" w:hAnsi="Times New Roman" w:eastAsia="宋体" w:cs="Times New Roman"/>
          <w:color w:val="auto"/>
          <w:sz w:val="24"/>
          <w:szCs w:val="24"/>
        </w:rPr>
        <w:t>通则》（GB15630-</w:t>
      </w:r>
      <w:r>
        <w:rPr>
          <w:rFonts w:hint="eastAsia" w:cs="Times New Roman"/>
          <w:color w:val="auto"/>
          <w:sz w:val="24"/>
          <w:szCs w:val="24"/>
          <w:lang w:val="en-US" w:eastAsia="zh-CN"/>
        </w:rPr>
        <w:t>19</w:t>
      </w:r>
      <w:r>
        <w:rPr>
          <w:rFonts w:hint="default" w:ascii="Times New Roman" w:hAnsi="Times New Roman" w:eastAsia="宋体" w:cs="Times New Roman"/>
          <w:color w:val="auto"/>
          <w:sz w:val="24"/>
          <w:szCs w:val="24"/>
        </w:rPr>
        <w:t>95）</w:t>
      </w:r>
      <w:r>
        <w:rPr>
          <w:rFonts w:hint="default" w:ascii="Times New Roman" w:hAnsi="Times New Roman" w:eastAsia="宋体" w:cs="Times New Roman"/>
          <w:color w:val="auto"/>
          <w:sz w:val="24"/>
          <w:szCs w:val="24"/>
          <w:lang w:eastAsia="zh-CN"/>
        </w:rPr>
        <w:t>；</w:t>
      </w:r>
    </w:p>
    <w:p w14:paraId="2D458764">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lang w:eastAsia="zh-CN"/>
        </w:rPr>
        <w:t>《国家危险废物名录》（202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年版）（202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年1月1日实施）；</w:t>
      </w:r>
    </w:p>
    <w:p w14:paraId="1416D267">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《突发环境事件应急监测技术规范》（HJ589-2021，2022年3月1日实施）；</w:t>
      </w:r>
    </w:p>
    <w:p w14:paraId="557AC812">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lang w:eastAsia="zh-CN"/>
        </w:rPr>
        <w:t>安委办明电〔2022〕17号《关于进一步加强环保设备设施安全生产工作的通知》（2022年12月23日）；</w:t>
      </w:r>
    </w:p>
    <w:p w14:paraId="138176D3">
      <w:pPr>
        <w:pStyle w:val="2"/>
        <w:keepNext w:val="0"/>
        <w:keepLines w:val="0"/>
        <w:pageBreakBefore w:val="0"/>
        <w:widowControl w:val="0"/>
        <w:numPr>
          <w:ilvl w:val="0"/>
          <w:numId w:val="1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lang w:eastAsia="zh-CN"/>
        </w:rPr>
        <w:t>《山东省安全生产行政责任制规定》（省政府令第346号）</w:t>
      </w:r>
      <w:r>
        <w:rPr>
          <w:rFonts w:hint="default" w:ascii="Times New Roman" w:hAnsi="Times New Roman" w:eastAsia="宋体" w:cs="Times New Roman"/>
          <w:color w:val="auto"/>
          <w:sz w:val="24"/>
          <w:szCs w:val="24"/>
        </w:rPr>
        <w:t>。</w:t>
      </w:r>
    </w:p>
    <w:p w14:paraId="7A339A16">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rPr>
      </w:pPr>
      <w:bookmarkStart w:id="46" w:name="_Toc69993070"/>
      <w:bookmarkStart w:id="47" w:name="_Toc68104466"/>
      <w:bookmarkStart w:id="48" w:name="_Toc19122"/>
      <w:r>
        <w:rPr>
          <w:rFonts w:hint="default" w:ascii="Times New Roman" w:hAnsi="Times New Roman" w:eastAsia="宋体" w:cs="Times New Roman"/>
          <w:b/>
          <w:color w:val="auto"/>
          <w:sz w:val="30"/>
          <w:szCs w:val="30"/>
          <w:lang w:val="en-US" w:eastAsia="zh-CN"/>
        </w:rPr>
        <w:t xml:space="preserve">1.2 </w:t>
      </w:r>
      <w:r>
        <w:rPr>
          <w:rFonts w:hint="default" w:ascii="Times New Roman" w:hAnsi="Times New Roman" w:eastAsia="宋体" w:cs="Times New Roman"/>
          <w:b/>
          <w:color w:val="auto"/>
          <w:sz w:val="30"/>
          <w:szCs w:val="30"/>
        </w:rPr>
        <w:t>环境风险评价目的</w:t>
      </w:r>
      <w:bookmarkEnd w:id="46"/>
      <w:bookmarkEnd w:id="47"/>
      <w:bookmarkEnd w:id="48"/>
    </w:p>
    <w:p w14:paraId="0E455C49">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风险评价是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02243E16">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lang w:val="en-US" w:eastAsia="zh-CN"/>
        </w:rPr>
      </w:pPr>
      <w:bookmarkStart w:id="49" w:name="_Toc7683"/>
      <w:r>
        <w:rPr>
          <w:rFonts w:hint="default" w:ascii="Times New Roman" w:hAnsi="Times New Roman" w:eastAsia="宋体" w:cs="Times New Roman"/>
          <w:b/>
          <w:color w:val="auto"/>
          <w:sz w:val="30"/>
          <w:szCs w:val="30"/>
          <w:lang w:val="en-US" w:eastAsia="zh-CN"/>
        </w:rPr>
        <w:t>1.3环境风险评价原则及评价程序</w:t>
      </w:r>
      <w:bookmarkEnd w:id="33"/>
      <w:bookmarkEnd w:id="49"/>
    </w:p>
    <w:p w14:paraId="367FE5E9">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和国家环境保护总局《关于防范环境风险加强环境影响评价管理的通知》，项目实施后环境风险评价的基本内容包括风险调查、环境风险潜势初判、风险识别、风险事故情形分析、风险预测与评价、环境风险管理等，其具体如下：</w:t>
      </w:r>
    </w:p>
    <w:p w14:paraId="2F19669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⑴项目风险调查。在分析建设项目物质及工艺系统危险性和环境敏感性的基础下，进行风险潜势的判断，确定风险评价等级。</w:t>
      </w:r>
    </w:p>
    <w:p w14:paraId="60AFEE3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⑵项目风险识别及风险事故情形分析。明确危险物质在生产系统中的主要分布，筛选具有代表性的风险事故情形，合理设定事故源项。</w:t>
      </w:r>
    </w:p>
    <w:p w14:paraId="11224661">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⑶开展预测评价。各环境要素按确定的评价工作等级分别预测评价，并分析说明环境风险危害范围与程度，提出环境风险防范的基本要求。</w:t>
      </w:r>
    </w:p>
    <w:p w14:paraId="4F2D5421">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⑷提出环境风险管理对策，明确环境风险防范措施及突发环境事件应急预案编制要求。</w:t>
      </w:r>
    </w:p>
    <w:p w14:paraId="5EED58B9">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⑸ 综合环境风险评价过程，给出评价结论与建议。</w:t>
      </w:r>
    </w:p>
    <w:p w14:paraId="5BAC0031">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6D2CD1D2">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环境风险评价工作程序见图</w:t>
      </w:r>
      <w:r>
        <w:rPr>
          <w:rFonts w:hint="default" w:ascii="Times New Roman" w:hAnsi="Times New Roman" w:eastAsia="宋体" w:cs="Times New Roman"/>
          <w:color w:val="auto"/>
          <w:kern w:val="0"/>
          <w:sz w:val="24"/>
          <w:lang w:val="en-US" w:eastAsia="zh-CN"/>
        </w:rPr>
        <w:t>1.3</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1。</w:t>
      </w:r>
    </w:p>
    <w:p w14:paraId="71ACE6E3">
      <w:pPr>
        <w:spacing w:line="360" w:lineRule="auto"/>
        <w:ind w:firstLine="420" w:firstLineChars="200"/>
        <w:rPr>
          <w:rFonts w:hint="default" w:ascii="Times New Roman" w:hAnsi="Times New Roman" w:eastAsia="宋体" w:cs="Times New Roman"/>
          <w:color w:val="FF0000"/>
        </w:rPr>
      </w:pPr>
      <w:r>
        <w:rPr>
          <w:rFonts w:hint="default" w:ascii="Times New Roman" w:hAnsi="Times New Roman" w:eastAsia="宋体" w:cs="Times New Roman"/>
          <w:color w:val="FF0000"/>
        </w:rPr>
        <w:drawing>
          <wp:inline distT="0" distB="0" distL="114300" distR="114300">
            <wp:extent cx="5487670" cy="5628640"/>
            <wp:effectExtent l="0" t="0" r="17780" b="10160"/>
            <wp:docPr id="13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54"/>
                    <pic:cNvPicPr>
                      <a:picLocks noChangeAspect="1"/>
                    </pic:cNvPicPr>
                  </pic:nvPicPr>
                  <pic:blipFill>
                    <a:blip r:embed="rId46"/>
                    <a:stretch>
                      <a:fillRect/>
                    </a:stretch>
                  </pic:blipFill>
                  <pic:spPr>
                    <a:xfrm>
                      <a:off x="0" y="0"/>
                      <a:ext cx="5487670" cy="5628640"/>
                    </a:xfrm>
                    <a:prstGeom prst="rect">
                      <a:avLst/>
                    </a:prstGeom>
                    <a:noFill/>
                    <a:ln w="9525">
                      <a:noFill/>
                    </a:ln>
                  </pic:spPr>
                </pic:pic>
              </a:graphicData>
            </a:graphic>
          </wp:inline>
        </w:drawing>
      </w:r>
    </w:p>
    <w:p w14:paraId="07454AE4">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图</w:t>
      </w:r>
      <w:r>
        <w:rPr>
          <w:rFonts w:hint="default" w:ascii="Times New Roman" w:hAnsi="Times New Roman" w:eastAsia="宋体" w:cs="Times New Roman"/>
          <w:b/>
          <w:bCs/>
          <w:color w:val="auto"/>
          <w:sz w:val="24"/>
          <w:lang w:val="en-US" w:eastAsia="zh-CN"/>
        </w:rPr>
        <w:t>1.3</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1  环境风险评价工作程序</w:t>
      </w:r>
    </w:p>
    <w:p w14:paraId="02167406">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FF0000"/>
          <w:kern w:val="2"/>
          <w:sz w:val="30"/>
          <w:szCs w:val="30"/>
          <w:lang w:val="en-US" w:eastAsia="zh-CN"/>
        </w:rPr>
      </w:pPr>
      <w:bookmarkStart w:id="50" w:name="_Toc33691321"/>
    </w:p>
    <w:p w14:paraId="2E91FFDE">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FF0000"/>
          <w:kern w:val="2"/>
          <w:sz w:val="30"/>
          <w:szCs w:val="30"/>
          <w:lang w:val="en-US" w:eastAsia="zh-CN"/>
        </w:rPr>
      </w:pPr>
    </w:p>
    <w:p w14:paraId="4D4A02D4">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FF0000"/>
          <w:kern w:val="2"/>
          <w:sz w:val="30"/>
          <w:szCs w:val="30"/>
          <w:lang w:val="en-US" w:eastAsia="zh-CN"/>
        </w:rPr>
      </w:pPr>
    </w:p>
    <w:p w14:paraId="183FC31C">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FF0000"/>
          <w:kern w:val="2"/>
          <w:sz w:val="30"/>
          <w:szCs w:val="30"/>
          <w:lang w:val="en-US" w:eastAsia="zh-CN"/>
        </w:rPr>
      </w:pPr>
    </w:p>
    <w:p w14:paraId="53705CA7">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outlineLvl w:val="0"/>
        <w:rPr>
          <w:rFonts w:hint="default" w:ascii="Times New Roman" w:hAnsi="Times New Roman" w:eastAsia="宋体" w:cs="Times New Roman"/>
          <w:b/>
          <w:color w:val="auto"/>
          <w:sz w:val="32"/>
          <w:szCs w:val="32"/>
          <w:lang w:val="en-US" w:eastAsia="zh-CN"/>
        </w:rPr>
      </w:pPr>
      <w:bookmarkStart w:id="51" w:name="_Toc15553"/>
      <w:r>
        <w:rPr>
          <w:rFonts w:hint="default" w:ascii="Times New Roman" w:hAnsi="Times New Roman" w:eastAsia="宋体" w:cs="Times New Roman"/>
          <w:b/>
          <w:color w:val="auto"/>
          <w:sz w:val="32"/>
          <w:szCs w:val="32"/>
          <w:lang w:val="en-US" w:eastAsia="zh-CN"/>
        </w:rPr>
        <w:t>2 风险调查</w:t>
      </w:r>
      <w:bookmarkEnd w:id="51"/>
    </w:p>
    <w:bookmarkEnd w:id="50"/>
    <w:p w14:paraId="3C3788DD">
      <w:pPr>
        <w:keepNext/>
        <w:keepLines/>
        <w:pageBreakBefore w:val="0"/>
        <w:widowControl/>
        <w:kinsoku/>
        <w:wordWrap/>
        <w:overflowPunct/>
        <w:topLinePunct w:val="0"/>
        <w:autoSpaceDE/>
        <w:autoSpaceDN/>
        <w:bidi w:val="0"/>
        <w:adjustRightInd w:val="0"/>
        <w:snapToGrid w:val="0"/>
        <w:spacing w:line="360" w:lineRule="auto"/>
        <w:jc w:val="left"/>
        <w:textAlignment w:val="auto"/>
        <w:outlineLvl w:val="1"/>
        <w:rPr>
          <w:rFonts w:hint="default" w:ascii="Times New Roman" w:hAnsi="Times New Roman" w:eastAsia="宋体" w:cs="Times New Roman"/>
          <w:b/>
          <w:bCs/>
          <w:color w:val="auto"/>
          <w:kern w:val="0"/>
          <w:sz w:val="30"/>
          <w:szCs w:val="30"/>
        </w:rPr>
      </w:pPr>
      <w:bookmarkStart w:id="52" w:name="_Toc30824"/>
      <w:r>
        <w:rPr>
          <w:rFonts w:hint="default" w:ascii="Times New Roman" w:hAnsi="Times New Roman" w:eastAsia="宋体" w:cs="Times New Roman"/>
          <w:b/>
          <w:bCs/>
          <w:color w:val="auto"/>
          <w:kern w:val="0"/>
          <w:sz w:val="30"/>
          <w:szCs w:val="30"/>
          <w:lang w:eastAsia="zh-CN"/>
        </w:rPr>
        <w:t>2.1</w:t>
      </w:r>
      <w:r>
        <w:rPr>
          <w:rFonts w:hint="default" w:ascii="Times New Roman" w:hAnsi="Times New Roman" w:eastAsia="宋体" w:cs="Times New Roman"/>
          <w:b/>
          <w:bCs/>
          <w:color w:val="auto"/>
          <w:kern w:val="0"/>
          <w:sz w:val="30"/>
          <w:szCs w:val="30"/>
        </w:rPr>
        <w:t xml:space="preserve"> 环境风险源调查</w:t>
      </w:r>
      <w:bookmarkEnd w:id="52"/>
    </w:p>
    <w:p w14:paraId="61616D48">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本项</w:t>
      </w:r>
      <w:r>
        <w:rPr>
          <w:rFonts w:hint="default" w:ascii="Times New Roman" w:hAnsi="Times New Roman" w:eastAsia="宋体" w:cs="Times New Roman"/>
          <w:color w:val="auto"/>
          <w:sz w:val="24"/>
          <w:szCs w:val="22"/>
          <w:highlight w:val="none"/>
        </w:rPr>
        <w:t>目</w:t>
      </w:r>
      <w:r>
        <w:rPr>
          <w:rFonts w:hint="eastAsia" w:cs="Times New Roman"/>
          <w:color w:val="auto"/>
          <w:sz w:val="24"/>
          <w:szCs w:val="22"/>
          <w:highlight w:val="none"/>
          <w:lang w:val="en-US" w:eastAsia="zh-CN"/>
        </w:rPr>
        <w:t>盐酸、天然气（甲烷）</w:t>
      </w:r>
      <w:r>
        <w:rPr>
          <w:rFonts w:hint="default" w:ascii="Times New Roman" w:hAnsi="Times New Roman" w:eastAsia="宋体" w:cs="Times New Roman"/>
          <w:color w:val="auto"/>
          <w:sz w:val="24"/>
          <w:szCs w:val="22"/>
          <w:highlight w:val="none"/>
        </w:rPr>
        <w:t>属于风险物质。在使用、贮存、运输过程中一旦发生意外泄漏或事故</w:t>
      </w:r>
      <w:r>
        <w:rPr>
          <w:rFonts w:hint="default" w:ascii="Times New Roman" w:hAnsi="Times New Roman" w:eastAsia="宋体" w:cs="Times New Roman"/>
          <w:color w:val="auto"/>
          <w:sz w:val="24"/>
          <w:szCs w:val="22"/>
        </w:rPr>
        <w:t>性溢出，对外环境造成影响。</w:t>
      </w:r>
    </w:p>
    <w:p w14:paraId="3C71B47D">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因此，本项目主要风险源为</w:t>
      </w:r>
      <w:r>
        <w:rPr>
          <w:rFonts w:hint="eastAsia" w:cs="Times New Roman"/>
          <w:color w:val="auto"/>
          <w:sz w:val="24"/>
          <w:szCs w:val="22"/>
          <w:lang w:val="en-US" w:eastAsia="zh-CN"/>
        </w:rPr>
        <w:t>盐酸仓库、生产车间</w:t>
      </w:r>
      <w:r>
        <w:rPr>
          <w:rFonts w:hint="default" w:ascii="Times New Roman" w:hAnsi="Times New Roman" w:eastAsia="宋体" w:cs="Times New Roman"/>
          <w:color w:val="auto"/>
          <w:sz w:val="24"/>
          <w:szCs w:val="22"/>
        </w:rPr>
        <w:t>。参考《建设项目环境风险评价技术导则》（HJ169-2018）附录B项目涉及到的主要物质风险识别及分布情况见表</w:t>
      </w:r>
      <w:r>
        <w:rPr>
          <w:rFonts w:hint="default" w:ascii="Times New Roman" w:hAnsi="Times New Roman" w:eastAsia="宋体" w:cs="Times New Roman"/>
          <w:color w:val="auto"/>
          <w:sz w:val="24"/>
          <w:szCs w:val="22"/>
          <w:lang w:eastAsia="zh-CN"/>
        </w:rPr>
        <w:t>2.1-</w:t>
      </w:r>
      <w:r>
        <w:rPr>
          <w:rFonts w:hint="default" w:ascii="Times New Roman" w:hAnsi="Times New Roman" w:eastAsia="宋体" w:cs="Times New Roman"/>
          <w:color w:val="auto"/>
          <w:sz w:val="24"/>
          <w:szCs w:val="22"/>
        </w:rPr>
        <w:t>1，主要风险物质理化性质详见表</w:t>
      </w:r>
      <w:r>
        <w:rPr>
          <w:rFonts w:hint="default" w:ascii="Times New Roman" w:hAnsi="Times New Roman" w:eastAsia="宋体" w:cs="Times New Roman"/>
          <w:color w:val="auto"/>
          <w:sz w:val="24"/>
          <w:szCs w:val="22"/>
          <w:lang w:eastAsia="zh-CN"/>
        </w:rPr>
        <w:t>2.1-</w:t>
      </w:r>
      <w:r>
        <w:rPr>
          <w:rFonts w:hint="default" w:ascii="Times New Roman" w:hAnsi="Times New Roman" w:eastAsia="宋体" w:cs="Times New Roman"/>
          <w:color w:val="auto"/>
          <w:sz w:val="24"/>
          <w:szCs w:val="22"/>
        </w:rPr>
        <w:t>2。</w:t>
      </w:r>
      <w:r>
        <w:rPr>
          <w:rFonts w:hint="default" w:ascii="Times New Roman" w:hAnsi="Times New Roman" w:eastAsia="宋体" w:cs="Times New Roman"/>
          <w:color w:val="auto"/>
          <w:sz w:val="24"/>
          <w:szCs w:val="22"/>
          <w:lang w:eastAsia="zh-CN"/>
        </w:rPr>
        <w:t>本项目</w:t>
      </w:r>
      <w:r>
        <w:rPr>
          <w:rFonts w:hint="default" w:ascii="Times New Roman" w:hAnsi="Times New Roman" w:eastAsia="宋体" w:cs="Times New Roman"/>
          <w:color w:val="auto"/>
          <w:sz w:val="24"/>
          <w:szCs w:val="22"/>
        </w:rPr>
        <w:t>危险单元分布示意图见图</w:t>
      </w:r>
      <w:r>
        <w:rPr>
          <w:rFonts w:hint="default" w:ascii="Times New Roman" w:hAnsi="Times New Roman" w:eastAsia="宋体" w:cs="Times New Roman"/>
          <w:color w:val="auto"/>
          <w:sz w:val="24"/>
          <w:szCs w:val="22"/>
          <w:lang w:eastAsia="zh-CN"/>
        </w:rPr>
        <w:t>2.1-</w:t>
      </w:r>
      <w:r>
        <w:rPr>
          <w:rFonts w:hint="default" w:ascii="Times New Roman" w:hAnsi="Times New Roman" w:eastAsia="宋体" w:cs="Times New Roman"/>
          <w:color w:val="auto"/>
          <w:sz w:val="24"/>
          <w:szCs w:val="22"/>
        </w:rPr>
        <w:t>1。</w:t>
      </w:r>
    </w:p>
    <w:p w14:paraId="52E8C5F6">
      <w:pPr>
        <w:spacing w:line="360" w:lineRule="auto"/>
        <w:ind w:firstLine="482" w:firstLineChars="200"/>
        <w:jc w:val="center"/>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szCs w:val="22"/>
        </w:rPr>
        <w:t xml:space="preserve">表 </w:t>
      </w:r>
      <w:r>
        <w:rPr>
          <w:rFonts w:hint="default" w:ascii="Times New Roman" w:hAnsi="Times New Roman" w:eastAsia="宋体" w:cs="Times New Roman"/>
          <w:b/>
          <w:bCs/>
          <w:color w:val="auto"/>
          <w:sz w:val="24"/>
          <w:szCs w:val="22"/>
          <w:lang w:eastAsia="zh-CN"/>
        </w:rPr>
        <w:t>2.1-</w:t>
      </w:r>
      <w:r>
        <w:rPr>
          <w:rFonts w:hint="default" w:ascii="Times New Roman" w:hAnsi="Times New Roman" w:eastAsia="宋体" w:cs="Times New Roman"/>
          <w:b/>
          <w:bCs/>
          <w:color w:val="auto"/>
          <w:sz w:val="24"/>
          <w:szCs w:val="22"/>
        </w:rPr>
        <w:t>1项目涉及主要危险物质存储量及分布情况表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47"/>
        <w:gridCol w:w="1502"/>
        <w:gridCol w:w="3048"/>
        <w:gridCol w:w="1298"/>
        <w:gridCol w:w="1892"/>
      </w:tblGrid>
      <w:tr w14:paraId="76A44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3" w:hRule="atLeast"/>
        </w:trPr>
        <w:tc>
          <w:tcPr>
            <w:tcW w:w="1547" w:type="dxa"/>
            <w:tcBorders>
              <w:bottom w:val="single" w:color="auto" w:sz="4" w:space="0"/>
            </w:tcBorders>
            <w:shd w:val="clear" w:color="auto" w:fill="auto"/>
            <w:vAlign w:val="center"/>
          </w:tcPr>
          <w:p w14:paraId="2A5E5B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危险单元</w:t>
            </w:r>
          </w:p>
        </w:tc>
        <w:tc>
          <w:tcPr>
            <w:tcW w:w="1502" w:type="dxa"/>
            <w:tcBorders>
              <w:bottom w:val="single" w:color="auto" w:sz="4" w:space="0"/>
            </w:tcBorders>
            <w:shd w:val="clear" w:color="auto" w:fill="auto"/>
            <w:vAlign w:val="center"/>
          </w:tcPr>
          <w:p w14:paraId="29B1A3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w:t>
            </w:r>
          </w:p>
        </w:tc>
        <w:tc>
          <w:tcPr>
            <w:tcW w:w="3048" w:type="dxa"/>
            <w:tcBorders>
              <w:bottom w:val="single" w:color="auto" w:sz="4" w:space="0"/>
            </w:tcBorders>
            <w:shd w:val="clear" w:color="auto" w:fill="auto"/>
            <w:vAlign w:val="center"/>
          </w:tcPr>
          <w:p w14:paraId="44B837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物料最大存储量/在线量（t）</w:t>
            </w:r>
          </w:p>
        </w:tc>
        <w:tc>
          <w:tcPr>
            <w:tcW w:w="1298" w:type="dxa"/>
            <w:tcBorders>
              <w:bottom w:val="single" w:color="auto" w:sz="4" w:space="0"/>
            </w:tcBorders>
            <w:shd w:val="clear" w:color="auto" w:fill="auto"/>
            <w:vAlign w:val="center"/>
          </w:tcPr>
          <w:p w14:paraId="465FE0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物料状态</w:t>
            </w:r>
          </w:p>
        </w:tc>
        <w:tc>
          <w:tcPr>
            <w:tcW w:w="1892" w:type="dxa"/>
            <w:tcBorders>
              <w:bottom w:val="single" w:color="auto" w:sz="4" w:space="0"/>
            </w:tcBorders>
            <w:shd w:val="clear" w:color="auto" w:fill="auto"/>
            <w:vAlign w:val="center"/>
          </w:tcPr>
          <w:p w14:paraId="28667F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存储方式</w:t>
            </w:r>
          </w:p>
        </w:tc>
      </w:tr>
      <w:tr w14:paraId="61291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47" w:type="dxa"/>
            <w:tcBorders>
              <w:top w:val="single" w:color="auto" w:sz="4" w:space="0"/>
            </w:tcBorders>
            <w:shd w:val="clear" w:color="auto" w:fill="auto"/>
            <w:vAlign w:val="center"/>
          </w:tcPr>
          <w:p w14:paraId="587ED1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生产单元</w:t>
            </w:r>
          </w:p>
        </w:tc>
        <w:tc>
          <w:tcPr>
            <w:tcW w:w="1502" w:type="dxa"/>
            <w:tcBorders>
              <w:top w:val="single" w:color="auto" w:sz="4" w:space="0"/>
            </w:tcBorders>
            <w:shd w:val="clear" w:color="auto" w:fill="auto"/>
            <w:vAlign w:val="center"/>
          </w:tcPr>
          <w:p w14:paraId="59B7BD69">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天然气（甲烷）</w:t>
            </w:r>
          </w:p>
        </w:tc>
        <w:tc>
          <w:tcPr>
            <w:tcW w:w="3048" w:type="dxa"/>
            <w:tcBorders>
              <w:top w:val="single" w:color="auto" w:sz="4" w:space="0"/>
            </w:tcBorders>
            <w:shd w:val="clear" w:color="auto" w:fill="auto"/>
            <w:vAlign w:val="center"/>
          </w:tcPr>
          <w:p w14:paraId="0E88AB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0.01</w:t>
            </w:r>
          </w:p>
        </w:tc>
        <w:tc>
          <w:tcPr>
            <w:tcW w:w="1298" w:type="dxa"/>
            <w:tcBorders>
              <w:top w:val="single" w:color="auto" w:sz="4" w:space="0"/>
            </w:tcBorders>
            <w:shd w:val="clear" w:color="auto" w:fill="auto"/>
            <w:vAlign w:val="center"/>
          </w:tcPr>
          <w:p w14:paraId="1A5F44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气态</w:t>
            </w:r>
          </w:p>
        </w:tc>
        <w:tc>
          <w:tcPr>
            <w:tcW w:w="1892" w:type="dxa"/>
            <w:tcBorders>
              <w:top w:val="single" w:color="auto" w:sz="4" w:space="0"/>
            </w:tcBorders>
            <w:shd w:val="clear" w:color="auto" w:fill="auto"/>
            <w:vAlign w:val="center"/>
          </w:tcPr>
          <w:p w14:paraId="3756F689">
            <w:pPr>
              <w:keepNext w:val="0"/>
              <w:keepLines w:val="0"/>
              <w:suppressLineNumbers w:val="0"/>
              <w:spacing w:before="0" w:beforeAutospacing="0" w:after="0" w:afterAutospacing="0"/>
              <w:ind w:left="-99" w:leftChars="-47" w:right="-88" w:rightChars="-42"/>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auto"/>
                <w:sz w:val="21"/>
                <w:szCs w:val="21"/>
                <w:lang w:val="en-US" w:eastAsia="zh-CN"/>
              </w:rPr>
              <w:t>管道气</w:t>
            </w:r>
          </w:p>
        </w:tc>
      </w:tr>
      <w:tr w14:paraId="5C78B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47" w:type="dxa"/>
            <w:tcBorders>
              <w:top w:val="single" w:color="auto" w:sz="4" w:space="0"/>
            </w:tcBorders>
            <w:shd w:val="clear" w:color="auto" w:fill="auto"/>
            <w:vAlign w:val="center"/>
          </w:tcPr>
          <w:p w14:paraId="4E57298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储存单元</w:t>
            </w:r>
          </w:p>
        </w:tc>
        <w:tc>
          <w:tcPr>
            <w:tcW w:w="1502" w:type="dxa"/>
            <w:tcBorders>
              <w:top w:val="single" w:color="auto" w:sz="4" w:space="0"/>
            </w:tcBorders>
            <w:shd w:val="clear" w:color="auto" w:fill="auto"/>
            <w:vAlign w:val="center"/>
          </w:tcPr>
          <w:p w14:paraId="3875B52A">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cs="Times New Roman"/>
                <w:color w:val="auto"/>
                <w:sz w:val="21"/>
                <w:szCs w:val="21"/>
                <w:highlight w:val="none"/>
                <w:lang w:val="en-US" w:eastAsia="zh-CN"/>
              </w:rPr>
              <w:t>37%盐酸*</w:t>
            </w:r>
          </w:p>
        </w:tc>
        <w:tc>
          <w:tcPr>
            <w:tcW w:w="3048" w:type="dxa"/>
            <w:tcBorders>
              <w:top w:val="single" w:color="auto" w:sz="4" w:space="0"/>
            </w:tcBorders>
            <w:shd w:val="clear" w:color="auto" w:fill="auto"/>
            <w:vAlign w:val="center"/>
          </w:tcPr>
          <w:p w14:paraId="2188C9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26.76</w:t>
            </w:r>
          </w:p>
        </w:tc>
        <w:tc>
          <w:tcPr>
            <w:tcW w:w="1298" w:type="dxa"/>
            <w:tcBorders>
              <w:top w:val="single" w:color="auto" w:sz="4" w:space="0"/>
            </w:tcBorders>
            <w:shd w:val="clear" w:color="auto" w:fill="auto"/>
            <w:vAlign w:val="center"/>
          </w:tcPr>
          <w:p w14:paraId="1FEB070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液体</w:t>
            </w:r>
          </w:p>
        </w:tc>
        <w:tc>
          <w:tcPr>
            <w:tcW w:w="1892" w:type="dxa"/>
            <w:tcBorders>
              <w:top w:val="single" w:color="auto" w:sz="4" w:space="0"/>
            </w:tcBorders>
            <w:shd w:val="clear" w:color="auto" w:fill="auto"/>
            <w:vAlign w:val="center"/>
          </w:tcPr>
          <w:p w14:paraId="2A1063C5">
            <w:pPr>
              <w:keepNext w:val="0"/>
              <w:keepLines w:val="0"/>
              <w:suppressLineNumbers w:val="0"/>
              <w:spacing w:before="0" w:beforeAutospacing="0" w:after="0" w:afterAutospacing="0"/>
              <w:ind w:left="-99" w:leftChars="-47" w:right="-88" w:rightChars="-42"/>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auto"/>
                <w:sz w:val="21"/>
                <w:szCs w:val="21"/>
                <w:lang w:val="en-US" w:eastAsia="zh-CN"/>
              </w:rPr>
              <w:t>盐酸仓库</w:t>
            </w:r>
          </w:p>
        </w:tc>
      </w:tr>
    </w:tbl>
    <w:p w14:paraId="0C5DF479">
      <w:pPr>
        <w:spacing w:line="360" w:lineRule="auto"/>
        <w:jc w:val="both"/>
        <w:rPr>
          <w:rFonts w:hint="default" w:ascii="Times New Roman" w:hAnsi="Times New Roman" w:eastAsia="宋体" w:cs="Times New Roman"/>
          <w:b/>
          <w:bCs/>
          <w:color w:val="auto"/>
          <w:sz w:val="24"/>
          <w:szCs w:val="22"/>
          <w:highlight w:val="none"/>
          <w:lang w:val="en-US" w:eastAsia="zh-CN"/>
        </w:rPr>
      </w:pPr>
      <w:r>
        <w:rPr>
          <w:rFonts w:hint="eastAsia" w:cs="Times New Roman"/>
          <w:b/>
          <w:bCs/>
          <w:color w:val="auto"/>
          <w:sz w:val="24"/>
          <w:szCs w:val="22"/>
          <w:highlight w:val="none"/>
          <w:lang w:val="en-US" w:eastAsia="zh-CN"/>
        </w:rPr>
        <w:t>*备注：本项目盐酸浓度为31%~33%，按33%计，33%盐酸厂区最大储存量为30t，则37%盐酸储存量为26.76t。</w:t>
      </w:r>
    </w:p>
    <w:p w14:paraId="09D4E16D">
      <w:pPr>
        <w:spacing w:line="360" w:lineRule="auto"/>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 xml:space="preserve">表 </w:t>
      </w:r>
      <w:r>
        <w:rPr>
          <w:rFonts w:hint="default" w:ascii="Times New Roman" w:hAnsi="Times New Roman" w:eastAsia="宋体" w:cs="Times New Roman"/>
          <w:b/>
          <w:bCs/>
          <w:color w:val="auto"/>
          <w:sz w:val="24"/>
          <w:szCs w:val="22"/>
          <w:highlight w:val="none"/>
          <w:lang w:eastAsia="zh-CN"/>
        </w:rPr>
        <w:t>2.1-</w:t>
      </w:r>
      <w:r>
        <w:rPr>
          <w:rFonts w:hint="eastAsia" w:cs="Times New Roman"/>
          <w:b/>
          <w:bCs/>
          <w:color w:val="auto"/>
          <w:sz w:val="24"/>
          <w:szCs w:val="22"/>
          <w:highlight w:val="none"/>
          <w:lang w:val="en-US" w:eastAsia="zh-CN"/>
        </w:rPr>
        <w:t>2</w:t>
      </w:r>
      <w:r>
        <w:rPr>
          <w:rFonts w:hint="default" w:ascii="Times New Roman" w:hAnsi="Times New Roman" w:eastAsia="宋体" w:cs="Times New Roman"/>
          <w:b/>
          <w:bCs/>
          <w:color w:val="auto"/>
          <w:sz w:val="24"/>
          <w:szCs w:val="22"/>
          <w:highlight w:val="none"/>
        </w:rPr>
        <w:t xml:space="preserve"> </w:t>
      </w:r>
      <w:r>
        <w:rPr>
          <w:rFonts w:hint="eastAsia" w:cs="Times New Roman"/>
          <w:b/>
          <w:bCs/>
          <w:color w:val="auto"/>
          <w:sz w:val="24"/>
          <w:szCs w:val="22"/>
          <w:highlight w:val="none"/>
          <w:lang w:val="en-US" w:eastAsia="zh-CN"/>
        </w:rPr>
        <w:t>盐酸</w:t>
      </w:r>
      <w:r>
        <w:rPr>
          <w:rFonts w:hint="default" w:ascii="Times New Roman" w:hAnsi="Times New Roman" w:eastAsia="宋体" w:cs="Times New Roman"/>
          <w:b/>
          <w:bCs/>
          <w:color w:val="auto"/>
          <w:sz w:val="24"/>
          <w:szCs w:val="22"/>
          <w:highlight w:val="none"/>
        </w:rPr>
        <w:t>理化性质表</w:t>
      </w:r>
    </w:p>
    <w:tbl>
      <w:tblPr>
        <w:tblStyle w:val="32"/>
        <w:tblW w:w="9091" w:type="dxa"/>
        <w:tblInd w:w="108"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091"/>
      </w:tblGrid>
      <w:tr w14:paraId="0FF498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7FE0CADE">
            <w:pPr>
              <w:keepNext w:val="0"/>
              <w:keepLines w:val="0"/>
              <w:suppressLineNumbers w:val="0"/>
              <w:adjustRightInd w:val="0"/>
              <w:snapToGrid w:val="0"/>
              <w:spacing w:before="0" w:beforeAutospacing="0" w:after="0" w:afterAutospacing="0" w:line="230" w:lineRule="exact"/>
              <w:ind w:left="0" w:right="0"/>
              <w:rPr>
                <w:rFonts w:hint="eastAsia" w:eastAsia="宋体"/>
                <w:b/>
                <w:bCs/>
                <w:sz w:val="21"/>
                <w:szCs w:val="21"/>
                <w:lang w:eastAsia="zh-CN"/>
              </w:rPr>
            </w:pPr>
            <w:r>
              <w:rPr>
                <w:rFonts w:hint="eastAsia"/>
                <w:b/>
                <w:bCs/>
                <w:sz w:val="21"/>
                <w:szCs w:val="21"/>
              </w:rPr>
              <w:t>化学品名称</w:t>
            </w:r>
            <w:r>
              <w:rPr>
                <w:rFonts w:hint="eastAsia"/>
                <w:b/>
                <w:bCs/>
                <w:sz w:val="21"/>
                <w:szCs w:val="21"/>
                <w:lang w:eastAsia="zh-CN"/>
              </w:rPr>
              <w:t xml:space="preserve"> </w:t>
            </w:r>
          </w:p>
          <w:p w14:paraId="1B1BD0F3">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中文名称：盐酸</w:t>
            </w:r>
            <w:r>
              <w:rPr>
                <w:rFonts w:hint="eastAsia"/>
                <w:b/>
                <w:bCs/>
                <w:sz w:val="21"/>
                <w:szCs w:val="21"/>
                <w:lang w:eastAsia="zh-CN"/>
              </w:rPr>
              <w:t xml:space="preserve">  </w:t>
            </w:r>
            <w:r>
              <w:rPr>
                <w:rFonts w:hint="eastAsia"/>
                <w:b/>
                <w:bCs/>
                <w:sz w:val="21"/>
                <w:szCs w:val="21"/>
              </w:rPr>
              <w:t xml:space="preserve"> </w:t>
            </w:r>
            <w:r>
              <w:rPr>
                <w:rFonts w:hint="eastAsia"/>
                <w:b/>
                <w:bCs/>
                <w:sz w:val="21"/>
                <w:szCs w:val="21"/>
                <w:lang w:eastAsia="zh-CN"/>
              </w:rPr>
              <w:t xml:space="preserve"> </w:t>
            </w:r>
            <w:r>
              <w:rPr>
                <w:rFonts w:hint="eastAsia"/>
                <w:sz w:val="21"/>
                <w:szCs w:val="21"/>
              </w:rPr>
              <w:t>英文名称：</w:t>
            </w:r>
            <w:r>
              <w:rPr>
                <w:rFonts w:hint="eastAsia" w:ascii="_x000B__x000C_" w:hAnsi="_x000B__x000C_"/>
                <w:sz w:val="21"/>
                <w:szCs w:val="21"/>
              </w:rPr>
              <w:t>hydrochloric acid    </w:t>
            </w:r>
            <w:r>
              <w:rPr>
                <w:rFonts w:hint="eastAsia"/>
                <w:sz w:val="21"/>
                <w:szCs w:val="21"/>
                <w:lang w:eastAsia="zh-CN"/>
              </w:rPr>
              <w:t xml:space="preserve">   </w:t>
            </w:r>
            <w:r>
              <w:rPr>
                <w:rFonts w:hint="eastAsia"/>
                <w:sz w:val="21"/>
                <w:szCs w:val="21"/>
              </w:rPr>
              <w:t xml:space="preserve"> CAS号：</w:t>
            </w:r>
            <w:r>
              <w:rPr>
                <w:rFonts w:hint="eastAsia" w:ascii="_x000B__x000C_" w:hAnsi="_x000B__x000C_"/>
                <w:sz w:val="21"/>
                <w:szCs w:val="21"/>
              </w:rPr>
              <w:t>7647-01-0 </w:t>
            </w:r>
            <w:r>
              <w:rPr>
                <w:rFonts w:hint="eastAsia"/>
                <w:sz w:val="21"/>
                <w:szCs w:val="21"/>
              </w:rPr>
              <w:t>  </w:t>
            </w:r>
            <w:r>
              <w:rPr>
                <w:rFonts w:hint="eastAsia"/>
                <w:sz w:val="21"/>
                <w:szCs w:val="21"/>
                <w:lang w:eastAsia="zh-CN"/>
              </w:rPr>
              <w:t xml:space="preserve">   </w:t>
            </w:r>
            <w:r>
              <w:rPr>
                <w:rFonts w:hint="eastAsia"/>
                <w:sz w:val="21"/>
                <w:szCs w:val="21"/>
              </w:rPr>
              <w:t>危规号：81013</w:t>
            </w:r>
          </w:p>
          <w:p w14:paraId="1197FD94">
            <w:pPr>
              <w:keepNext w:val="0"/>
              <w:keepLines w:val="0"/>
              <w:suppressLineNumbers w:val="0"/>
              <w:adjustRightInd w:val="0"/>
              <w:snapToGrid w:val="0"/>
              <w:spacing w:before="0" w:beforeAutospacing="0" w:after="0" w:afterAutospacing="0" w:line="230" w:lineRule="exact"/>
              <w:ind w:left="0" w:right="0" w:firstLine="420" w:firstLineChars="200"/>
              <w:rPr>
                <w:rFonts w:hint="eastAsia"/>
                <w:b/>
                <w:bCs/>
                <w:sz w:val="21"/>
                <w:szCs w:val="21"/>
              </w:rPr>
            </w:pPr>
            <w:r>
              <w:rPr>
                <w:rFonts w:hint="eastAsia"/>
                <w:sz w:val="21"/>
                <w:szCs w:val="21"/>
              </w:rPr>
              <w:t> 分子式：HCl</w:t>
            </w:r>
            <w:r>
              <w:rPr>
                <w:rFonts w:hint="eastAsia"/>
                <w:sz w:val="21"/>
                <w:szCs w:val="21"/>
                <w:lang w:eastAsia="zh-CN"/>
              </w:rPr>
              <w:t xml:space="preserve"> </w:t>
            </w:r>
            <w:r>
              <w:rPr>
                <w:rFonts w:hint="eastAsia"/>
                <w:sz w:val="21"/>
                <w:szCs w:val="21"/>
                <w:vertAlign w:val="subscript"/>
                <w:lang w:eastAsia="zh-CN"/>
              </w:rPr>
              <w:t xml:space="preserve">    </w:t>
            </w:r>
            <w:r>
              <w:rPr>
                <w:rFonts w:hint="eastAsia"/>
                <w:sz w:val="21"/>
                <w:szCs w:val="21"/>
              </w:rPr>
              <w:t>分子量：36.46</w:t>
            </w:r>
            <w:r>
              <w:rPr>
                <w:rFonts w:hint="eastAsia"/>
                <w:sz w:val="21"/>
                <w:szCs w:val="21"/>
                <w:lang w:eastAsia="zh-CN"/>
              </w:rPr>
              <w:t xml:space="preserve">   </w:t>
            </w:r>
            <w:r>
              <w:rPr>
                <w:rFonts w:hint="eastAsia"/>
                <w:sz w:val="21"/>
                <w:szCs w:val="21"/>
              </w:rPr>
              <w:t>危险性类别：第8.1 类酸性腐蚀品</w:t>
            </w:r>
            <w:r>
              <w:rPr>
                <w:rFonts w:hint="eastAsia"/>
                <w:sz w:val="21"/>
                <w:szCs w:val="21"/>
                <w:lang w:eastAsia="zh-CN"/>
              </w:rPr>
              <w:t xml:space="preserve">   </w:t>
            </w:r>
            <w:r>
              <w:rPr>
                <w:rFonts w:hint="eastAsia"/>
                <w:sz w:val="21"/>
                <w:szCs w:val="21"/>
              </w:rPr>
              <w:t>UN编号：1789</w:t>
            </w:r>
          </w:p>
        </w:tc>
      </w:tr>
      <w:tr w14:paraId="5CC7CD5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1220C009">
            <w:pPr>
              <w:keepNext w:val="0"/>
              <w:keepLines w:val="0"/>
              <w:suppressLineNumbers w:val="0"/>
              <w:adjustRightInd w:val="0"/>
              <w:snapToGrid w:val="0"/>
              <w:spacing w:before="0" w:beforeAutospacing="0" w:after="0" w:afterAutospacing="0" w:line="230" w:lineRule="exact"/>
              <w:ind w:left="0" w:right="0"/>
              <w:rPr>
                <w:rFonts w:hint="eastAsia" w:eastAsia="宋体"/>
                <w:sz w:val="21"/>
                <w:szCs w:val="21"/>
                <w:lang w:eastAsia="zh-CN"/>
              </w:rPr>
            </w:pPr>
            <w:r>
              <w:rPr>
                <w:rFonts w:hint="eastAsia"/>
                <w:b/>
                <w:bCs/>
                <w:sz w:val="21"/>
                <w:szCs w:val="21"/>
              </w:rPr>
              <w:t>危险性概述</w:t>
            </w:r>
            <w:r>
              <w:rPr>
                <w:rFonts w:hint="eastAsia"/>
                <w:sz w:val="21"/>
                <w:szCs w:val="21"/>
                <w:lang w:eastAsia="zh-CN"/>
              </w:rPr>
              <w:t xml:space="preserve"> </w:t>
            </w:r>
          </w:p>
          <w:p w14:paraId="6088724E">
            <w:pPr>
              <w:keepNext w:val="0"/>
              <w:keepLines w:val="0"/>
              <w:suppressLineNumbers w:val="0"/>
              <w:adjustRightInd w:val="0"/>
              <w:snapToGrid w:val="0"/>
              <w:spacing w:before="0" w:beforeAutospacing="0" w:after="0" w:afterAutospacing="0" w:line="230" w:lineRule="exact"/>
              <w:ind w:left="0" w:right="0" w:firstLine="420" w:firstLineChars="200"/>
              <w:rPr>
                <w:rFonts w:hint="eastAsia" w:ascii="_x000B__x000C_" w:hAnsi="_x000B__x000C_"/>
                <w:sz w:val="21"/>
                <w:szCs w:val="21"/>
              </w:rPr>
            </w:pPr>
            <w:r>
              <w:rPr>
                <w:rFonts w:hint="eastAsia"/>
                <w:sz w:val="21"/>
                <w:szCs w:val="21"/>
              </w:rPr>
              <w:t>健康危害：</w:t>
            </w:r>
            <w:r>
              <w:rPr>
                <w:rFonts w:hint="eastAsia" w:ascii="_x000B__x000C_" w:hAnsi="_x000B__x000C_"/>
                <w:sz w:val="21"/>
                <w:szCs w:val="21"/>
              </w:rPr>
              <w:t>接触其蒸气或烟雾，可引起急性中毒，出现眼结膜炎，鼻及口腔粘膜有烧灼感，鼻衄、齿龈出血，气管炎等。误服可引起消化道灼伤、溃疡形成，有可能引起胃穿孔、腹膜炎等。眼和皮肤接触可致灼伤。慢性影响：长期接触，引起慢性鼻炎、慢性支气管炎、牙齿酸蚀症及皮肤损害</w:t>
            </w:r>
          </w:p>
          <w:p w14:paraId="1EF9A7C3">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ascii="_x000B__x000C_" w:hAnsi="_x000B__x000C_"/>
                <w:sz w:val="21"/>
                <w:szCs w:val="21"/>
              </w:rPr>
              <w:t>环境危害：对环境有危害，对水体和土壤可造成污染</w:t>
            </w:r>
          </w:p>
          <w:p w14:paraId="30495E32">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燃爆危险：</w:t>
            </w:r>
            <w:r>
              <w:rPr>
                <w:rFonts w:hint="eastAsia" w:ascii="_x000B__x000C_" w:hAnsi="_x000B__x000C_"/>
                <w:sz w:val="21"/>
                <w:szCs w:val="21"/>
              </w:rPr>
              <w:t>本品不燃，具强腐蚀性、强刺激性，可致人体灼伤</w:t>
            </w:r>
          </w:p>
        </w:tc>
      </w:tr>
      <w:tr w14:paraId="0B2622D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6B99B3F1">
            <w:pPr>
              <w:keepNext w:val="0"/>
              <w:keepLines w:val="0"/>
              <w:suppressLineNumbers w:val="0"/>
              <w:adjustRightInd w:val="0"/>
              <w:snapToGrid w:val="0"/>
              <w:spacing w:before="0" w:beforeAutospacing="0" w:after="0" w:afterAutospacing="0" w:line="230" w:lineRule="exact"/>
              <w:ind w:left="0" w:right="0"/>
              <w:rPr>
                <w:rFonts w:hint="eastAsia" w:eastAsia="宋体"/>
                <w:b/>
                <w:bCs/>
                <w:sz w:val="21"/>
                <w:szCs w:val="21"/>
                <w:lang w:eastAsia="zh-CN"/>
              </w:rPr>
            </w:pPr>
            <w:r>
              <w:rPr>
                <w:rFonts w:hint="eastAsia"/>
                <w:b/>
                <w:bCs/>
                <w:sz w:val="21"/>
                <w:szCs w:val="21"/>
              </w:rPr>
              <w:t>急救措施</w:t>
            </w:r>
            <w:r>
              <w:rPr>
                <w:rFonts w:hint="eastAsia"/>
                <w:b/>
                <w:bCs/>
                <w:sz w:val="21"/>
                <w:szCs w:val="21"/>
                <w:lang w:eastAsia="zh-CN"/>
              </w:rPr>
              <w:t xml:space="preserve"> </w:t>
            </w:r>
          </w:p>
          <w:p w14:paraId="7A1D0B16">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皮肤接触：</w:t>
            </w:r>
            <w:r>
              <w:rPr>
                <w:rFonts w:hint="eastAsia" w:ascii="_x000B__x000C_" w:hAnsi="_x000B__x000C_"/>
                <w:sz w:val="21"/>
                <w:szCs w:val="21"/>
              </w:rPr>
              <w:t>立即脱去污染的衣着，用大量流动清水冲洗至少15分钟。就医</w:t>
            </w:r>
          </w:p>
          <w:p w14:paraId="115D14F6">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眼睛接触：</w:t>
            </w:r>
            <w:r>
              <w:rPr>
                <w:rFonts w:hint="eastAsia" w:ascii="_x000B__x000C_" w:hAnsi="_x000B__x000C_"/>
                <w:sz w:val="21"/>
                <w:szCs w:val="21"/>
              </w:rPr>
              <w:t>立即提起眼睑，用大量流动清水或生理盐水彻底冲洗至少15分钟。就医</w:t>
            </w:r>
          </w:p>
          <w:p w14:paraId="7630099F">
            <w:pPr>
              <w:keepNext w:val="0"/>
              <w:keepLines w:val="0"/>
              <w:suppressLineNumbers w:val="0"/>
              <w:adjustRightInd w:val="0"/>
              <w:snapToGrid w:val="0"/>
              <w:spacing w:before="0" w:beforeAutospacing="0" w:after="0" w:afterAutospacing="0" w:line="230" w:lineRule="exact"/>
              <w:ind w:left="0" w:right="0" w:firstLine="420" w:firstLineChars="200"/>
              <w:rPr>
                <w:rFonts w:hint="eastAsia" w:eastAsia="宋体"/>
                <w:sz w:val="21"/>
                <w:szCs w:val="21"/>
                <w:lang w:eastAsia="zh-CN"/>
              </w:rPr>
            </w:pPr>
            <w:r>
              <w:rPr>
                <w:rFonts w:hint="eastAsia"/>
                <w:sz w:val="21"/>
                <w:szCs w:val="21"/>
              </w:rPr>
              <w:t>吸入：迅速脱离现场至空气新鲜处。保持呼吸道通畅。如呼吸困难，给输氧。如呼吸停止，立即进行人工呼吸。就医</w:t>
            </w:r>
            <w:r>
              <w:rPr>
                <w:rFonts w:hint="eastAsia"/>
                <w:sz w:val="21"/>
                <w:szCs w:val="21"/>
                <w:lang w:eastAsia="zh-CN"/>
              </w:rPr>
              <w:t xml:space="preserve">  </w:t>
            </w:r>
          </w:p>
          <w:p w14:paraId="50839A93">
            <w:pPr>
              <w:keepNext w:val="0"/>
              <w:keepLines w:val="0"/>
              <w:suppressLineNumbers w:val="0"/>
              <w:adjustRightInd w:val="0"/>
              <w:snapToGrid w:val="0"/>
              <w:spacing w:before="0" w:beforeAutospacing="0" w:after="0" w:afterAutospacing="0" w:line="230" w:lineRule="exact"/>
              <w:ind w:left="0" w:right="0" w:firstLine="420" w:firstLineChars="200"/>
              <w:rPr>
                <w:rFonts w:hint="eastAsia"/>
                <w:b/>
                <w:bCs/>
                <w:sz w:val="21"/>
                <w:szCs w:val="21"/>
              </w:rPr>
            </w:pPr>
            <w:r>
              <w:rPr>
                <w:rFonts w:hint="eastAsia"/>
                <w:sz w:val="21"/>
                <w:szCs w:val="21"/>
              </w:rPr>
              <w:t>食入：</w:t>
            </w:r>
            <w:r>
              <w:rPr>
                <w:rFonts w:hint="eastAsia" w:ascii="_x000B__x000C_" w:hAnsi="_x000B__x000C_"/>
                <w:sz w:val="21"/>
                <w:szCs w:val="21"/>
              </w:rPr>
              <w:t>用水漱口，给饮牛奶或蛋清。就医</w:t>
            </w:r>
          </w:p>
        </w:tc>
      </w:tr>
      <w:tr w14:paraId="70914A0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073A4C4D">
            <w:pPr>
              <w:keepNext w:val="0"/>
              <w:keepLines w:val="0"/>
              <w:suppressLineNumbers w:val="0"/>
              <w:adjustRightInd w:val="0"/>
              <w:snapToGrid w:val="0"/>
              <w:spacing w:before="0" w:beforeAutospacing="0" w:after="0" w:afterAutospacing="0" w:line="230" w:lineRule="exact"/>
              <w:ind w:left="0" w:right="0"/>
              <w:rPr>
                <w:rFonts w:hint="eastAsia" w:eastAsia="宋体"/>
                <w:sz w:val="21"/>
                <w:szCs w:val="21"/>
                <w:lang w:eastAsia="zh-CN"/>
              </w:rPr>
            </w:pPr>
            <w:r>
              <w:rPr>
                <w:rFonts w:hint="eastAsia"/>
                <w:b/>
                <w:bCs/>
                <w:sz w:val="21"/>
                <w:szCs w:val="21"/>
              </w:rPr>
              <w:t>消防措施</w:t>
            </w:r>
            <w:r>
              <w:rPr>
                <w:rFonts w:hint="eastAsia"/>
                <w:sz w:val="21"/>
                <w:szCs w:val="21"/>
                <w:lang w:eastAsia="zh-CN"/>
              </w:rPr>
              <w:t xml:space="preserve"> </w:t>
            </w:r>
          </w:p>
          <w:p w14:paraId="721237E4">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危险特性：</w:t>
            </w:r>
            <w:r>
              <w:rPr>
                <w:rFonts w:hint="eastAsia" w:ascii="_x000B__x000C_" w:hAnsi="_x000B__x000C_"/>
                <w:sz w:val="21"/>
                <w:szCs w:val="21"/>
              </w:rPr>
              <w:t>能与一些活性金属粉末发生反应, 放出氢气。遇氰化物能产生剧毒的氰化氢气体。与碱发生中合反应，并放出大量的热。具有较强的腐蚀性</w:t>
            </w:r>
          </w:p>
          <w:p w14:paraId="73E246FF">
            <w:pPr>
              <w:keepNext w:val="0"/>
              <w:keepLines w:val="0"/>
              <w:suppressLineNumbers w:val="0"/>
              <w:adjustRightInd w:val="0"/>
              <w:snapToGrid w:val="0"/>
              <w:spacing w:before="0" w:beforeAutospacing="0" w:after="0" w:afterAutospacing="0" w:line="230" w:lineRule="exact"/>
              <w:ind w:left="0" w:right="0"/>
              <w:rPr>
                <w:rFonts w:hint="eastAsia"/>
                <w:sz w:val="21"/>
                <w:szCs w:val="21"/>
              </w:rPr>
            </w:pPr>
            <w:r>
              <w:rPr>
                <w:rFonts w:hint="eastAsia"/>
                <w:sz w:val="21"/>
                <w:szCs w:val="21"/>
                <w:lang w:eastAsia="zh-CN"/>
              </w:rPr>
              <w:t xml:space="preserve">  </w:t>
            </w:r>
            <w:r>
              <w:rPr>
                <w:rFonts w:hint="eastAsia"/>
                <w:sz w:val="21"/>
                <w:szCs w:val="21"/>
              </w:rPr>
              <w:t>有害燃烧产物：氯化氢</w:t>
            </w:r>
          </w:p>
          <w:p w14:paraId="4BB12A59">
            <w:pPr>
              <w:keepNext w:val="0"/>
              <w:keepLines w:val="0"/>
              <w:suppressLineNumbers w:val="0"/>
              <w:adjustRightInd w:val="0"/>
              <w:snapToGrid w:val="0"/>
              <w:spacing w:before="0" w:beforeAutospacing="0" w:after="0" w:afterAutospacing="0" w:line="230" w:lineRule="exact"/>
              <w:ind w:left="0" w:right="0"/>
              <w:rPr>
                <w:rFonts w:hint="eastAsia"/>
                <w:sz w:val="21"/>
                <w:szCs w:val="21"/>
              </w:rPr>
            </w:pPr>
            <w:r>
              <w:rPr>
                <w:rFonts w:hint="eastAsia"/>
                <w:sz w:val="21"/>
                <w:szCs w:val="21"/>
                <w:lang w:eastAsia="zh-CN"/>
              </w:rPr>
              <w:t xml:space="preserve">  </w:t>
            </w:r>
            <w:r>
              <w:rPr>
                <w:rFonts w:hint="eastAsia"/>
                <w:sz w:val="21"/>
                <w:szCs w:val="21"/>
              </w:rPr>
              <w:t>灭火方法：</w:t>
            </w:r>
            <w:r>
              <w:rPr>
                <w:rFonts w:hint="eastAsia" w:ascii="_x000B__x000C_" w:hAnsi="_x000B__x000C_"/>
                <w:sz w:val="21"/>
                <w:szCs w:val="21"/>
              </w:rPr>
              <w:t>用碱性物质如碳酸氢钠、碳酸钠、消石灰等中和。也可用大量水扑救</w:t>
            </w:r>
          </w:p>
        </w:tc>
      </w:tr>
      <w:tr w14:paraId="229E34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EAB2120">
            <w:pPr>
              <w:keepNext w:val="0"/>
              <w:keepLines w:val="0"/>
              <w:suppressLineNumbers w:val="0"/>
              <w:adjustRightInd w:val="0"/>
              <w:snapToGrid w:val="0"/>
              <w:spacing w:before="0" w:beforeAutospacing="0" w:after="0" w:afterAutospacing="0" w:line="230" w:lineRule="exact"/>
              <w:ind w:left="0" w:right="0"/>
              <w:rPr>
                <w:rFonts w:hint="eastAsia"/>
                <w:b/>
                <w:bCs/>
                <w:sz w:val="21"/>
                <w:szCs w:val="21"/>
              </w:rPr>
            </w:pPr>
            <w:r>
              <w:rPr>
                <w:rFonts w:hint="eastAsia"/>
                <w:b/>
                <w:bCs/>
                <w:sz w:val="21"/>
                <w:szCs w:val="21"/>
              </w:rPr>
              <w:t>泄漏应急处理</w:t>
            </w:r>
          </w:p>
          <w:p w14:paraId="05D125CA">
            <w:pPr>
              <w:keepNext w:val="0"/>
              <w:keepLines w:val="0"/>
              <w:suppressLineNumbers w:val="0"/>
              <w:adjustRightInd w:val="0"/>
              <w:snapToGrid w:val="0"/>
              <w:spacing w:before="0" w:beforeAutospacing="0" w:after="0" w:afterAutospacing="0" w:line="230" w:lineRule="exact"/>
              <w:ind w:left="0" w:right="0"/>
              <w:rPr>
                <w:rFonts w:hint="eastAsia"/>
                <w:b/>
                <w:bCs/>
                <w:sz w:val="21"/>
                <w:szCs w:val="21"/>
              </w:rPr>
            </w:pPr>
            <w:r>
              <w:rPr>
                <w:rFonts w:hint="eastAsia"/>
                <w:b/>
                <w:bCs/>
                <w:sz w:val="21"/>
                <w:szCs w:val="21"/>
                <w:lang w:eastAsia="zh-CN"/>
              </w:rPr>
              <w:t xml:space="preserve">  </w:t>
            </w:r>
            <w:r>
              <w:rPr>
                <w:rFonts w:hint="eastAsia" w:ascii="_x000B__x000C_" w:hAnsi="_x000B__x000C_"/>
                <w:sz w:val="21"/>
                <w:szCs w:val="21"/>
              </w:rPr>
              <w:t>迅速撤离泄漏污染区人员至安全区，并进行隔离，严格限制出入。建议应急处理人员戴自给正压式呼吸器，穿防酸碱工作服。不要直接接触泄漏物。尽可能切断泄漏源。小量泄漏：用砂土、干燥石灰或苏打灰混合。也可以用大量水冲洗，洗水稀释后放入废水系统。大量泄漏：构筑围堤或挖坑收容。用泵转移至槽车或专用收集器内，回收或运至废物处理场所处置</w:t>
            </w:r>
          </w:p>
        </w:tc>
      </w:tr>
      <w:tr w14:paraId="0AB87A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146769A6">
            <w:pPr>
              <w:keepNext w:val="0"/>
              <w:keepLines w:val="0"/>
              <w:suppressLineNumbers w:val="0"/>
              <w:adjustRightInd w:val="0"/>
              <w:snapToGrid w:val="0"/>
              <w:spacing w:before="0" w:beforeAutospacing="0" w:after="0" w:afterAutospacing="0" w:line="230" w:lineRule="exact"/>
              <w:ind w:left="0" w:right="0"/>
              <w:rPr>
                <w:rFonts w:hint="eastAsia"/>
                <w:b/>
                <w:bCs/>
                <w:sz w:val="21"/>
                <w:szCs w:val="21"/>
              </w:rPr>
            </w:pPr>
            <w:r>
              <w:rPr>
                <w:rFonts w:hint="eastAsia"/>
                <w:b/>
                <w:bCs/>
                <w:sz w:val="21"/>
                <w:szCs w:val="21"/>
              </w:rPr>
              <w:t>操作处置与储存</w:t>
            </w:r>
          </w:p>
          <w:p w14:paraId="2F852DE7">
            <w:pPr>
              <w:keepNext w:val="0"/>
              <w:keepLines w:val="0"/>
              <w:suppressLineNumbers w:val="0"/>
              <w:adjustRightInd w:val="0"/>
              <w:snapToGrid w:val="0"/>
              <w:spacing w:before="0" w:beforeAutospacing="0" w:after="0" w:afterAutospacing="0" w:line="230" w:lineRule="exact"/>
              <w:ind w:left="0" w:right="0" w:firstLine="420" w:firstLineChars="200"/>
              <w:rPr>
                <w:rFonts w:hint="eastAsia" w:ascii="_x000B__x000C_" w:hAnsi="_x000B__x000C_"/>
                <w:sz w:val="21"/>
                <w:szCs w:val="21"/>
              </w:rPr>
            </w:pPr>
            <w:r>
              <w:rPr>
                <w:rFonts w:hint="eastAsia"/>
                <w:sz w:val="21"/>
                <w:szCs w:val="21"/>
              </w:rPr>
              <w:t>操作注意事项：</w:t>
            </w:r>
            <w:r>
              <w:rPr>
                <w:rFonts w:hint="eastAsia" w:ascii="_x000B__x000C_" w:hAnsi="_x000B__x000C_"/>
                <w:sz w:val="21"/>
                <w:szCs w:val="21"/>
              </w:rPr>
              <w:t>密闭操作，注意通风。操作尽可能机械化、自动化。操作人员必须经过专门培训，严格遵守操作规程。建议操作人员佩戴自吸过滤式防毒面具（全面罩），穿橡胶耐酸碱服，戴橡胶耐酸碱手套。远离易燃、可燃物。防止蒸气泄漏到工作场所空气中。避免与碱类、胺类、碱金属接触。搬运时要轻装轻卸，防止包装及容器损坏。配备泄漏应急处理设备。倒空的容器可能残留有害物</w:t>
            </w:r>
          </w:p>
          <w:p w14:paraId="3A9D48A1">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储存注意事项：</w:t>
            </w:r>
            <w:r>
              <w:rPr>
                <w:rFonts w:hint="eastAsia" w:ascii="_x000B__x000C_" w:hAnsi="_x000B__x000C_"/>
                <w:sz w:val="21"/>
                <w:szCs w:val="21"/>
              </w:rPr>
              <w:t>储存于阴凉、通风的库房。库温不超过30℃，相对湿度不超过85％。保持容器密封。应与碱类、胺类、碱金属、易（可）燃物分开存放，切忌混储。储区应备有泄漏应急处理设备和合适的收容材料</w:t>
            </w:r>
          </w:p>
        </w:tc>
      </w:tr>
      <w:tr w14:paraId="3A356F8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48F73F1E">
            <w:pPr>
              <w:keepNext w:val="0"/>
              <w:keepLines w:val="0"/>
              <w:suppressLineNumbers w:val="0"/>
              <w:adjustRightInd w:val="0"/>
              <w:snapToGrid w:val="0"/>
              <w:spacing w:before="0" w:beforeAutospacing="0" w:after="0" w:afterAutospacing="0" w:line="230" w:lineRule="exact"/>
              <w:ind w:left="0" w:right="0"/>
              <w:rPr>
                <w:rFonts w:hint="eastAsia"/>
                <w:b/>
                <w:bCs/>
                <w:sz w:val="21"/>
                <w:szCs w:val="21"/>
              </w:rPr>
            </w:pPr>
            <w:r>
              <w:rPr>
                <w:rFonts w:hint="eastAsia"/>
                <w:b/>
                <w:bCs/>
                <w:sz w:val="21"/>
                <w:szCs w:val="21"/>
              </w:rPr>
              <w:t>接触控制及个体防护</w:t>
            </w:r>
          </w:p>
          <w:p w14:paraId="11B0CA51">
            <w:pPr>
              <w:keepNext w:val="0"/>
              <w:keepLines w:val="0"/>
              <w:suppressLineNumbers w:val="0"/>
              <w:adjustRightInd w:val="0"/>
              <w:snapToGrid w:val="0"/>
              <w:spacing w:before="0" w:beforeAutospacing="0" w:after="0" w:afterAutospacing="0" w:line="230" w:lineRule="exact"/>
              <w:ind w:left="0" w:right="0" w:firstLine="375"/>
              <w:rPr>
                <w:rFonts w:hint="eastAsia"/>
                <w:sz w:val="21"/>
                <w:szCs w:val="21"/>
              </w:rPr>
            </w:pPr>
            <w:r>
              <w:rPr>
                <w:rFonts w:hint="eastAsia"/>
                <w:sz w:val="21"/>
                <w:szCs w:val="21"/>
              </w:rPr>
              <w:t>中国MAC(mg/m</w:t>
            </w:r>
            <w:r>
              <w:rPr>
                <w:rFonts w:hint="eastAsia"/>
                <w:sz w:val="21"/>
                <w:szCs w:val="21"/>
                <w:vertAlign w:val="superscript"/>
              </w:rPr>
              <w:t>3</w:t>
            </w:r>
            <w:r>
              <w:rPr>
                <w:rFonts w:hint="eastAsia"/>
                <w:sz w:val="21"/>
                <w:szCs w:val="21"/>
              </w:rPr>
              <w:t>)：15</w:t>
            </w:r>
          </w:p>
          <w:p w14:paraId="7589408B">
            <w:pPr>
              <w:keepNext w:val="0"/>
              <w:keepLines w:val="0"/>
              <w:suppressLineNumbers w:val="0"/>
              <w:adjustRightInd w:val="0"/>
              <w:snapToGrid w:val="0"/>
              <w:spacing w:before="0" w:beforeAutospacing="0" w:after="0" w:afterAutospacing="0" w:line="230" w:lineRule="exact"/>
              <w:ind w:left="0" w:right="0" w:firstLine="375"/>
              <w:rPr>
                <w:rFonts w:hint="eastAsia"/>
                <w:sz w:val="21"/>
                <w:szCs w:val="21"/>
              </w:rPr>
            </w:pPr>
            <w:r>
              <w:rPr>
                <w:rFonts w:hint="eastAsia"/>
                <w:sz w:val="21"/>
                <w:szCs w:val="21"/>
              </w:rPr>
              <w:t>工程控制：</w:t>
            </w:r>
            <w:r>
              <w:rPr>
                <w:rFonts w:hint="eastAsia" w:ascii="_x000B__x000C_" w:hAnsi="_x000B__x000C_"/>
                <w:sz w:val="21"/>
                <w:szCs w:val="21"/>
              </w:rPr>
              <w:t>密闭操作，注意通风。尽可能机械化、自动化。提供安全淋浴和洗眼设备</w:t>
            </w:r>
          </w:p>
          <w:p w14:paraId="2BD99BE2">
            <w:pPr>
              <w:keepNext w:val="0"/>
              <w:keepLines w:val="0"/>
              <w:suppressLineNumbers w:val="0"/>
              <w:adjustRightInd w:val="0"/>
              <w:snapToGrid w:val="0"/>
              <w:spacing w:before="0" w:beforeAutospacing="0" w:after="0" w:afterAutospacing="0" w:line="230" w:lineRule="exact"/>
              <w:ind w:left="0" w:right="0" w:firstLine="375"/>
              <w:rPr>
                <w:rFonts w:hint="eastAsia"/>
                <w:sz w:val="21"/>
                <w:szCs w:val="21"/>
              </w:rPr>
            </w:pPr>
            <w:r>
              <w:rPr>
                <w:rFonts w:hint="eastAsia"/>
                <w:sz w:val="21"/>
                <w:szCs w:val="21"/>
              </w:rPr>
              <w:t>呼吸系统防护：</w:t>
            </w:r>
            <w:r>
              <w:rPr>
                <w:rFonts w:hint="eastAsia" w:ascii="_x000B__x000C_" w:hAnsi="_x000B__x000C_"/>
                <w:sz w:val="21"/>
                <w:szCs w:val="21"/>
              </w:rPr>
              <w:t>可能接触其烟雾时，佩戴自吸过滤式防毒面具（全面罩）或空气呼吸器。紧急事态抢救或撤离时，建议佩戴氧气呼吸器</w:t>
            </w:r>
          </w:p>
          <w:p w14:paraId="430F042B">
            <w:pPr>
              <w:keepNext w:val="0"/>
              <w:keepLines w:val="0"/>
              <w:suppressLineNumbers w:val="0"/>
              <w:adjustRightInd w:val="0"/>
              <w:snapToGrid w:val="0"/>
              <w:spacing w:before="0" w:beforeAutospacing="0" w:after="0" w:afterAutospacing="0" w:line="230" w:lineRule="exact"/>
              <w:ind w:left="0" w:right="0" w:firstLine="375"/>
              <w:rPr>
                <w:rFonts w:hint="eastAsia" w:eastAsia="宋体"/>
                <w:sz w:val="21"/>
                <w:szCs w:val="21"/>
                <w:lang w:eastAsia="zh-CN"/>
              </w:rPr>
            </w:pPr>
            <w:r>
              <w:rPr>
                <w:rFonts w:hint="eastAsia"/>
                <w:sz w:val="21"/>
                <w:szCs w:val="21"/>
              </w:rPr>
              <w:t>眼睛防护：</w:t>
            </w:r>
            <w:r>
              <w:rPr>
                <w:rFonts w:hint="eastAsia" w:ascii="_x000B__x000C_" w:hAnsi="_x000B__x000C_"/>
                <w:sz w:val="21"/>
                <w:szCs w:val="21"/>
              </w:rPr>
              <w:t>呼吸系统防护中已作防护</w:t>
            </w:r>
            <w:r>
              <w:rPr>
                <w:rFonts w:hint="eastAsia"/>
                <w:sz w:val="21"/>
                <w:szCs w:val="21"/>
                <w:lang w:eastAsia="zh-CN"/>
              </w:rPr>
              <w:t xml:space="preserve">   </w:t>
            </w:r>
          </w:p>
          <w:p w14:paraId="6FE700DE">
            <w:pPr>
              <w:keepNext w:val="0"/>
              <w:keepLines w:val="0"/>
              <w:suppressLineNumbers w:val="0"/>
              <w:adjustRightInd w:val="0"/>
              <w:snapToGrid w:val="0"/>
              <w:spacing w:before="0" w:beforeAutospacing="0" w:after="0" w:afterAutospacing="0" w:line="230" w:lineRule="exact"/>
              <w:ind w:left="0" w:right="0" w:firstLine="375"/>
              <w:rPr>
                <w:rFonts w:hint="eastAsia"/>
                <w:sz w:val="21"/>
                <w:szCs w:val="21"/>
              </w:rPr>
            </w:pPr>
            <w:r>
              <w:rPr>
                <w:rFonts w:hint="eastAsia"/>
                <w:sz w:val="21"/>
                <w:szCs w:val="21"/>
              </w:rPr>
              <w:t>身体防护：</w:t>
            </w:r>
            <w:r>
              <w:rPr>
                <w:rFonts w:hint="eastAsia" w:ascii="_x000B__x000C_" w:hAnsi="_x000B__x000C_"/>
                <w:sz w:val="21"/>
                <w:szCs w:val="21"/>
              </w:rPr>
              <w:t>穿橡胶耐酸碱服</w:t>
            </w:r>
            <w:r>
              <w:rPr>
                <w:rFonts w:hint="eastAsia"/>
                <w:sz w:val="21"/>
                <w:szCs w:val="21"/>
                <w:lang w:eastAsia="zh-CN"/>
              </w:rPr>
              <w:t xml:space="preserve">   </w:t>
            </w:r>
            <w:r>
              <w:rPr>
                <w:rFonts w:hint="eastAsia"/>
                <w:sz w:val="21"/>
                <w:szCs w:val="21"/>
              </w:rPr>
              <w:t>手防护：</w:t>
            </w:r>
            <w:r>
              <w:rPr>
                <w:rFonts w:hint="eastAsia" w:ascii="_x000B__x000C_" w:hAnsi="_x000B__x000C_"/>
                <w:sz w:val="21"/>
                <w:szCs w:val="21"/>
              </w:rPr>
              <w:t>戴橡胶耐酸碱手套</w:t>
            </w:r>
          </w:p>
          <w:p w14:paraId="045CF353">
            <w:pPr>
              <w:keepNext w:val="0"/>
              <w:keepLines w:val="0"/>
              <w:suppressLineNumbers w:val="0"/>
              <w:adjustRightInd w:val="0"/>
              <w:snapToGrid w:val="0"/>
              <w:spacing w:before="0" w:beforeAutospacing="0" w:after="0" w:afterAutospacing="0" w:line="230" w:lineRule="exact"/>
              <w:ind w:left="0" w:right="0" w:firstLine="375"/>
              <w:rPr>
                <w:rFonts w:hint="eastAsia"/>
                <w:b/>
                <w:bCs/>
                <w:sz w:val="21"/>
                <w:szCs w:val="21"/>
              </w:rPr>
            </w:pPr>
            <w:r>
              <w:rPr>
                <w:rFonts w:hint="eastAsia"/>
                <w:sz w:val="21"/>
                <w:szCs w:val="21"/>
              </w:rPr>
              <w:t>其他防护：</w:t>
            </w:r>
            <w:r>
              <w:rPr>
                <w:rFonts w:hint="eastAsia" w:ascii="_x000B__x000C_" w:hAnsi="_x000B__x000C_"/>
                <w:sz w:val="21"/>
                <w:szCs w:val="21"/>
              </w:rPr>
              <w:t>工作现场禁止吸烟、进食和饮水。工作完毕，淋浴更衣。单独存放被毒物污染的衣服，洗后备用。保持良好的卫生习惯</w:t>
            </w:r>
          </w:p>
        </w:tc>
      </w:tr>
      <w:tr w14:paraId="77F68D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16B89951">
            <w:pPr>
              <w:keepNext w:val="0"/>
              <w:keepLines w:val="0"/>
              <w:suppressLineNumbers w:val="0"/>
              <w:adjustRightInd w:val="0"/>
              <w:snapToGrid w:val="0"/>
              <w:spacing w:before="0" w:beforeAutospacing="0" w:after="0" w:afterAutospacing="0" w:line="230" w:lineRule="exact"/>
              <w:ind w:left="0" w:right="0"/>
              <w:rPr>
                <w:rFonts w:hint="eastAsia"/>
                <w:b/>
                <w:bCs/>
                <w:sz w:val="21"/>
                <w:szCs w:val="21"/>
              </w:rPr>
            </w:pPr>
            <w:r>
              <w:rPr>
                <w:rFonts w:hint="eastAsia"/>
                <w:b/>
                <w:bCs/>
                <w:sz w:val="21"/>
                <w:szCs w:val="21"/>
              </w:rPr>
              <w:t>理化特性</w:t>
            </w:r>
          </w:p>
          <w:p w14:paraId="20925397">
            <w:pPr>
              <w:keepNext w:val="0"/>
              <w:keepLines w:val="0"/>
              <w:suppressLineNumbers w:val="0"/>
              <w:adjustRightInd w:val="0"/>
              <w:snapToGrid w:val="0"/>
              <w:spacing w:before="0" w:beforeAutospacing="0" w:after="0" w:afterAutospacing="0" w:line="230" w:lineRule="exact"/>
              <w:ind w:left="0" w:right="0" w:firstLine="420" w:firstLineChars="200"/>
              <w:rPr>
                <w:rFonts w:hint="eastAsia" w:ascii="_x000B__x000C_" w:hAnsi="_x000B__x000C_"/>
                <w:sz w:val="21"/>
                <w:szCs w:val="21"/>
              </w:rPr>
            </w:pPr>
            <w:r>
              <w:rPr>
                <w:rFonts w:hint="eastAsia"/>
                <w:sz w:val="21"/>
                <w:szCs w:val="21"/>
              </w:rPr>
              <w:t>含量：工业级36％</w:t>
            </w:r>
            <w:r>
              <w:rPr>
                <w:rFonts w:hint="eastAsia"/>
                <w:sz w:val="21"/>
                <w:szCs w:val="21"/>
                <w:lang w:eastAsia="zh-CN"/>
              </w:rPr>
              <w:t xml:space="preserve">  </w:t>
            </w:r>
            <w:r>
              <w:rPr>
                <w:rFonts w:hint="eastAsia"/>
                <w:spacing w:val="-6"/>
                <w:sz w:val="21"/>
                <w:szCs w:val="21"/>
              </w:rPr>
              <w:t>外观与性状：</w:t>
            </w:r>
            <w:r>
              <w:rPr>
                <w:rFonts w:hint="eastAsia" w:ascii="_x000B__x000C_" w:hAnsi="_x000B__x000C_"/>
                <w:sz w:val="21"/>
                <w:szCs w:val="21"/>
              </w:rPr>
              <w:t>无色或微黄色发烟液体，有刺鼻的酸味</w:t>
            </w:r>
          </w:p>
          <w:p w14:paraId="0FAFD201">
            <w:pPr>
              <w:keepNext w:val="0"/>
              <w:keepLines w:val="0"/>
              <w:suppressLineNumbers w:val="0"/>
              <w:adjustRightInd w:val="0"/>
              <w:snapToGrid w:val="0"/>
              <w:spacing w:before="0" w:beforeAutospacing="0" w:after="0" w:afterAutospacing="0" w:line="230" w:lineRule="exact"/>
              <w:ind w:left="0" w:right="0" w:firstLine="396" w:firstLineChars="200"/>
              <w:rPr>
                <w:rFonts w:hint="eastAsia" w:eastAsia="宋体"/>
                <w:sz w:val="21"/>
                <w:szCs w:val="21"/>
                <w:lang w:eastAsia="zh-CN"/>
              </w:rPr>
            </w:pPr>
            <w:r>
              <w:rPr>
                <w:rFonts w:hint="eastAsia"/>
                <w:spacing w:val="-6"/>
                <w:sz w:val="21"/>
                <w:szCs w:val="21"/>
              </w:rPr>
              <w:t>溶解性：</w:t>
            </w:r>
            <w:r>
              <w:rPr>
                <w:rFonts w:hint="eastAsia" w:ascii="_x000B__x000C_" w:hAnsi="_x000B__x000C_"/>
                <w:sz w:val="21"/>
                <w:szCs w:val="21"/>
              </w:rPr>
              <w:t>与水混溶，溶于碱液</w:t>
            </w:r>
            <w:r>
              <w:rPr>
                <w:rFonts w:hint="eastAsia"/>
                <w:spacing w:val="-6"/>
                <w:sz w:val="21"/>
                <w:szCs w:val="21"/>
                <w:lang w:eastAsia="zh-CN"/>
              </w:rPr>
              <w:t xml:space="preserve">   </w:t>
            </w:r>
            <w:r>
              <w:rPr>
                <w:rFonts w:hint="eastAsia"/>
                <w:sz w:val="21"/>
                <w:szCs w:val="21"/>
              </w:rPr>
              <w:t>熔点(℃)：-114.8（纯）</w:t>
            </w:r>
            <w:r>
              <w:rPr>
                <w:rFonts w:hint="eastAsia"/>
                <w:sz w:val="21"/>
                <w:szCs w:val="21"/>
                <w:lang w:eastAsia="zh-CN"/>
              </w:rPr>
              <w:t xml:space="preserve">   </w:t>
            </w:r>
            <w:r>
              <w:rPr>
                <w:rFonts w:hint="eastAsia"/>
                <w:sz w:val="21"/>
                <w:szCs w:val="21"/>
              </w:rPr>
              <w:t>沸点(℃)：108.6（20％）</w:t>
            </w:r>
            <w:r>
              <w:rPr>
                <w:rFonts w:hint="eastAsia"/>
                <w:sz w:val="21"/>
                <w:szCs w:val="21"/>
                <w:lang w:eastAsia="zh-CN"/>
              </w:rPr>
              <w:t xml:space="preserve">   </w:t>
            </w:r>
          </w:p>
          <w:p w14:paraId="0B9D39B6">
            <w:pPr>
              <w:keepNext w:val="0"/>
              <w:keepLines w:val="0"/>
              <w:suppressLineNumbers w:val="0"/>
              <w:adjustRightInd w:val="0"/>
              <w:snapToGrid w:val="0"/>
              <w:spacing w:before="0" w:beforeAutospacing="0" w:after="0" w:afterAutospacing="0" w:line="230" w:lineRule="exact"/>
              <w:ind w:left="0" w:right="0" w:firstLine="420" w:firstLineChars="200"/>
              <w:rPr>
                <w:rFonts w:hint="eastAsia" w:eastAsia="宋体"/>
                <w:sz w:val="21"/>
                <w:szCs w:val="21"/>
                <w:lang w:eastAsia="zh-CN"/>
              </w:rPr>
            </w:pPr>
            <w:r>
              <w:rPr>
                <w:rFonts w:hint="eastAsia"/>
                <w:sz w:val="21"/>
                <w:szCs w:val="21"/>
              </w:rPr>
              <w:t>相对密度(水=1)：1.20</w:t>
            </w:r>
            <w:r>
              <w:rPr>
                <w:rFonts w:hint="eastAsia"/>
                <w:sz w:val="21"/>
                <w:szCs w:val="21"/>
                <w:lang w:eastAsia="zh-CN"/>
              </w:rPr>
              <w:t xml:space="preserve">   </w:t>
            </w:r>
            <w:r>
              <w:rPr>
                <w:rFonts w:hint="eastAsia"/>
                <w:sz w:val="21"/>
                <w:szCs w:val="21"/>
              </w:rPr>
              <w:t>相对蒸气密度(空气=1)：1.26</w:t>
            </w:r>
            <w:r>
              <w:rPr>
                <w:rFonts w:hint="eastAsia"/>
                <w:sz w:val="21"/>
                <w:szCs w:val="21"/>
                <w:lang w:eastAsia="zh-CN"/>
              </w:rPr>
              <w:t xml:space="preserve">   </w:t>
            </w:r>
            <w:r>
              <w:rPr>
                <w:rFonts w:hint="eastAsia"/>
                <w:sz w:val="21"/>
                <w:szCs w:val="21"/>
              </w:rPr>
              <w:t>饱和蒸气压(kPa)：30.66(21℃)</w:t>
            </w:r>
            <w:r>
              <w:rPr>
                <w:rFonts w:hint="eastAsia"/>
                <w:sz w:val="21"/>
                <w:szCs w:val="21"/>
                <w:lang w:eastAsia="zh-CN"/>
              </w:rPr>
              <w:t xml:space="preserve">   </w:t>
            </w:r>
          </w:p>
          <w:p w14:paraId="2319E7E8">
            <w:pPr>
              <w:keepNext w:val="0"/>
              <w:keepLines w:val="0"/>
              <w:suppressLineNumbers w:val="0"/>
              <w:adjustRightInd w:val="0"/>
              <w:snapToGrid w:val="0"/>
              <w:spacing w:before="0" w:beforeAutospacing="0" w:after="0" w:afterAutospacing="0" w:line="230" w:lineRule="exact"/>
              <w:ind w:left="0" w:right="0" w:firstLine="420" w:firstLineChars="200"/>
              <w:rPr>
                <w:rFonts w:hint="eastAsia"/>
                <w:sz w:val="21"/>
                <w:szCs w:val="21"/>
              </w:rPr>
            </w:pPr>
            <w:r>
              <w:rPr>
                <w:rFonts w:hint="eastAsia"/>
                <w:sz w:val="21"/>
                <w:szCs w:val="21"/>
              </w:rPr>
              <w:t>主要用途：</w:t>
            </w:r>
            <w:r>
              <w:rPr>
                <w:rFonts w:hint="eastAsia" w:ascii="_x000B__x000C_" w:hAnsi="_x000B__x000C_"/>
                <w:sz w:val="21"/>
                <w:szCs w:val="21"/>
              </w:rPr>
              <w:t>重要的无机化工原料，广泛用于染料、医药、食品、印染、皮革、冶金等行业</w:t>
            </w:r>
          </w:p>
          <w:p w14:paraId="6CCB96EE">
            <w:pPr>
              <w:keepNext w:val="0"/>
              <w:keepLines w:val="0"/>
              <w:suppressLineNumbers w:val="0"/>
              <w:adjustRightInd w:val="0"/>
              <w:snapToGrid w:val="0"/>
              <w:spacing w:before="0" w:beforeAutospacing="0" w:after="0" w:afterAutospacing="0" w:line="230" w:lineRule="exact"/>
              <w:ind w:left="0" w:right="0" w:firstLine="360"/>
              <w:rPr>
                <w:rFonts w:hint="eastAsia"/>
                <w:sz w:val="21"/>
                <w:szCs w:val="21"/>
              </w:rPr>
            </w:pPr>
            <w:r>
              <w:rPr>
                <w:rFonts w:hint="eastAsia"/>
                <w:sz w:val="21"/>
                <w:szCs w:val="21"/>
              </w:rPr>
              <w:t>禁配物：</w:t>
            </w:r>
            <w:r>
              <w:rPr>
                <w:rFonts w:hint="eastAsia" w:ascii="_x000B__x000C_" w:hAnsi="_x000B__x000C_"/>
                <w:sz w:val="21"/>
                <w:szCs w:val="21"/>
              </w:rPr>
              <w:t>碱类、胺类、碱金属、易燃或可燃物</w:t>
            </w:r>
          </w:p>
        </w:tc>
      </w:tr>
      <w:tr w14:paraId="74316E2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67A688D5">
            <w:pPr>
              <w:keepNext w:val="0"/>
              <w:keepLines w:val="0"/>
              <w:suppressLineNumbers w:val="0"/>
              <w:adjustRightInd w:val="0"/>
              <w:snapToGrid w:val="0"/>
              <w:spacing w:before="0" w:beforeAutospacing="0" w:after="0" w:afterAutospacing="0" w:line="230" w:lineRule="exact"/>
              <w:ind w:left="0" w:right="0"/>
              <w:rPr>
                <w:rFonts w:hint="eastAsia"/>
                <w:b/>
                <w:bCs/>
                <w:sz w:val="21"/>
                <w:szCs w:val="21"/>
              </w:rPr>
            </w:pPr>
            <w:r>
              <w:rPr>
                <w:rFonts w:hint="eastAsia"/>
                <w:b/>
                <w:bCs/>
                <w:sz w:val="21"/>
                <w:szCs w:val="21"/>
              </w:rPr>
              <w:t>毒理学资料</w:t>
            </w:r>
          </w:p>
          <w:p w14:paraId="1059741E">
            <w:pPr>
              <w:keepNext w:val="0"/>
              <w:keepLines w:val="0"/>
              <w:suppressLineNumbers w:val="0"/>
              <w:adjustRightInd w:val="0"/>
              <w:snapToGrid w:val="0"/>
              <w:spacing w:before="0" w:beforeAutospacing="0" w:after="0" w:afterAutospacing="0" w:line="230" w:lineRule="exact"/>
              <w:ind w:left="361" w:leftChars="172" w:right="0"/>
              <w:rPr>
                <w:rFonts w:hint="eastAsia"/>
                <w:sz w:val="21"/>
                <w:szCs w:val="21"/>
              </w:rPr>
            </w:pPr>
            <w:r>
              <w:rPr>
                <w:rFonts w:hint="eastAsia"/>
                <w:sz w:val="21"/>
                <w:szCs w:val="21"/>
              </w:rPr>
              <w:t>无资料</w:t>
            </w:r>
          </w:p>
        </w:tc>
      </w:tr>
      <w:tr w14:paraId="2504C63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7AD40422">
            <w:pPr>
              <w:pStyle w:val="4"/>
              <w:keepNext w:val="0"/>
              <w:keepLines w:val="0"/>
              <w:suppressLineNumbers w:val="0"/>
              <w:pBdr>
                <w:bottom w:val="none" w:color="auto" w:sz="0" w:space="0"/>
              </w:pBdr>
              <w:tabs>
                <w:tab w:val="clear" w:pos="4153"/>
                <w:tab w:val="clear" w:pos="8306"/>
              </w:tabs>
              <w:adjustRightInd w:val="0"/>
              <w:spacing w:before="0" w:beforeAutospacing="0" w:after="0" w:afterAutospacing="0" w:line="230" w:lineRule="exact"/>
              <w:ind w:left="0" w:right="0"/>
              <w:jc w:val="both"/>
              <w:rPr>
                <w:rFonts w:hint="eastAsia"/>
                <w:b/>
                <w:bCs/>
                <w:sz w:val="21"/>
                <w:szCs w:val="21"/>
              </w:rPr>
            </w:pPr>
            <w:r>
              <w:rPr>
                <w:rFonts w:hint="eastAsia"/>
                <w:b/>
                <w:bCs/>
                <w:sz w:val="21"/>
                <w:szCs w:val="21"/>
              </w:rPr>
              <w:t>运输信息</w:t>
            </w:r>
          </w:p>
          <w:p w14:paraId="0B0E48C3">
            <w:pPr>
              <w:pStyle w:val="4"/>
              <w:keepNext w:val="0"/>
              <w:keepLines w:val="0"/>
              <w:suppressLineNumbers w:val="0"/>
              <w:pBdr>
                <w:bottom w:val="none" w:color="auto" w:sz="0" w:space="0"/>
              </w:pBdr>
              <w:tabs>
                <w:tab w:val="clear" w:pos="4153"/>
                <w:tab w:val="clear" w:pos="8306"/>
              </w:tabs>
              <w:adjustRightInd w:val="0"/>
              <w:spacing w:before="0" w:beforeAutospacing="0" w:after="0" w:afterAutospacing="0" w:line="230" w:lineRule="exact"/>
              <w:ind w:left="0" w:right="0" w:firstLine="420" w:firstLineChars="200"/>
              <w:jc w:val="both"/>
              <w:rPr>
                <w:rFonts w:hint="eastAsia"/>
                <w:sz w:val="21"/>
                <w:szCs w:val="21"/>
              </w:rPr>
            </w:pPr>
            <w:r>
              <w:rPr>
                <w:rFonts w:hint="eastAsia"/>
                <w:sz w:val="21"/>
                <w:szCs w:val="21"/>
              </w:rPr>
              <w:t>包装方法：</w:t>
            </w:r>
            <w:r>
              <w:rPr>
                <w:rFonts w:hint="eastAsia" w:ascii="_x000B__x000C_" w:hAnsi="_x000B__x000C_"/>
                <w:sz w:val="21"/>
                <w:szCs w:val="21"/>
              </w:rPr>
              <w:t>耐酸坛或陶瓷瓶外普通木箱或半花格木箱；玻璃瓶或塑料桶（罐）外普通木箱或半花格木箱；磨砂口玻璃瓶或螺纹口玻璃瓶外普通木箱；螺纹口玻璃瓶、铁盖压口玻璃瓶、塑料瓶或金属桶（罐）外普通木箱</w:t>
            </w:r>
          </w:p>
          <w:p w14:paraId="27B514C6">
            <w:pPr>
              <w:pStyle w:val="4"/>
              <w:keepNext w:val="0"/>
              <w:keepLines w:val="0"/>
              <w:suppressLineNumbers w:val="0"/>
              <w:pBdr>
                <w:bottom w:val="none" w:color="auto" w:sz="0" w:space="0"/>
              </w:pBdr>
              <w:tabs>
                <w:tab w:val="clear" w:pos="4153"/>
                <w:tab w:val="clear" w:pos="8306"/>
              </w:tabs>
              <w:adjustRightInd w:val="0"/>
              <w:spacing w:before="0" w:beforeAutospacing="0" w:after="0" w:afterAutospacing="0" w:line="230" w:lineRule="exact"/>
              <w:ind w:left="0" w:right="0" w:firstLine="420" w:firstLineChars="200"/>
              <w:jc w:val="both"/>
              <w:rPr>
                <w:rFonts w:hint="eastAsia"/>
                <w:sz w:val="21"/>
                <w:szCs w:val="21"/>
              </w:rPr>
            </w:pPr>
            <w:r>
              <w:rPr>
                <w:rFonts w:hint="eastAsia"/>
                <w:sz w:val="21"/>
                <w:szCs w:val="21"/>
              </w:rPr>
              <w:t>运输注意事项：</w:t>
            </w:r>
            <w:r>
              <w:rPr>
                <w:rFonts w:hint="eastAsia" w:ascii="_x000B__x000C_" w:hAnsi="_x000B__x000C_"/>
                <w:sz w:val="21"/>
                <w:szCs w:val="21"/>
              </w:rPr>
              <w:t>本品铁路运输时限使用有像胶衬里钢制罐车或特制塑料企业自备罐车装运，装运前需报有关部门批准。铁路运输时应严格按照铁道部《危险货物运输规则》中的危险货物配装表进行配装。起运时包装要完整，装载应稳妥。运输过程中要确保容器不泄漏、不倒塌、不坠落、不损坏。严禁与碱类、胺类、碱金属、易燃物或可燃物、食用化学品等混装混运。运输时运输车辆应配备泄漏应急处理设备。运输途中应防曝晒、雨淋，防高温。公路运输时要按规定路线行驶，勿在居民区和人口稠密区停留</w:t>
            </w:r>
          </w:p>
        </w:tc>
      </w:tr>
    </w:tbl>
    <w:p w14:paraId="70C092D4">
      <w:pPr>
        <w:spacing w:line="360" w:lineRule="auto"/>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 xml:space="preserve">表 </w:t>
      </w:r>
      <w:r>
        <w:rPr>
          <w:rFonts w:hint="default" w:ascii="Times New Roman" w:hAnsi="Times New Roman" w:eastAsia="宋体" w:cs="Times New Roman"/>
          <w:b/>
          <w:bCs/>
          <w:color w:val="auto"/>
          <w:sz w:val="24"/>
          <w:szCs w:val="22"/>
          <w:highlight w:val="none"/>
          <w:lang w:eastAsia="zh-CN"/>
        </w:rPr>
        <w:t>2.1-</w:t>
      </w:r>
      <w:r>
        <w:rPr>
          <w:rFonts w:hint="eastAsia" w:ascii="Times New Roman" w:hAnsi="Times New Roman" w:eastAsia="宋体" w:cs="Times New Roman"/>
          <w:b/>
          <w:bCs/>
          <w:color w:val="auto"/>
          <w:sz w:val="24"/>
          <w:szCs w:val="22"/>
          <w:highlight w:val="none"/>
          <w:lang w:val="en-US" w:eastAsia="zh-CN"/>
        </w:rPr>
        <w:t>3</w:t>
      </w:r>
      <w:r>
        <w:rPr>
          <w:rFonts w:hint="default" w:ascii="Times New Roman" w:hAnsi="Times New Roman" w:eastAsia="宋体" w:cs="Times New Roman"/>
          <w:b/>
          <w:bCs/>
          <w:color w:val="auto"/>
          <w:sz w:val="24"/>
          <w:szCs w:val="22"/>
          <w:highlight w:val="none"/>
        </w:rPr>
        <w:t xml:space="preserve"> </w:t>
      </w:r>
      <w:r>
        <w:rPr>
          <w:rFonts w:hint="eastAsia" w:cs="Times New Roman"/>
          <w:b/>
          <w:bCs/>
          <w:color w:val="auto"/>
          <w:sz w:val="24"/>
          <w:szCs w:val="22"/>
          <w:highlight w:val="none"/>
          <w:lang w:val="en-US" w:eastAsia="zh-CN"/>
        </w:rPr>
        <w:t>甲烷</w:t>
      </w:r>
      <w:r>
        <w:rPr>
          <w:rFonts w:hint="default" w:ascii="Times New Roman" w:hAnsi="Times New Roman" w:eastAsia="宋体" w:cs="Times New Roman"/>
          <w:b/>
          <w:bCs/>
          <w:color w:val="auto"/>
          <w:sz w:val="24"/>
          <w:szCs w:val="22"/>
          <w:highlight w:val="none"/>
        </w:rPr>
        <w:t>理化性质表</w:t>
      </w:r>
    </w:p>
    <w:tbl>
      <w:tblPr>
        <w:tblStyle w:val="32"/>
        <w:tblW w:w="9091" w:type="dxa"/>
        <w:tblInd w:w="108"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091"/>
      </w:tblGrid>
      <w:tr w14:paraId="3C4CD35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7FA6EACE">
            <w:pPr>
              <w:keepNext w:val="0"/>
              <w:keepLines w:val="0"/>
              <w:suppressLineNumbers w:val="0"/>
              <w:adjustRightInd w:val="0"/>
              <w:snapToGrid w:val="0"/>
              <w:spacing w:before="0" w:beforeAutospacing="0" w:after="0" w:afterAutospacing="0" w:line="250" w:lineRule="exact"/>
              <w:ind w:left="0" w:right="0"/>
              <w:rPr>
                <w:rFonts w:hint="eastAsia" w:eastAsia="宋体"/>
                <w:b/>
                <w:bCs/>
                <w:sz w:val="21"/>
                <w:szCs w:val="21"/>
                <w:lang w:eastAsia="zh-CN"/>
              </w:rPr>
            </w:pPr>
            <w:r>
              <w:rPr>
                <w:rFonts w:hint="default"/>
                <w:b/>
                <w:bCs/>
                <w:sz w:val="21"/>
                <w:szCs w:val="21"/>
              </w:rPr>
              <w:t>化学品名称</w:t>
            </w:r>
            <w:r>
              <w:rPr>
                <w:rFonts w:hint="eastAsia"/>
                <w:b/>
                <w:bCs/>
                <w:sz w:val="21"/>
                <w:szCs w:val="21"/>
                <w:lang w:eastAsia="zh-CN"/>
              </w:rPr>
              <w:t xml:space="preserve"> </w:t>
            </w:r>
          </w:p>
          <w:p w14:paraId="7792B9E5">
            <w:pPr>
              <w:keepNext w:val="0"/>
              <w:keepLines w:val="0"/>
              <w:suppressLineNumbers w:val="0"/>
              <w:adjustRightInd w:val="0"/>
              <w:snapToGrid w:val="0"/>
              <w:spacing w:before="0" w:beforeAutospacing="0" w:after="0" w:afterAutospacing="0" w:line="250" w:lineRule="exact"/>
              <w:ind w:left="0" w:right="0" w:firstLine="420" w:firstLineChars="200"/>
              <w:rPr>
                <w:rFonts w:hint="default"/>
                <w:sz w:val="21"/>
                <w:szCs w:val="21"/>
              </w:rPr>
            </w:pPr>
            <w:r>
              <w:rPr>
                <w:rFonts w:hint="default"/>
                <w:sz w:val="21"/>
                <w:szCs w:val="21"/>
              </w:rPr>
              <w:t>中文名称：甲烷</w:t>
            </w:r>
            <w:r>
              <w:rPr>
                <w:rFonts w:hint="eastAsia"/>
                <w:b/>
                <w:bCs/>
                <w:sz w:val="21"/>
                <w:szCs w:val="21"/>
                <w:lang w:eastAsia="zh-CN"/>
              </w:rPr>
              <w:t xml:space="preserve">  </w:t>
            </w:r>
            <w:r>
              <w:rPr>
                <w:rFonts w:hint="default"/>
                <w:b/>
                <w:bCs/>
                <w:sz w:val="21"/>
                <w:szCs w:val="21"/>
              </w:rPr>
              <w:t xml:space="preserve"> </w:t>
            </w:r>
            <w:r>
              <w:rPr>
                <w:rFonts w:hint="eastAsia"/>
                <w:b/>
                <w:bCs/>
                <w:sz w:val="21"/>
                <w:szCs w:val="21"/>
                <w:lang w:eastAsia="zh-CN"/>
              </w:rPr>
              <w:t xml:space="preserve"> </w:t>
            </w:r>
            <w:r>
              <w:rPr>
                <w:rFonts w:hint="default"/>
                <w:sz w:val="21"/>
                <w:szCs w:val="21"/>
              </w:rPr>
              <w:t>英文名称：methane   </w:t>
            </w:r>
            <w:r>
              <w:rPr>
                <w:rFonts w:hint="eastAsia"/>
                <w:sz w:val="21"/>
                <w:szCs w:val="21"/>
                <w:lang w:eastAsia="zh-CN"/>
              </w:rPr>
              <w:t xml:space="preserve"> </w:t>
            </w:r>
            <w:r>
              <w:rPr>
                <w:rFonts w:hint="default"/>
                <w:sz w:val="21"/>
                <w:szCs w:val="21"/>
              </w:rPr>
              <w:t xml:space="preserve"> </w:t>
            </w:r>
            <w:r>
              <w:rPr>
                <w:rFonts w:hint="eastAsia"/>
                <w:sz w:val="21"/>
                <w:szCs w:val="21"/>
                <w:lang w:eastAsia="zh-CN"/>
              </w:rPr>
              <w:t xml:space="preserve">  </w:t>
            </w:r>
            <w:r>
              <w:rPr>
                <w:rFonts w:hint="default"/>
                <w:sz w:val="21"/>
                <w:szCs w:val="21"/>
              </w:rPr>
              <w:t>危规号：21007</w:t>
            </w:r>
            <w:r>
              <w:rPr>
                <w:rFonts w:hint="eastAsia"/>
                <w:sz w:val="21"/>
                <w:szCs w:val="21"/>
                <w:lang w:eastAsia="zh-CN"/>
              </w:rPr>
              <w:t xml:space="preserve">    </w:t>
            </w:r>
            <w:r>
              <w:rPr>
                <w:rFonts w:hint="default"/>
                <w:sz w:val="21"/>
                <w:szCs w:val="21"/>
              </w:rPr>
              <w:t>UN编号：1971</w:t>
            </w:r>
          </w:p>
          <w:p w14:paraId="15A1FF32">
            <w:pPr>
              <w:keepNext w:val="0"/>
              <w:keepLines w:val="0"/>
              <w:suppressLineNumbers w:val="0"/>
              <w:adjustRightInd w:val="0"/>
              <w:snapToGrid w:val="0"/>
              <w:spacing w:before="0" w:beforeAutospacing="0" w:after="0" w:afterAutospacing="0" w:line="250" w:lineRule="exact"/>
              <w:ind w:left="0" w:right="0" w:firstLine="420" w:firstLineChars="200"/>
              <w:rPr>
                <w:rFonts w:hint="default"/>
                <w:b/>
                <w:bCs/>
                <w:sz w:val="21"/>
                <w:szCs w:val="21"/>
              </w:rPr>
            </w:pPr>
            <w:r>
              <w:rPr>
                <w:rFonts w:hint="default"/>
                <w:sz w:val="21"/>
                <w:szCs w:val="21"/>
              </w:rPr>
              <w:t>分子式：CH</w:t>
            </w:r>
            <w:r>
              <w:rPr>
                <w:rFonts w:hint="default"/>
                <w:sz w:val="21"/>
                <w:szCs w:val="21"/>
                <w:vertAlign w:val="subscript"/>
              </w:rPr>
              <w:t>4</w:t>
            </w:r>
            <w:r>
              <w:rPr>
                <w:rFonts w:hint="eastAsia"/>
                <w:sz w:val="21"/>
                <w:szCs w:val="21"/>
                <w:vertAlign w:val="subscript"/>
                <w:lang w:eastAsia="zh-CN"/>
              </w:rPr>
              <w:t xml:space="preserve">     </w:t>
            </w:r>
            <w:r>
              <w:rPr>
                <w:rFonts w:hint="default"/>
                <w:sz w:val="21"/>
                <w:szCs w:val="21"/>
              </w:rPr>
              <w:t>分子量：16.04</w:t>
            </w:r>
            <w:r>
              <w:rPr>
                <w:rFonts w:hint="eastAsia"/>
                <w:sz w:val="21"/>
                <w:szCs w:val="21"/>
                <w:lang w:eastAsia="zh-CN"/>
              </w:rPr>
              <w:t xml:space="preserve">   </w:t>
            </w:r>
            <w:r>
              <w:rPr>
                <w:rFonts w:hint="default"/>
                <w:sz w:val="21"/>
                <w:szCs w:val="21"/>
              </w:rPr>
              <w:t>CAS号：74-82-8</w:t>
            </w:r>
            <w:r>
              <w:rPr>
                <w:rFonts w:hint="eastAsia"/>
                <w:sz w:val="21"/>
                <w:szCs w:val="21"/>
                <w:lang w:eastAsia="zh-CN"/>
              </w:rPr>
              <w:t xml:space="preserve">   </w:t>
            </w:r>
            <w:r>
              <w:rPr>
                <w:rFonts w:hint="default"/>
                <w:sz w:val="21"/>
                <w:szCs w:val="21"/>
              </w:rPr>
              <w:t>危险性类别：第2.1 类易燃气体</w:t>
            </w:r>
          </w:p>
        </w:tc>
      </w:tr>
      <w:tr w14:paraId="3333C0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AF63365">
            <w:pPr>
              <w:keepNext w:val="0"/>
              <w:keepLines w:val="0"/>
              <w:suppressLineNumbers w:val="0"/>
              <w:adjustRightInd w:val="0"/>
              <w:snapToGrid w:val="0"/>
              <w:spacing w:before="0" w:beforeAutospacing="0" w:after="0" w:afterAutospacing="0" w:line="250" w:lineRule="exact"/>
              <w:ind w:left="0" w:right="0"/>
              <w:rPr>
                <w:rFonts w:hint="eastAsia" w:eastAsia="宋体"/>
                <w:sz w:val="21"/>
                <w:szCs w:val="21"/>
                <w:lang w:eastAsia="zh-CN"/>
              </w:rPr>
            </w:pPr>
            <w:r>
              <w:rPr>
                <w:rFonts w:hint="default"/>
                <w:b/>
                <w:bCs/>
                <w:sz w:val="21"/>
                <w:szCs w:val="21"/>
              </w:rPr>
              <w:t>危险性概述</w:t>
            </w:r>
            <w:r>
              <w:rPr>
                <w:rFonts w:hint="eastAsia"/>
                <w:sz w:val="21"/>
                <w:szCs w:val="21"/>
                <w:lang w:eastAsia="zh-CN"/>
              </w:rPr>
              <w:t xml:space="preserve"> </w:t>
            </w:r>
          </w:p>
          <w:p w14:paraId="2EAF73AD">
            <w:pPr>
              <w:keepNext w:val="0"/>
              <w:keepLines w:val="0"/>
              <w:suppressLineNumbers w:val="0"/>
              <w:adjustRightInd w:val="0"/>
              <w:snapToGrid w:val="0"/>
              <w:spacing w:before="0" w:beforeAutospacing="0" w:after="0" w:afterAutospacing="0" w:line="250" w:lineRule="exact"/>
              <w:ind w:left="0" w:right="0" w:firstLine="420" w:firstLineChars="200"/>
              <w:rPr>
                <w:rFonts w:hint="default"/>
                <w:sz w:val="21"/>
                <w:szCs w:val="21"/>
              </w:rPr>
            </w:pPr>
            <w:r>
              <w:rPr>
                <w:rFonts w:hint="default"/>
                <w:sz w:val="21"/>
                <w:szCs w:val="21"/>
              </w:rPr>
              <w:t>健康危害：甲烷对人基本无毒，但浓度过高时，使空气中氧含量明显降低，使人窒息。当空气中甲烷达25％～30％时，可引起头痛、头晕、乏力、注意力不集中、呼吸和心跳加速、共济失调。若不及时脱离，可致窒息死亡。</w:t>
            </w:r>
          </w:p>
          <w:p w14:paraId="12B51277">
            <w:pPr>
              <w:keepNext w:val="0"/>
              <w:keepLines w:val="0"/>
              <w:suppressLineNumbers w:val="0"/>
              <w:adjustRightInd w:val="0"/>
              <w:snapToGrid w:val="0"/>
              <w:spacing w:before="0" w:beforeAutospacing="0" w:after="0" w:afterAutospacing="0" w:line="250" w:lineRule="exact"/>
              <w:ind w:left="0" w:right="0" w:firstLine="420" w:firstLineChars="200"/>
              <w:rPr>
                <w:rFonts w:hint="default"/>
                <w:sz w:val="21"/>
                <w:szCs w:val="21"/>
              </w:rPr>
            </w:pPr>
            <w:r>
              <w:rPr>
                <w:rFonts w:hint="default"/>
                <w:sz w:val="21"/>
                <w:szCs w:val="21"/>
              </w:rPr>
              <w:t>燃爆危险：本品易燃，具窒息性</w:t>
            </w:r>
          </w:p>
        </w:tc>
      </w:tr>
      <w:tr w14:paraId="4DC358F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AF1E03B">
            <w:pPr>
              <w:keepNext w:val="0"/>
              <w:keepLines w:val="0"/>
              <w:suppressLineNumbers w:val="0"/>
              <w:adjustRightInd w:val="0"/>
              <w:snapToGrid w:val="0"/>
              <w:spacing w:before="0" w:beforeAutospacing="0" w:after="0" w:afterAutospacing="0" w:line="250" w:lineRule="exact"/>
              <w:ind w:left="0" w:right="0"/>
              <w:rPr>
                <w:rFonts w:hint="eastAsia" w:eastAsia="宋体"/>
                <w:b/>
                <w:bCs/>
                <w:sz w:val="21"/>
                <w:szCs w:val="21"/>
                <w:lang w:eastAsia="zh-CN"/>
              </w:rPr>
            </w:pPr>
            <w:r>
              <w:rPr>
                <w:rFonts w:hint="default"/>
                <w:b/>
                <w:bCs/>
                <w:sz w:val="21"/>
                <w:szCs w:val="21"/>
              </w:rPr>
              <w:t>急救措施</w:t>
            </w:r>
            <w:r>
              <w:rPr>
                <w:rFonts w:hint="eastAsia"/>
                <w:b/>
                <w:bCs/>
                <w:sz w:val="21"/>
                <w:szCs w:val="21"/>
                <w:lang w:eastAsia="zh-CN"/>
              </w:rPr>
              <w:t xml:space="preserve"> </w:t>
            </w:r>
          </w:p>
          <w:p w14:paraId="078DE132">
            <w:pPr>
              <w:keepNext w:val="0"/>
              <w:keepLines w:val="0"/>
              <w:suppressLineNumbers w:val="0"/>
              <w:adjustRightInd w:val="0"/>
              <w:snapToGrid w:val="0"/>
              <w:spacing w:before="0" w:beforeAutospacing="0" w:after="0" w:afterAutospacing="0" w:line="250" w:lineRule="exact"/>
              <w:ind w:left="0" w:right="0" w:firstLine="420" w:firstLineChars="200"/>
              <w:rPr>
                <w:rFonts w:hint="default"/>
                <w:b/>
                <w:bCs/>
                <w:sz w:val="21"/>
                <w:szCs w:val="21"/>
              </w:rPr>
            </w:pPr>
            <w:r>
              <w:rPr>
                <w:rFonts w:hint="default"/>
                <w:sz w:val="21"/>
                <w:szCs w:val="21"/>
              </w:rPr>
              <w:t>吸入：迅速脱离现场至空气新鲜处。保持呼吸道通畅。如呼吸困难，给输氧。如呼吸停止，立即进行人工呼吸。就医</w:t>
            </w:r>
          </w:p>
        </w:tc>
      </w:tr>
      <w:tr w14:paraId="1DA232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6BA24B6">
            <w:pPr>
              <w:keepNext w:val="0"/>
              <w:keepLines w:val="0"/>
              <w:suppressLineNumbers w:val="0"/>
              <w:adjustRightInd w:val="0"/>
              <w:snapToGrid w:val="0"/>
              <w:spacing w:before="0" w:beforeAutospacing="0" w:after="0" w:afterAutospacing="0" w:line="250" w:lineRule="exact"/>
              <w:ind w:left="0" w:right="0"/>
              <w:rPr>
                <w:rFonts w:hint="eastAsia" w:eastAsia="宋体"/>
                <w:sz w:val="21"/>
                <w:szCs w:val="21"/>
                <w:lang w:eastAsia="zh-CN"/>
              </w:rPr>
            </w:pPr>
            <w:r>
              <w:rPr>
                <w:rFonts w:hint="default"/>
                <w:b/>
                <w:bCs/>
                <w:sz w:val="21"/>
                <w:szCs w:val="21"/>
              </w:rPr>
              <w:t>消防措施</w:t>
            </w:r>
            <w:r>
              <w:rPr>
                <w:rFonts w:hint="eastAsia"/>
                <w:sz w:val="21"/>
                <w:szCs w:val="21"/>
                <w:lang w:eastAsia="zh-CN"/>
              </w:rPr>
              <w:t xml:space="preserve"> </w:t>
            </w:r>
          </w:p>
          <w:p w14:paraId="5AE8DC4A">
            <w:pPr>
              <w:keepNext w:val="0"/>
              <w:keepLines w:val="0"/>
              <w:suppressLineNumbers w:val="0"/>
              <w:adjustRightInd w:val="0"/>
              <w:snapToGrid w:val="0"/>
              <w:spacing w:before="0" w:beforeAutospacing="0" w:after="0" w:afterAutospacing="0" w:line="250" w:lineRule="exact"/>
              <w:ind w:left="0" w:right="0" w:firstLine="420" w:firstLineChars="200"/>
              <w:rPr>
                <w:rFonts w:hint="default"/>
                <w:sz w:val="21"/>
                <w:szCs w:val="21"/>
              </w:rPr>
            </w:pPr>
            <w:r>
              <w:rPr>
                <w:rFonts w:hint="default"/>
                <w:sz w:val="21"/>
                <w:szCs w:val="21"/>
              </w:rPr>
              <w:t>危险特性：易燃，与空气混合能形成爆炸性混合物，遇热源和明火有燃烧爆炸的危险。与五氧化溴、氯气、次氯酸、三氟化氮、液氧、二氟化氧及其它强氧化剂接触剧烈反应</w:t>
            </w:r>
          </w:p>
          <w:p w14:paraId="024344C9">
            <w:pPr>
              <w:keepNext w:val="0"/>
              <w:keepLines w:val="0"/>
              <w:suppressLineNumbers w:val="0"/>
              <w:adjustRightInd w:val="0"/>
              <w:snapToGrid w:val="0"/>
              <w:spacing w:before="0" w:beforeAutospacing="0" w:after="0" w:afterAutospacing="0" w:line="250" w:lineRule="exact"/>
              <w:ind w:left="0" w:right="0"/>
              <w:rPr>
                <w:rFonts w:hint="default"/>
                <w:sz w:val="21"/>
                <w:szCs w:val="21"/>
              </w:rPr>
            </w:pPr>
            <w:r>
              <w:rPr>
                <w:rFonts w:hint="eastAsia"/>
                <w:sz w:val="21"/>
                <w:szCs w:val="21"/>
                <w:lang w:eastAsia="zh-CN"/>
              </w:rPr>
              <w:t xml:space="preserve">  </w:t>
            </w:r>
            <w:r>
              <w:rPr>
                <w:rFonts w:hint="default"/>
                <w:sz w:val="21"/>
                <w:szCs w:val="21"/>
              </w:rPr>
              <w:t>有害燃烧产物：一氧化碳、二氧化碳</w:t>
            </w:r>
          </w:p>
          <w:p w14:paraId="7381D832">
            <w:pPr>
              <w:keepNext w:val="0"/>
              <w:keepLines w:val="0"/>
              <w:suppressLineNumbers w:val="0"/>
              <w:adjustRightInd w:val="0"/>
              <w:snapToGrid w:val="0"/>
              <w:spacing w:before="0" w:beforeAutospacing="0" w:after="0" w:afterAutospacing="0" w:line="250" w:lineRule="exact"/>
              <w:ind w:left="0" w:right="0"/>
              <w:rPr>
                <w:rFonts w:hint="default"/>
                <w:sz w:val="21"/>
                <w:szCs w:val="21"/>
              </w:rPr>
            </w:pPr>
            <w:r>
              <w:rPr>
                <w:rFonts w:hint="eastAsia"/>
                <w:sz w:val="21"/>
                <w:szCs w:val="21"/>
                <w:lang w:eastAsia="zh-CN"/>
              </w:rPr>
              <w:t xml:space="preserve">  </w:t>
            </w:r>
            <w:r>
              <w:rPr>
                <w:rFonts w:hint="default"/>
                <w:sz w:val="21"/>
                <w:szCs w:val="21"/>
              </w:rPr>
              <w:t>灭火方法：切断气源。若不能切断气源，则不允许熄灭泄漏处的火焰。喷水冷却容器，可能的话将容器从火场移至空旷处。灭火剂：雾状水、泡沫、二氧化碳、干粉</w:t>
            </w:r>
          </w:p>
        </w:tc>
      </w:tr>
      <w:tr w14:paraId="3DFF11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14C8E216">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default"/>
                <w:b/>
                <w:bCs/>
                <w:sz w:val="21"/>
                <w:szCs w:val="21"/>
              </w:rPr>
              <w:t>泄漏应急处理</w:t>
            </w:r>
          </w:p>
          <w:p w14:paraId="54088ED6">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eastAsia"/>
                <w:b/>
                <w:bCs/>
                <w:sz w:val="21"/>
                <w:szCs w:val="21"/>
                <w:lang w:eastAsia="zh-CN"/>
              </w:rPr>
              <w:t xml:space="preserve">  </w:t>
            </w:r>
            <w:r>
              <w:rPr>
                <w:rFonts w:hint="default"/>
                <w:sz w:val="21"/>
                <w:szCs w:val="21"/>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14:paraId="2C5A71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1B460ACB">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default"/>
                <w:b/>
                <w:bCs/>
                <w:sz w:val="21"/>
                <w:szCs w:val="21"/>
              </w:rPr>
              <w:t>操作处置与储存</w:t>
            </w:r>
          </w:p>
          <w:p w14:paraId="6151DC95">
            <w:pPr>
              <w:keepNext w:val="0"/>
              <w:keepLines w:val="0"/>
              <w:suppressLineNumbers w:val="0"/>
              <w:adjustRightInd w:val="0"/>
              <w:snapToGrid w:val="0"/>
              <w:spacing w:before="0" w:beforeAutospacing="0" w:after="0" w:afterAutospacing="0" w:line="250" w:lineRule="exact"/>
              <w:ind w:left="0" w:right="0" w:firstLine="420" w:firstLineChars="200"/>
              <w:rPr>
                <w:rFonts w:hint="default"/>
                <w:sz w:val="21"/>
                <w:szCs w:val="21"/>
              </w:rPr>
            </w:pPr>
            <w:r>
              <w:rPr>
                <w:rFonts w:hint="default"/>
                <w:sz w:val="21"/>
                <w:szCs w:val="21"/>
              </w:rPr>
              <w:t>操作注意事项：密闭操作，全面通风。操作人员必须经过专门培训，严格遵守操作规程。远离火种、热源，工作场所严禁吸烟。使用防爆型的通风系统和设备。防止气体泄漏到工作场所空气中。避免与氧化剂接触。在传送过程中，钢瓶和容器必须接地和跨接，防止产生静电。搬运时轻装轻卸，防止钢瓶及附件破损。配备相应品种和数量的消防器材及泄漏应急处理设备</w:t>
            </w:r>
          </w:p>
          <w:p w14:paraId="75FBB25C">
            <w:pPr>
              <w:keepNext w:val="0"/>
              <w:keepLines w:val="0"/>
              <w:suppressLineNumbers w:val="0"/>
              <w:adjustRightInd w:val="0"/>
              <w:snapToGrid w:val="0"/>
              <w:spacing w:before="0" w:beforeAutospacing="0" w:after="0" w:afterAutospacing="0" w:line="250" w:lineRule="exact"/>
              <w:ind w:left="0" w:right="0" w:firstLine="420" w:firstLineChars="200"/>
              <w:rPr>
                <w:rFonts w:hint="default"/>
                <w:sz w:val="21"/>
                <w:szCs w:val="21"/>
              </w:rPr>
            </w:pPr>
            <w:r>
              <w:rPr>
                <w:rFonts w:hint="default"/>
                <w:sz w:val="21"/>
                <w:szCs w:val="21"/>
              </w:rPr>
              <w:t>储存注意事项：储存于阴凉、通风的库房。远离火种、热源。库温不宜超过30℃。应与氧化剂等分开存放，切忌混储。采用防爆型照明、通风设施。禁止使用易产生火花的机械设备和工具。储区应备有泄漏应急处理设备</w:t>
            </w:r>
          </w:p>
        </w:tc>
      </w:tr>
      <w:tr w14:paraId="6083B9E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B1499AE">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default"/>
                <w:b/>
                <w:bCs/>
                <w:sz w:val="21"/>
                <w:szCs w:val="21"/>
              </w:rPr>
              <w:t>接触控制及个体防护</w:t>
            </w:r>
          </w:p>
          <w:p w14:paraId="3F9E6F1F">
            <w:pPr>
              <w:keepNext w:val="0"/>
              <w:keepLines w:val="0"/>
              <w:suppressLineNumbers w:val="0"/>
              <w:adjustRightInd w:val="0"/>
              <w:snapToGrid w:val="0"/>
              <w:spacing w:before="0" w:beforeAutospacing="0" w:after="0" w:afterAutospacing="0" w:line="250" w:lineRule="exact"/>
              <w:ind w:left="0" w:right="0" w:firstLine="375"/>
              <w:rPr>
                <w:rFonts w:hint="default"/>
                <w:sz w:val="21"/>
                <w:szCs w:val="21"/>
              </w:rPr>
            </w:pPr>
            <w:r>
              <w:rPr>
                <w:rFonts w:hint="default"/>
                <w:sz w:val="21"/>
                <w:szCs w:val="21"/>
              </w:rPr>
              <w:t>接触限值：中国  未制定标准    前苏联  300</w:t>
            </w:r>
          </w:p>
          <w:p w14:paraId="041E2103">
            <w:pPr>
              <w:keepNext w:val="0"/>
              <w:keepLines w:val="0"/>
              <w:suppressLineNumbers w:val="0"/>
              <w:adjustRightInd w:val="0"/>
              <w:snapToGrid w:val="0"/>
              <w:spacing w:before="0" w:beforeAutospacing="0" w:after="0" w:afterAutospacing="0" w:line="250" w:lineRule="exact"/>
              <w:ind w:left="0" w:right="0" w:firstLine="375"/>
              <w:rPr>
                <w:rFonts w:hint="default"/>
                <w:sz w:val="21"/>
                <w:szCs w:val="21"/>
              </w:rPr>
            </w:pPr>
            <w:r>
              <w:rPr>
                <w:rFonts w:hint="default"/>
                <w:sz w:val="21"/>
                <w:szCs w:val="21"/>
              </w:rPr>
              <w:t>工程控制：生产过程密闭，全面通风。</w:t>
            </w:r>
          </w:p>
          <w:p w14:paraId="1F56FA64">
            <w:pPr>
              <w:keepNext w:val="0"/>
              <w:keepLines w:val="0"/>
              <w:suppressLineNumbers w:val="0"/>
              <w:adjustRightInd w:val="0"/>
              <w:snapToGrid w:val="0"/>
              <w:spacing w:before="0" w:beforeAutospacing="0" w:after="0" w:afterAutospacing="0" w:line="250" w:lineRule="exact"/>
              <w:ind w:left="0" w:right="0" w:firstLine="375"/>
              <w:rPr>
                <w:rFonts w:hint="default"/>
                <w:sz w:val="21"/>
                <w:szCs w:val="21"/>
              </w:rPr>
            </w:pPr>
            <w:r>
              <w:rPr>
                <w:rFonts w:hint="default"/>
                <w:sz w:val="21"/>
                <w:szCs w:val="21"/>
              </w:rPr>
              <w:t>呼吸系统防护：一般不需要特殊防护，但建议特殊情况下，佩戴自吸过滤式防毒面具（半面罩）。</w:t>
            </w:r>
          </w:p>
          <w:p w14:paraId="6E12CB1A">
            <w:pPr>
              <w:keepNext w:val="0"/>
              <w:keepLines w:val="0"/>
              <w:suppressLineNumbers w:val="0"/>
              <w:adjustRightInd w:val="0"/>
              <w:snapToGrid w:val="0"/>
              <w:spacing w:before="0" w:beforeAutospacing="0" w:after="0" w:afterAutospacing="0" w:line="250" w:lineRule="exact"/>
              <w:ind w:left="361" w:leftChars="172" w:right="0" w:firstLine="14" w:firstLineChars="7"/>
              <w:rPr>
                <w:rFonts w:hint="eastAsia" w:eastAsia="宋体"/>
                <w:sz w:val="21"/>
                <w:szCs w:val="21"/>
                <w:lang w:eastAsia="zh-CN"/>
              </w:rPr>
            </w:pPr>
            <w:r>
              <w:rPr>
                <w:rFonts w:hint="default"/>
                <w:sz w:val="21"/>
                <w:szCs w:val="21"/>
              </w:rPr>
              <w:t>眼睛防护：一般不需要特殊防护，高浓度接触时可戴安全防护眼镜</w:t>
            </w:r>
            <w:r>
              <w:rPr>
                <w:rFonts w:hint="eastAsia"/>
                <w:sz w:val="21"/>
                <w:szCs w:val="21"/>
                <w:lang w:eastAsia="zh-CN"/>
              </w:rPr>
              <w:t xml:space="preserve">   </w:t>
            </w:r>
            <w:r>
              <w:rPr>
                <w:rFonts w:hint="default"/>
                <w:sz w:val="21"/>
                <w:szCs w:val="21"/>
              </w:rPr>
              <w:t>身体防护：穿防静电工作服</w:t>
            </w:r>
            <w:r>
              <w:rPr>
                <w:rFonts w:hint="eastAsia"/>
                <w:sz w:val="21"/>
                <w:szCs w:val="21"/>
                <w:lang w:eastAsia="zh-CN"/>
              </w:rPr>
              <w:t xml:space="preserve">   </w:t>
            </w:r>
          </w:p>
          <w:p w14:paraId="17B2488F">
            <w:pPr>
              <w:keepNext w:val="0"/>
              <w:keepLines w:val="0"/>
              <w:suppressLineNumbers w:val="0"/>
              <w:adjustRightInd w:val="0"/>
              <w:snapToGrid w:val="0"/>
              <w:spacing w:before="0" w:beforeAutospacing="0" w:after="0" w:afterAutospacing="0" w:line="250" w:lineRule="exact"/>
              <w:ind w:left="361" w:leftChars="172" w:right="0" w:firstLine="14" w:firstLineChars="7"/>
              <w:rPr>
                <w:rFonts w:hint="default"/>
                <w:sz w:val="21"/>
                <w:szCs w:val="21"/>
              </w:rPr>
            </w:pPr>
            <w:r>
              <w:rPr>
                <w:rFonts w:hint="default"/>
                <w:sz w:val="21"/>
                <w:szCs w:val="21"/>
              </w:rPr>
              <w:t>手防护：戴一般作业防护手套</w:t>
            </w:r>
          </w:p>
          <w:p w14:paraId="78FBBB64">
            <w:pPr>
              <w:keepNext w:val="0"/>
              <w:keepLines w:val="0"/>
              <w:suppressLineNumbers w:val="0"/>
              <w:adjustRightInd w:val="0"/>
              <w:snapToGrid w:val="0"/>
              <w:spacing w:before="0" w:beforeAutospacing="0" w:after="0" w:afterAutospacing="0" w:line="250" w:lineRule="exact"/>
              <w:ind w:left="361" w:leftChars="172" w:right="0" w:firstLine="14" w:firstLineChars="7"/>
              <w:rPr>
                <w:rFonts w:hint="default"/>
                <w:b/>
                <w:bCs/>
                <w:sz w:val="21"/>
                <w:szCs w:val="21"/>
              </w:rPr>
            </w:pPr>
            <w:r>
              <w:rPr>
                <w:rFonts w:hint="default"/>
                <w:sz w:val="21"/>
                <w:szCs w:val="21"/>
              </w:rPr>
              <w:t>其他防护：工作现场严禁吸烟。避免长期反复接触。进入罐、限制性空间或其它高浓度区作业，须有人监护</w:t>
            </w:r>
          </w:p>
        </w:tc>
      </w:tr>
      <w:tr w14:paraId="16FEFCD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4D5D94F2">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default"/>
                <w:b/>
                <w:bCs/>
                <w:sz w:val="21"/>
                <w:szCs w:val="21"/>
              </w:rPr>
              <w:t>理化特性</w:t>
            </w:r>
          </w:p>
          <w:p w14:paraId="10FD04BA">
            <w:pPr>
              <w:keepNext w:val="0"/>
              <w:keepLines w:val="0"/>
              <w:suppressLineNumbers w:val="0"/>
              <w:adjustRightInd w:val="0"/>
              <w:snapToGrid w:val="0"/>
              <w:spacing w:before="0" w:beforeAutospacing="0" w:after="0" w:afterAutospacing="0" w:line="250" w:lineRule="exact"/>
              <w:ind w:left="0" w:right="0" w:firstLine="404" w:firstLineChars="200"/>
              <w:rPr>
                <w:rFonts w:hint="default"/>
                <w:sz w:val="21"/>
                <w:szCs w:val="21"/>
              </w:rPr>
            </w:pPr>
            <w:r>
              <w:rPr>
                <w:rFonts w:hint="default"/>
                <w:spacing w:val="-4"/>
                <w:sz w:val="21"/>
                <w:szCs w:val="21"/>
              </w:rPr>
              <w:t>外观与性状：</w:t>
            </w:r>
            <w:r>
              <w:rPr>
                <w:rFonts w:hint="default"/>
                <w:sz w:val="21"/>
                <w:szCs w:val="21"/>
              </w:rPr>
              <w:t xml:space="preserve">无色无臭气体      </w:t>
            </w:r>
            <w:r>
              <w:rPr>
                <w:rFonts w:hint="default"/>
                <w:spacing w:val="-4"/>
                <w:sz w:val="21"/>
                <w:szCs w:val="21"/>
              </w:rPr>
              <w:t>溶解性：</w:t>
            </w:r>
            <w:r>
              <w:rPr>
                <w:rFonts w:hint="default"/>
                <w:sz w:val="21"/>
                <w:szCs w:val="21"/>
              </w:rPr>
              <w:t>微溶于水，溶于醇、乙醚       闪点(℃)：-188</w:t>
            </w:r>
          </w:p>
          <w:p w14:paraId="6A6FA329">
            <w:pPr>
              <w:keepNext w:val="0"/>
              <w:keepLines w:val="0"/>
              <w:suppressLineNumbers w:val="0"/>
              <w:adjustRightInd w:val="0"/>
              <w:snapToGrid w:val="0"/>
              <w:spacing w:before="0" w:beforeAutospacing="0" w:after="0" w:afterAutospacing="0" w:line="250" w:lineRule="exact"/>
              <w:ind w:left="0" w:right="0" w:firstLine="360"/>
              <w:rPr>
                <w:rFonts w:hint="default"/>
                <w:sz w:val="21"/>
                <w:szCs w:val="21"/>
              </w:rPr>
            </w:pPr>
            <w:r>
              <w:rPr>
                <w:rFonts w:hint="default"/>
                <w:sz w:val="21"/>
                <w:szCs w:val="21"/>
              </w:rPr>
              <w:t xml:space="preserve">熔点(℃)：-182.5 </w:t>
            </w:r>
            <w:r>
              <w:rPr>
                <w:rFonts w:hint="eastAsia"/>
                <w:sz w:val="21"/>
                <w:szCs w:val="21"/>
                <w:lang w:eastAsia="zh-CN"/>
              </w:rPr>
              <w:t xml:space="preserve">  </w:t>
            </w:r>
            <w:r>
              <w:rPr>
                <w:rFonts w:hint="default"/>
                <w:sz w:val="21"/>
                <w:szCs w:val="21"/>
              </w:rPr>
              <w:t>沸点(℃)：-161.5</w:t>
            </w:r>
            <w:r>
              <w:rPr>
                <w:rFonts w:hint="eastAsia"/>
                <w:sz w:val="21"/>
                <w:szCs w:val="21"/>
                <w:lang w:eastAsia="zh-CN"/>
              </w:rPr>
              <w:t xml:space="preserve">   </w:t>
            </w:r>
            <w:r>
              <w:rPr>
                <w:rFonts w:hint="default"/>
                <w:sz w:val="21"/>
                <w:szCs w:val="21"/>
              </w:rPr>
              <w:t>饱和蒸气压(kPa)：53.32(-168.8℃)     最小点火能：0.28mJ</w:t>
            </w:r>
          </w:p>
          <w:p w14:paraId="57B0F028">
            <w:pPr>
              <w:keepNext w:val="0"/>
              <w:keepLines w:val="0"/>
              <w:suppressLineNumbers w:val="0"/>
              <w:adjustRightInd w:val="0"/>
              <w:snapToGrid w:val="0"/>
              <w:spacing w:before="0" w:beforeAutospacing="0" w:after="0" w:afterAutospacing="0" w:line="250" w:lineRule="exact"/>
              <w:ind w:left="0" w:right="0" w:firstLine="360"/>
              <w:rPr>
                <w:rFonts w:hint="default"/>
                <w:sz w:val="21"/>
                <w:szCs w:val="21"/>
              </w:rPr>
            </w:pPr>
            <w:r>
              <w:rPr>
                <w:rFonts w:hint="default"/>
                <w:sz w:val="21"/>
                <w:szCs w:val="21"/>
              </w:rPr>
              <w:t>相对密度(水=1)：0.42(-164℃)</w:t>
            </w:r>
            <w:r>
              <w:rPr>
                <w:rFonts w:hint="eastAsia"/>
                <w:sz w:val="21"/>
                <w:szCs w:val="21"/>
                <w:lang w:eastAsia="zh-CN"/>
              </w:rPr>
              <w:t xml:space="preserve">   </w:t>
            </w:r>
            <w:r>
              <w:rPr>
                <w:rFonts w:hint="default"/>
                <w:sz w:val="21"/>
                <w:szCs w:val="21"/>
              </w:rPr>
              <w:t>相对蒸气密度(空气=1)：0.55</w:t>
            </w:r>
            <w:r>
              <w:rPr>
                <w:rFonts w:hint="eastAsia"/>
                <w:sz w:val="21"/>
                <w:szCs w:val="21"/>
                <w:lang w:eastAsia="zh-CN"/>
              </w:rPr>
              <w:t xml:space="preserve">   </w:t>
            </w:r>
            <w:r>
              <w:rPr>
                <w:rFonts w:hint="default"/>
                <w:sz w:val="21"/>
                <w:szCs w:val="21"/>
              </w:rPr>
              <w:t>爆炸极限%(V/V)：5.3～15</w:t>
            </w:r>
          </w:p>
          <w:p w14:paraId="45612B3F">
            <w:pPr>
              <w:keepNext w:val="0"/>
              <w:keepLines w:val="0"/>
              <w:suppressLineNumbers w:val="0"/>
              <w:adjustRightInd w:val="0"/>
              <w:snapToGrid w:val="0"/>
              <w:spacing w:before="0" w:beforeAutospacing="0" w:after="0" w:afterAutospacing="0" w:line="250" w:lineRule="exact"/>
              <w:ind w:left="0" w:right="0" w:firstLine="360"/>
              <w:rPr>
                <w:rFonts w:hint="default"/>
                <w:sz w:val="21"/>
                <w:szCs w:val="21"/>
              </w:rPr>
            </w:pPr>
            <w:r>
              <w:rPr>
                <w:rFonts w:hint="default"/>
                <w:sz w:val="21"/>
                <w:szCs w:val="21"/>
              </w:rPr>
              <w:t>燃烧热(kJ/mol)：889.5</w:t>
            </w:r>
            <w:r>
              <w:rPr>
                <w:rFonts w:hint="eastAsia"/>
                <w:sz w:val="21"/>
                <w:szCs w:val="21"/>
                <w:lang w:eastAsia="zh-CN"/>
              </w:rPr>
              <w:t xml:space="preserve">   </w:t>
            </w:r>
            <w:r>
              <w:rPr>
                <w:rFonts w:hint="default"/>
                <w:sz w:val="21"/>
                <w:szCs w:val="21"/>
              </w:rPr>
              <w:t>临界温度(℃)：-82.6</w:t>
            </w:r>
            <w:r>
              <w:rPr>
                <w:rFonts w:hint="eastAsia"/>
                <w:sz w:val="21"/>
                <w:szCs w:val="21"/>
                <w:lang w:eastAsia="zh-CN"/>
              </w:rPr>
              <w:t xml:space="preserve">   </w:t>
            </w:r>
            <w:r>
              <w:rPr>
                <w:rFonts w:hint="default"/>
                <w:sz w:val="21"/>
                <w:szCs w:val="21"/>
              </w:rPr>
              <w:t>临界压力(MPa)：4.59</w:t>
            </w:r>
            <w:r>
              <w:rPr>
                <w:rFonts w:hint="eastAsia"/>
                <w:sz w:val="21"/>
                <w:szCs w:val="21"/>
                <w:lang w:eastAsia="zh-CN"/>
              </w:rPr>
              <w:t xml:space="preserve">   </w:t>
            </w:r>
            <w:r>
              <w:rPr>
                <w:rFonts w:hint="default"/>
                <w:sz w:val="21"/>
                <w:szCs w:val="21"/>
              </w:rPr>
              <w:t>引燃温度(℃)：538</w:t>
            </w:r>
          </w:p>
          <w:p w14:paraId="5AD02F27">
            <w:pPr>
              <w:keepNext w:val="0"/>
              <w:keepLines w:val="0"/>
              <w:suppressLineNumbers w:val="0"/>
              <w:adjustRightInd w:val="0"/>
              <w:snapToGrid w:val="0"/>
              <w:spacing w:before="0" w:beforeAutospacing="0" w:after="0" w:afterAutospacing="0" w:line="250" w:lineRule="exact"/>
              <w:ind w:left="0" w:right="0" w:firstLine="360"/>
              <w:rPr>
                <w:rFonts w:hint="default"/>
                <w:sz w:val="21"/>
                <w:szCs w:val="21"/>
              </w:rPr>
            </w:pPr>
            <w:r>
              <w:rPr>
                <w:rFonts w:hint="default"/>
                <w:sz w:val="21"/>
                <w:szCs w:val="21"/>
              </w:rPr>
              <w:t>主要用途：用作燃料和用于炭黑、氢、乙炔、甲醛等的制造</w:t>
            </w:r>
          </w:p>
        </w:tc>
      </w:tr>
      <w:tr w14:paraId="626F2D4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3A230689">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default"/>
                <w:b/>
                <w:bCs/>
                <w:sz w:val="21"/>
                <w:szCs w:val="21"/>
              </w:rPr>
              <w:t>稳定性和反应活性</w:t>
            </w:r>
          </w:p>
          <w:p w14:paraId="37FF0153">
            <w:pPr>
              <w:keepNext w:val="0"/>
              <w:keepLines w:val="0"/>
              <w:suppressLineNumbers w:val="0"/>
              <w:adjustRightInd w:val="0"/>
              <w:snapToGrid w:val="0"/>
              <w:spacing w:before="0" w:beforeAutospacing="0" w:after="0" w:afterAutospacing="0" w:line="250" w:lineRule="exact"/>
              <w:ind w:left="0" w:right="0"/>
              <w:rPr>
                <w:rFonts w:hint="default"/>
                <w:sz w:val="21"/>
                <w:szCs w:val="21"/>
              </w:rPr>
            </w:pPr>
            <w:r>
              <w:rPr>
                <w:rFonts w:hint="eastAsia"/>
                <w:b/>
                <w:bCs/>
                <w:sz w:val="21"/>
                <w:szCs w:val="21"/>
                <w:lang w:eastAsia="zh-CN"/>
              </w:rPr>
              <w:t xml:space="preserve">  </w:t>
            </w:r>
            <w:r>
              <w:rPr>
                <w:rFonts w:hint="default"/>
                <w:sz w:val="21"/>
                <w:szCs w:val="21"/>
              </w:rPr>
              <w:t>禁配物：强氧化剂、氟、氯</w:t>
            </w:r>
          </w:p>
        </w:tc>
      </w:tr>
      <w:tr w14:paraId="60EDC73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34263CD">
            <w:pPr>
              <w:keepNext w:val="0"/>
              <w:keepLines w:val="0"/>
              <w:suppressLineNumbers w:val="0"/>
              <w:adjustRightInd w:val="0"/>
              <w:snapToGrid w:val="0"/>
              <w:spacing w:before="0" w:beforeAutospacing="0" w:after="0" w:afterAutospacing="0" w:line="250" w:lineRule="exact"/>
              <w:ind w:left="0" w:right="0"/>
              <w:rPr>
                <w:rFonts w:hint="default"/>
                <w:b/>
                <w:bCs/>
                <w:sz w:val="21"/>
                <w:szCs w:val="21"/>
              </w:rPr>
            </w:pPr>
            <w:r>
              <w:rPr>
                <w:rFonts w:hint="default"/>
                <w:b/>
                <w:bCs/>
                <w:sz w:val="21"/>
                <w:szCs w:val="21"/>
              </w:rPr>
              <w:t>毒理学资料</w:t>
            </w:r>
          </w:p>
          <w:p w14:paraId="4CBD35E9">
            <w:pPr>
              <w:keepNext w:val="0"/>
              <w:keepLines w:val="0"/>
              <w:suppressLineNumbers w:val="0"/>
              <w:adjustRightInd w:val="0"/>
              <w:snapToGrid w:val="0"/>
              <w:spacing w:before="0" w:beforeAutospacing="0" w:after="0" w:afterAutospacing="0" w:line="250" w:lineRule="exact"/>
              <w:ind w:left="361" w:leftChars="172" w:right="0"/>
              <w:rPr>
                <w:rFonts w:hint="default"/>
                <w:sz w:val="21"/>
                <w:szCs w:val="21"/>
              </w:rPr>
            </w:pPr>
            <w:r>
              <w:rPr>
                <w:rFonts w:hint="default"/>
                <w:sz w:val="21"/>
                <w:szCs w:val="21"/>
              </w:rPr>
              <w:t>无资料</w:t>
            </w:r>
          </w:p>
        </w:tc>
      </w:tr>
      <w:tr w14:paraId="0EED30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9091" w:type="dxa"/>
            <w:noWrap w:val="0"/>
            <w:vAlign w:val="center"/>
          </w:tcPr>
          <w:p w14:paraId="2E6A9CEE">
            <w:pPr>
              <w:pStyle w:val="4"/>
              <w:keepNext w:val="0"/>
              <w:keepLines w:val="0"/>
              <w:suppressLineNumbers w:val="0"/>
              <w:pBdr>
                <w:bottom w:val="none" w:color="auto" w:sz="0" w:space="0"/>
              </w:pBdr>
              <w:tabs>
                <w:tab w:val="clear" w:pos="4153"/>
                <w:tab w:val="clear" w:pos="8306"/>
              </w:tabs>
              <w:adjustRightInd w:val="0"/>
              <w:spacing w:before="0" w:beforeAutospacing="0" w:after="0" w:afterAutospacing="0" w:line="250" w:lineRule="exact"/>
              <w:ind w:left="0" w:right="0"/>
              <w:jc w:val="both"/>
              <w:rPr>
                <w:rFonts w:hint="default"/>
                <w:b/>
                <w:bCs/>
                <w:sz w:val="21"/>
                <w:szCs w:val="21"/>
              </w:rPr>
            </w:pPr>
            <w:r>
              <w:rPr>
                <w:rFonts w:hint="default"/>
                <w:b/>
                <w:bCs/>
                <w:sz w:val="21"/>
                <w:szCs w:val="21"/>
              </w:rPr>
              <w:t>运输信息</w:t>
            </w:r>
          </w:p>
          <w:p w14:paraId="36B848B1">
            <w:pPr>
              <w:pStyle w:val="4"/>
              <w:keepNext w:val="0"/>
              <w:keepLines w:val="0"/>
              <w:suppressLineNumbers w:val="0"/>
              <w:pBdr>
                <w:bottom w:val="none" w:color="auto" w:sz="0" w:space="0"/>
              </w:pBdr>
              <w:tabs>
                <w:tab w:val="clear" w:pos="4153"/>
                <w:tab w:val="clear" w:pos="8306"/>
              </w:tabs>
              <w:adjustRightInd w:val="0"/>
              <w:spacing w:before="0" w:beforeAutospacing="0" w:after="0" w:afterAutospacing="0" w:line="250" w:lineRule="exact"/>
              <w:ind w:left="0" w:right="0" w:firstLine="420" w:firstLineChars="200"/>
              <w:jc w:val="both"/>
              <w:rPr>
                <w:rFonts w:hint="default"/>
                <w:sz w:val="21"/>
                <w:szCs w:val="21"/>
              </w:rPr>
            </w:pPr>
            <w:r>
              <w:rPr>
                <w:rFonts w:hint="default"/>
                <w:sz w:val="21"/>
                <w:szCs w:val="21"/>
              </w:rPr>
              <w:t>包装方法：钢质气瓶     包装类别：052</w:t>
            </w:r>
          </w:p>
          <w:p w14:paraId="10C1BB4D">
            <w:pPr>
              <w:pStyle w:val="4"/>
              <w:keepNext w:val="0"/>
              <w:keepLines w:val="0"/>
              <w:suppressLineNumbers w:val="0"/>
              <w:pBdr>
                <w:bottom w:val="none" w:color="auto" w:sz="0" w:space="0"/>
              </w:pBdr>
              <w:tabs>
                <w:tab w:val="clear" w:pos="4153"/>
                <w:tab w:val="clear" w:pos="8306"/>
              </w:tabs>
              <w:adjustRightInd w:val="0"/>
              <w:spacing w:before="0" w:beforeAutospacing="0" w:after="0" w:afterAutospacing="0" w:line="250" w:lineRule="exact"/>
              <w:ind w:left="0" w:right="0" w:firstLine="420" w:firstLineChars="200"/>
              <w:jc w:val="both"/>
              <w:rPr>
                <w:rFonts w:hint="default"/>
                <w:sz w:val="21"/>
                <w:szCs w:val="21"/>
              </w:rPr>
            </w:pPr>
            <w:r>
              <w:rPr>
                <w:rFonts w:hint="default"/>
                <w:sz w:val="21"/>
                <w:szCs w:val="21"/>
              </w:rPr>
              <w:t>运输注意事项：采用刚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等混装混运。夏季应早晚运输，防止日光曝晒。中途停留时应远离火种、热源。公路运输时要按规定路线行驶，勿在居民区和人口稠密区停留。铁路运输时要禁止溜放</w:t>
            </w:r>
          </w:p>
        </w:tc>
      </w:tr>
    </w:tbl>
    <w:p w14:paraId="4A6E7EDB">
      <w:pPr>
        <w:jc w:val="center"/>
        <w:rPr>
          <w:rFonts w:hint="default" w:ascii="Times New Roman" w:hAnsi="Times New Roman" w:eastAsia="宋体" w:cs="Times New Roman"/>
          <w:color w:val="FF0000"/>
        </w:rPr>
      </w:pPr>
    </w:p>
    <w:p w14:paraId="78F6BF4C">
      <w:pPr>
        <w:jc w:val="center"/>
        <w:rPr>
          <w:rFonts w:hint="default" w:ascii="Times New Roman" w:hAnsi="Times New Roman" w:eastAsia="宋体" w:cs="Times New Roman"/>
          <w:color w:val="FF0000"/>
        </w:rPr>
        <w:sectPr>
          <w:footerReference r:id="rId15" w:type="default"/>
          <w:pgSz w:w="11906" w:h="16838"/>
          <w:pgMar w:top="1418" w:right="1276" w:bottom="1418" w:left="1559" w:header="851" w:footer="680" w:gutter="0"/>
          <w:pgNumType w:fmt="decimal" w:start="1" w:chapStyle="1"/>
          <w:cols w:space="720" w:num="1"/>
          <w:docGrid w:linePitch="326" w:charSpace="0"/>
        </w:sectPr>
      </w:pPr>
    </w:p>
    <w:p w14:paraId="57CD60A1">
      <w:pPr>
        <w:jc w:val="center"/>
        <w:rPr>
          <w:rFonts w:hint="default" w:ascii="Times New Roman" w:hAnsi="Times New Roman" w:eastAsia="宋体" w:cs="Times New Roman"/>
          <w:color w:val="FF0000"/>
          <w:highlight w:val="none"/>
        </w:rPr>
      </w:pPr>
      <w:r>
        <w:rPr>
          <w:rFonts w:hint="default" w:ascii="Times New Roman" w:hAnsi="Times New Roman" w:eastAsia="宋体" w:cs="Times New Roman"/>
          <w:b/>
          <w:color w:val="auto"/>
          <w:sz w:val="24"/>
          <w:lang w:eastAsia="zh-CN"/>
        </w:rPr>
        <w:object>
          <v:shape id="_x0000_i1028" o:spt="75" type="#_x0000_t75" style="height:424.7pt;width:425pt;" o:ole="t" filled="f" o:preferrelative="t" stroked="f" coordsize="21600,21600">
            <v:path/>
            <v:fill on="f" focussize="0,0"/>
            <v:stroke on="f"/>
            <v:imagedata r:id="rId48" o:title=""/>
            <o:lock v:ext="edit" aspectratio="f"/>
            <w10:wrap type="none"/>
            <w10:anchorlock/>
          </v:shape>
          <o:OLEObject Type="Embed" ProgID="Visio.Drawing.11" ShapeID="_x0000_i1028" DrawAspect="Content" ObjectID="_1468075728" r:id="rId47">
            <o:LockedField>false</o:LockedField>
          </o:OLEObject>
        </w:object>
      </w:r>
      <w:r>
        <w:rPr>
          <w:b/>
          <w:color w:val="FF0000"/>
          <w:sz w:val="24"/>
        </w:rPr>
        <w:drawing>
          <wp:anchor distT="0" distB="0" distL="114300" distR="114300" simplePos="0" relativeHeight="251697152" behindDoc="0" locked="0" layoutInCell="1" allowOverlap="1">
            <wp:simplePos x="0" y="0"/>
            <wp:positionH relativeFrom="column">
              <wp:posOffset>7787005</wp:posOffset>
            </wp:positionH>
            <wp:positionV relativeFrom="paragraph">
              <wp:posOffset>-157480</wp:posOffset>
            </wp:positionV>
            <wp:extent cx="946785" cy="897890"/>
            <wp:effectExtent l="0" t="0" r="5715" b="1651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946785" cy="897890"/>
                    </a:xfrm>
                    <a:prstGeom prst="rect">
                      <a:avLst/>
                    </a:prstGeom>
                    <a:noFill/>
                    <a:ln>
                      <a:noFill/>
                    </a:ln>
                  </pic:spPr>
                </pic:pic>
              </a:graphicData>
            </a:graphic>
          </wp:anchor>
        </w:drawing>
      </w:r>
    </w:p>
    <w:p w14:paraId="08610C3E">
      <w:pPr>
        <w:pStyle w:val="2"/>
        <w:ind w:left="0" w:leftChars="0" w:firstLine="0" w:firstLineChars="0"/>
        <w:jc w:val="center"/>
        <w:rPr>
          <w:rFonts w:hint="default" w:ascii="Times New Roman" w:hAnsi="Times New Roman" w:eastAsia="宋体" w:cs="Times New Roman"/>
          <w:b/>
          <w:bCs/>
          <w:color w:val="FF0000"/>
          <w:lang w:eastAsia="zh-CN"/>
        </w:rPr>
      </w:pPr>
      <w:r>
        <w:rPr>
          <w:rFonts w:hint="default" w:ascii="Times New Roman" w:hAnsi="Times New Roman" w:eastAsia="宋体" w:cs="Times New Roman"/>
          <w:b/>
          <w:bCs/>
          <w:color w:val="auto"/>
          <w:sz w:val="24"/>
          <w:szCs w:val="24"/>
          <w:highlight w:val="none"/>
          <w:lang w:val="en-US" w:eastAsia="zh-CN"/>
        </w:rPr>
        <w:t>图2.1-1 本项目危险单元分布图</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红色区域为危险单元分布区</w:t>
      </w:r>
      <w:r>
        <w:rPr>
          <w:rFonts w:hint="default" w:ascii="Times New Roman" w:hAnsi="Times New Roman" w:eastAsia="宋体" w:cs="Times New Roman"/>
          <w:b/>
          <w:bCs/>
          <w:color w:val="auto"/>
          <w:sz w:val="24"/>
          <w:szCs w:val="24"/>
          <w:highlight w:val="none"/>
          <w:lang w:eastAsia="zh-CN"/>
        </w:rPr>
        <w:t>）</w:t>
      </w:r>
    </w:p>
    <w:p w14:paraId="2F4F5636">
      <w:pPr>
        <w:rPr>
          <w:rFonts w:hint="default" w:ascii="Times New Roman" w:hAnsi="Times New Roman" w:eastAsia="宋体" w:cs="Times New Roman"/>
          <w:color w:val="FF0000"/>
          <w:lang w:val="en-US" w:eastAsia="zh-CN"/>
        </w:rPr>
        <w:sectPr>
          <w:pgSz w:w="16838" w:h="11906" w:orient="landscape"/>
          <w:pgMar w:top="1559" w:right="1417" w:bottom="1276" w:left="1417" w:header="851" w:footer="680" w:gutter="0"/>
          <w:pgNumType w:fmt="decimal" w:chapStyle="1"/>
          <w:cols w:space="0" w:num="1"/>
          <w:rtlGutter w:val="0"/>
          <w:docGrid w:linePitch="326" w:charSpace="0"/>
        </w:sectPr>
      </w:pPr>
    </w:p>
    <w:p w14:paraId="6DC095D8">
      <w:pPr>
        <w:keepNext/>
        <w:keepLines/>
        <w:pageBreakBefore w:val="0"/>
        <w:widowControl/>
        <w:kinsoku/>
        <w:wordWrap/>
        <w:overflowPunct/>
        <w:topLinePunct w:val="0"/>
        <w:autoSpaceDE/>
        <w:autoSpaceDN/>
        <w:bidi w:val="0"/>
        <w:adjustRightInd w:val="0"/>
        <w:snapToGrid w:val="0"/>
        <w:spacing w:line="360" w:lineRule="auto"/>
        <w:jc w:val="left"/>
        <w:textAlignment w:val="auto"/>
        <w:outlineLvl w:val="1"/>
        <w:rPr>
          <w:rFonts w:hint="default" w:ascii="Times New Roman" w:hAnsi="Times New Roman" w:eastAsia="宋体" w:cs="Times New Roman"/>
          <w:b/>
          <w:bCs/>
          <w:color w:val="auto"/>
          <w:kern w:val="0"/>
          <w:sz w:val="30"/>
          <w:szCs w:val="30"/>
          <w:lang w:eastAsia="zh-CN"/>
        </w:rPr>
      </w:pPr>
      <w:bookmarkStart w:id="53" w:name="_Toc6145"/>
      <w:r>
        <w:rPr>
          <w:rFonts w:hint="default" w:ascii="Times New Roman" w:hAnsi="Times New Roman" w:eastAsia="宋体" w:cs="Times New Roman"/>
          <w:b/>
          <w:bCs/>
          <w:color w:val="auto"/>
          <w:kern w:val="0"/>
          <w:sz w:val="30"/>
          <w:szCs w:val="30"/>
          <w:lang w:eastAsia="zh-CN"/>
        </w:rPr>
        <w:t>2.2 环境敏感目标调查</w:t>
      </w:r>
      <w:bookmarkEnd w:id="53"/>
    </w:p>
    <w:p w14:paraId="319A555A">
      <w:pPr>
        <w:spacing w:line="360" w:lineRule="auto"/>
        <w:ind w:firstLine="480" w:firstLineChars="200"/>
        <w:rPr>
          <w:rFonts w:hint="default" w:ascii="Times New Roman" w:hAnsi="Times New Roman" w:eastAsia="宋体" w:cs="Times New Roman"/>
          <w:color w:val="auto"/>
          <w:kern w:val="0"/>
          <w:sz w:val="28"/>
          <w:szCs w:val="28"/>
        </w:rPr>
      </w:pPr>
      <w:r>
        <w:rPr>
          <w:rFonts w:hint="default" w:ascii="Times New Roman" w:hAnsi="Times New Roman" w:eastAsia="宋体" w:cs="Times New Roman"/>
          <w:color w:val="auto"/>
          <w:kern w:val="0"/>
          <w:sz w:val="24"/>
          <w:szCs w:val="24"/>
        </w:rPr>
        <w:t>本次环评根据现场调查以及收集的有关资料，</w:t>
      </w:r>
      <w:r>
        <w:rPr>
          <w:rFonts w:hint="default" w:ascii="Times New Roman" w:hAnsi="Times New Roman" w:eastAsia="宋体" w:cs="Times New Roman"/>
          <w:color w:val="auto"/>
          <w:sz w:val="24"/>
          <w:szCs w:val="24"/>
          <w:lang w:val="zh-CN"/>
        </w:rPr>
        <w:t>本项目位于</w:t>
      </w:r>
      <w:r>
        <w:rPr>
          <w:rFonts w:hint="eastAsia" w:cs="Times New Roman"/>
          <w:color w:val="auto"/>
          <w:sz w:val="24"/>
          <w:szCs w:val="24"/>
          <w:highlight w:val="none"/>
          <w:lang w:eastAsia="zh-CN"/>
        </w:rPr>
        <w:t>淄博市淄川区双杨镇小庄村沿河路东部现有厂房</w:t>
      </w:r>
      <w:r>
        <w:rPr>
          <w:rFonts w:hint="default" w:ascii="Times New Roman" w:hAnsi="Times New Roman" w:eastAsia="宋体" w:cs="Times New Roman"/>
          <w:color w:val="auto"/>
          <w:sz w:val="24"/>
          <w:szCs w:val="24"/>
          <w:lang w:val="zh-CN"/>
        </w:rPr>
        <w:t>，占地类型为工业用地，符合土地利用总体规划要求</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rPr>
        <w:t>环境风险评价范围内的环境敏感目标主要是厂址周围村庄、地表水以及地下水，具体分布情况见表</w:t>
      </w:r>
      <w:r>
        <w:rPr>
          <w:rFonts w:hint="default" w:ascii="Times New Roman" w:hAnsi="Times New Roman" w:eastAsia="宋体" w:cs="Times New Roman"/>
          <w:color w:val="auto"/>
          <w:kern w:val="0"/>
          <w:sz w:val="24"/>
          <w:lang w:eastAsia="zh-CN"/>
        </w:rPr>
        <w:t>2.</w:t>
      </w:r>
      <w:r>
        <w:rPr>
          <w:rFonts w:hint="eastAsia" w:cs="Times New Roman"/>
          <w:color w:val="auto"/>
          <w:kern w:val="0"/>
          <w:sz w:val="24"/>
          <w:lang w:val="en-US" w:eastAsia="zh-CN"/>
        </w:rPr>
        <w:t>2</w:t>
      </w:r>
      <w:r>
        <w:rPr>
          <w:rFonts w:hint="default" w:ascii="Times New Roman" w:hAnsi="Times New Roman" w:eastAsia="宋体" w:cs="Times New Roman"/>
          <w:color w:val="auto"/>
          <w:kern w:val="0"/>
          <w:sz w:val="24"/>
          <w:lang w:eastAsia="zh-CN"/>
        </w:rPr>
        <w:t>-</w:t>
      </w:r>
      <w:r>
        <w:rPr>
          <w:rFonts w:hint="eastAsia" w:cs="Times New Roman"/>
          <w:color w:val="auto"/>
          <w:kern w:val="0"/>
          <w:sz w:val="24"/>
          <w:lang w:val="en-US" w:eastAsia="zh-CN"/>
        </w:rPr>
        <w:t>1</w:t>
      </w:r>
      <w:r>
        <w:rPr>
          <w:rFonts w:hint="default" w:ascii="Times New Roman" w:hAnsi="Times New Roman" w:eastAsia="宋体" w:cs="Times New Roman"/>
          <w:color w:val="auto"/>
          <w:kern w:val="0"/>
          <w:sz w:val="24"/>
        </w:rPr>
        <w:t xml:space="preserve"> 和环境敏感目标分布图</w:t>
      </w:r>
      <w:r>
        <w:rPr>
          <w:rFonts w:hint="default" w:ascii="Times New Roman" w:hAnsi="Times New Roman" w:eastAsia="宋体" w:cs="Times New Roman"/>
          <w:color w:val="auto"/>
          <w:kern w:val="0"/>
          <w:sz w:val="24"/>
          <w:lang w:eastAsia="zh-CN"/>
        </w:rPr>
        <w:t>2.</w:t>
      </w:r>
      <w:r>
        <w:rPr>
          <w:rFonts w:hint="eastAsia" w:cs="Times New Roman"/>
          <w:color w:val="auto"/>
          <w:kern w:val="0"/>
          <w:sz w:val="24"/>
          <w:lang w:val="en-US" w:eastAsia="zh-CN"/>
        </w:rPr>
        <w:t>2-1</w:t>
      </w:r>
      <w:r>
        <w:rPr>
          <w:rFonts w:hint="default" w:ascii="Times New Roman" w:hAnsi="Times New Roman" w:eastAsia="宋体" w:cs="Times New Roman"/>
          <w:color w:val="auto"/>
          <w:kern w:val="0"/>
          <w:sz w:val="24"/>
        </w:rPr>
        <w:t>。</w:t>
      </w:r>
    </w:p>
    <w:p w14:paraId="4098FD62">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eastAsia" w:cs="Times New Roman"/>
          <w:b/>
          <w:bCs/>
          <w:color w:val="auto"/>
          <w:kern w:val="0"/>
          <w:sz w:val="24"/>
          <w:lang w:val="en-US" w:eastAsia="zh-CN"/>
        </w:rPr>
        <w:t>2.2-1</w:t>
      </w:r>
      <w:r>
        <w:rPr>
          <w:rFonts w:hint="default" w:ascii="Times New Roman" w:hAnsi="Times New Roman" w:eastAsia="宋体" w:cs="Times New Roman"/>
          <w:b/>
          <w:bCs/>
          <w:color w:val="auto"/>
          <w:kern w:val="0"/>
          <w:sz w:val="24"/>
        </w:rPr>
        <w:t xml:space="preserve"> 环境风险环境敏感特性表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45"/>
        <w:gridCol w:w="808"/>
        <w:gridCol w:w="2387"/>
        <w:gridCol w:w="971"/>
        <w:gridCol w:w="1648"/>
        <w:gridCol w:w="1175"/>
        <w:gridCol w:w="1153"/>
      </w:tblGrid>
      <w:tr w14:paraId="0399F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shd w:val="clear" w:color="auto" w:fill="auto"/>
            <w:vAlign w:val="center"/>
          </w:tcPr>
          <w:p w14:paraId="43A823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保护类别</w:t>
            </w:r>
          </w:p>
        </w:tc>
        <w:tc>
          <w:tcPr>
            <w:tcW w:w="3195" w:type="dxa"/>
            <w:gridSpan w:val="2"/>
            <w:shd w:val="clear" w:color="auto" w:fill="auto"/>
            <w:vAlign w:val="center"/>
          </w:tcPr>
          <w:p w14:paraId="1A5AD1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保护目标</w:t>
            </w:r>
          </w:p>
        </w:tc>
        <w:tc>
          <w:tcPr>
            <w:tcW w:w="971" w:type="dxa"/>
            <w:shd w:val="clear" w:color="auto" w:fill="auto"/>
            <w:vAlign w:val="center"/>
          </w:tcPr>
          <w:p w14:paraId="5EB3B9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方位</w:t>
            </w:r>
          </w:p>
        </w:tc>
        <w:tc>
          <w:tcPr>
            <w:tcW w:w="1648" w:type="dxa"/>
            <w:shd w:val="clear" w:color="auto" w:fill="auto"/>
            <w:vAlign w:val="center"/>
          </w:tcPr>
          <w:p w14:paraId="106852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w:t>
            </w:r>
            <w:r>
              <w:rPr>
                <w:rFonts w:hint="default" w:ascii="Times New Roman" w:hAnsi="Times New Roman" w:eastAsia="宋体" w:cs="Times New Roman"/>
                <w:color w:val="auto"/>
                <w:kern w:val="0"/>
                <w:sz w:val="21"/>
                <w:szCs w:val="21"/>
                <w:lang w:eastAsia="zh-CN"/>
              </w:rPr>
              <w:t>本项目</w:t>
            </w:r>
            <w:r>
              <w:rPr>
                <w:rFonts w:hint="default" w:ascii="Times New Roman" w:hAnsi="Times New Roman" w:eastAsia="宋体" w:cs="Times New Roman"/>
                <w:color w:val="auto"/>
                <w:kern w:val="0"/>
                <w:sz w:val="21"/>
                <w:szCs w:val="21"/>
              </w:rPr>
              <w:t>边界距离m</w:t>
            </w:r>
          </w:p>
        </w:tc>
        <w:tc>
          <w:tcPr>
            <w:tcW w:w="1175" w:type="dxa"/>
            <w:shd w:val="clear" w:color="auto" w:fill="auto"/>
            <w:vAlign w:val="center"/>
          </w:tcPr>
          <w:p w14:paraId="496264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规模（人）</w:t>
            </w:r>
          </w:p>
        </w:tc>
        <w:tc>
          <w:tcPr>
            <w:tcW w:w="1153" w:type="dxa"/>
            <w:shd w:val="clear" w:color="auto" w:fill="auto"/>
            <w:vAlign w:val="center"/>
          </w:tcPr>
          <w:p w14:paraId="48B559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属性</w:t>
            </w:r>
          </w:p>
        </w:tc>
      </w:tr>
      <w:tr w14:paraId="47E78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restart"/>
            <w:shd w:val="clear" w:color="auto" w:fill="auto"/>
            <w:vAlign w:val="center"/>
          </w:tcPr>
          <w:p w14:paraId="7B05C1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环境空气</w:t>
            </w:r>
          </w:p>
        </w:tc>
        <w:tc>
          <w:tcPr>
            <w:tcW w:w="808" w:type="dxa"/>
            <w:shd w:val="clear" w:color="auto" w:fill="auto"/>
            <w:vAlign w:val="center"/>
          </w:tcPr>
          <w:p w14:paraId="232DA14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rPr>
              <w:t>1</w:t>
            </w:r>
          </w:p>
        </w:tc>
        <w:tc>
          <w:tcPr>
            <w:tcW w:w="2387" w:type="dxa"/>
            <w:shd w:val="clear" w:color="auto" w:fill="auto"/>
            <w:vAlign w:val="center"/>
          </w:tcPr>
          <w:p w14:paraId="20D60984">
            <w:pPr>
              <w:pStyle w:val="77"/>
              <w:keepNext w:val="0"/>
              <w:keepLines w:val="0"/>
              <w:pageBreakBefore w:val="0"/>
              <w:suppressLineNumbers w:val="0"/>
              <w:kinsoku/>
              <w:wordWrap/>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小庄村</w:t>
            </w:r>
          </w:p>
        </w:tc>
        <w:tc>
          <w:tcPr>
            <w:tcW w:w="971" w:type="dxa"/>
            <w:shd w:val="clear" w:color="auto" w:fill="auto"/>
            <w:vAlign w:val="center"/>
          </w:tcPr>
          <w:p w14:paraId="57B55EC5">
            <w:pPr>
              <w:keepNext w:val="0"/>
              <w:keepLines w:val="0"/>
              <w:suppressLineNumbers w:val="0"/>
              <w:tabs>
                <w:tab w:val="left" w:pos="1680"/>
              </w:tabs>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S</w:t>
            </w:r>
          </w:p>
        </w:tc>
        <w:tc>
          <w:tcPr>
            <w:tcW w:w="1648" w:type="dxa"/>
            <w:shd w:val="clear" w:color="auto" w:fill="auto"/>
            <w:vAlign w:val="center"/>
          </w:tcPr>
          <w:p w14:paraId="7F60C614">
            <w:pPr>
              <w:keepNext w:val="0"/>
              <w:keepLines w:val="0"/>
              <w:suppressLineNumbers w:val="0"/>
              <w:tabs>
                <w:tab w:val="left" w:pos="1680"/>
              </w:tabs>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36</w:t>
            </w:r>
            <w:r>
              <w:rPr>
                <w:rFonts w:hint="eastAsia" w:ascii="Times New Roman" w:hAnsi="Times New Roman" w:cs="Times New Roman"/>
                <w:color w:val="auto"/>
                <w:szCs w:val="21"/>
                <w:highlight w:val="none"/>
                <w:lang w:val="en-US" w:eastAsia="zh-CN"/>
              </w:rPr>
              <w:t>6</w:t>
            </w:r>
          </w:p>
        </w:tc>
        <w:tc>
          <w:tcPr>
            <w:tcW w:w="1175" w:type="dxa"/>
            <w:shd w:val="clear" w:color="auto" w:fill="auto"/>
            <w:vAlign w:val="center"/>
          </w:tcPr>
          <w:p w14:paraId="4FDA990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360</w:t>
            </w:r>
          </w:p>
        </w:tc>
        <w:tc>
          <w:tcPr>
            <w:tcW w:w="1153" w:type="dxa"/>
            <w:shd w:val="clear" w:color="auto" w:fill="auto"/>
            <w:vAlign w:val="center"/>
          </w:tcPr>
          <w:p w14:paraId="561A45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居住区</w:t>
            </w:r>
          </w:p>
        </w:tc>
      </w:tr>
      <w:tr w14:paraId="17912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422130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553B8D0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rPr>
              <w:t>2</w:t>
            </w:r>
          </w:p>
        </w:tc>
        <w:tc>
          <w:tcPr>
            <w:tcW w:w="2387" w:type="dxa"/>
            <w:shd w:val="clear" w:color="auto" w:fill="auto"/>
            <w:vAlign w:val="center"/>
          </w:tcPr>
          <w:p w14:paraId="451D6B88">
            <w:pPr>
              <w:pStyle w:val="77"/>
              <w:keepNext w:val="0"/>
              <w:keepLines w:val="0"/>
              <w:pageBreakBefore w:val="0"/>
              <w:suppressLineNumbers w:val="0"/>
              <w:kinsoku/>
              <w:wordWrap/>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赵瓦村</w:t>
            </w:r>
          </w:p>
        </w:tc>
        <w:tc>
          <w:tcPr>
            <w:tcW w:w="971" w:type="dxa"/>
            <w:shd w:val="clear" w:color="auto" w:fill="auto"/>
            <w:vAlign w:val="center"/>
          </w:tcPr>
          <w:p w14:paraId="0FF58385">
            <w:pPr>
              <w:keepNext w:val="0"/>
              <w:keepLines w:val="0"/>
              <w:suppressLineNumbers w:val="0"/>
              <w:tabs>
                <w:tab w:val="left" w:pos="1680"/>
              </w:tabs>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NW</w:t>
            </w:r>
          </w:p>
        </w:tc>
        <w:tc>
          <w:tcPr>
            <w:tcW w:w="1648" w:type="dxa"/>
            <w:shd w:val="clear" w:color="auto" w:fill="auto"/>
            <w:vAlign w:val="center"/>
          </w:tcPr>
          <w:p w14:paraId="711C759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460</w:t>
            </w:r>
          </w:p>
        </w:tc>
        <w:tc>
          <w:tcPr>
            <w:tcW w:w="1175" w:type="dxa"/>
            <w:shd w:val="clear" w:color="auto" w:fill="auto"/>
            <w:vAlign w:val="center"/>
          </w:tcPr>
          <w:p w14:paraId="5F54565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470</w:t>
            </w:r>
          </w:p>
        </w:tc>
        <w:tc>
          <w:tcPr>
            <w:tcW w:w="1153" w:type="dxa"/>
            <w:shd w:val="clear" w:color="auto" w:fill="auto"/>
            <w:vAlign w:val="center"/>
          </w:tcPr>
          <w:p w14:paraId="7465B6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居住区</w:t>
            </w:r>
          </w:p>
        </w:tc>
      </w:tr>
      <w:tr w14:paraId="2194D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6C3C79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349AE6B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w:t>
            </w:r>
          </w:p>
        </w:tc>
        <w:tc>
          <w:tcPr>
            <w:tcW w:w="2387" w:type="dxa"/>
            <w:shd w:val="clear" w:color="auto" w:fill="auto"/>
            <w:vAlign w:val="center"/>
          </w:tcPr>
          <w:p w14:paraId="468ABB34">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双凤社区</w:t>
            </w:r>
          </w:p>
        </w:tc>
        <w:tc>
          <w:tcPr>
            <w:tcW w:w="971" w:type="dxa"/>
            <w:shd w:val="clear" w:color="auto" w:fill="auto"/>
            <w:vAlign w:val="center"/>
          </w:tcPr>
          <w:p w14:paraId="09E7B3D2">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SE</w:t>
            </w:r>
          </w:p>
        </w:tc>
        <w:tc>
          <w:tcPr>
            <w:tcW w:w="1648" w:type="dxa"/>
            <w:shd w:val="clear" w:color="auto" w:fill="auto"/>
            <w:vAlign w:val="center"/>
          </w:tcPr>
          <w:p w14:paraId="53C42B4A">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568</w:t>
            </w:r>
          </w:p>
        </w:tc>
        <w:tc>
          <w:tcPr>
            <w:tcW w:w="1175" w:type="dxa"/>
            <w:shd w:val="clear" w:color="auto" w:fill="auto"/>
            <w:vAlign w:val="center"/>
          </w:tcPr>
          <w:p w14:paraId="440A7CB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1050</w:t>
            </w:r>
          </w:p>
        </w:tc>
        <w:tc>
          <w:tcPr>
            <w:tcW w:w="1153" w:type="dxa"/>
            <w:shd w:val="clear" w:color="auto" w:fill="auto"/>
            <w:vAlign w:val="center"/>
          </w:tcPr>
          <w:p w14:paraId="56C136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0C9B7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06ED1F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3B560B9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w:t>
            </w:r>
          </w:p>
        </w:tc>
        <w:tc>
          <w:tcPr>
            <w:tcW w:w="2387" w:type="dxa"/>
            <w:shd w:val="clear" w:color="auto" w:fill="auto"/>
            <w:vAlign w:val="center"/>
          </w:tcPr>
          <w:p w14:paraId="74A4ECC9">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双杨镇双沟中心小学</w:t>
            </w:r>
          </w:p>
        </w:tc>
        <w:tc>
          <w:tcPr>
            <w:tcW w:w="971" w:type="dxa"/>
            <w:shd w:val="clear" w:color="auto" w:fill="auto"/>
            <w:vAlign w:val="center"/>
          </w:tcPr>
          <w:p w14:paraId="0C988A29">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SE</w:t>
            </w:r>
          </w:p>
        </w:tc>
        <w:tc>
          <w:tcPr>
            <w:tcW w:w="1648" w:type="dxa"/>
            <w:shd w:val="clear" w:color="auto" w:fill="auto"/>
            <w:vAlign w:val="center"/>
          </w:tcPr>
          <w:p w14:paraId="784C2595">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780</w:t>
            </w:r>
          </w:p>
        </w:tc>
        <w:tc>
          <w:tcPr>
            <w:tcW w:w="1175" w:type="dxa"/>
            <w:shd w:val="clear" w:color="auto" w:fill="auto"/>
            <w:vAlign w:val="center"/>
          </w:tcPr>
          <w:p w14:paraId="2DAB5410">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360</w:t>
            </w:r>
          </w:p>
        </w:tc>
        <w:tc>
          <w:tcPr>
            <w:tcW w:w="1153" w:type="dxa"/>
            <w:shd w:val="clear" w:color="auto" w:fill="auto"/>
            <w:vAlign w:val="center"/>
          </w:tcPr>
          <w:p w14:paraId="5C5341A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学校</w:t>
            </w:r>
          </w:p>
        </w:tc>
      </w:tr>
      <w:tr w14:paraId="3A2B6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9324A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144380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w:t>
            </w:r>
          </w:p>
        </w:tc>
        <w:tc>
          <w:tcPr>
            <w:tcW w:w="2387" w:type="dxa"/>
            <w:shd w:val="clear" w:color="auto" w:fill="auto"/>
            <w:vAlign w:val="center"/>
          </w:tcPr>
          <w:p w14:paraId="715DF8CB">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杨兰村</w:t>
            </w:r>
          </w:p>
        </w:tc>
        <w:tc>
          <w:tcPr>
            <w:tcW w:w="971" w:type="dxa"/>
            <w:shd w:val="clear" w:color="auto" w:fill="auto"/>
            <w:vAlign w:val="center"/>
          </w:tcPr>
          <w:p w14:paraId="51CC98E1">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NE</w:t>
            </w:r>
          </w:p>
        </w:tc>
        <w:tc>
          <w:tcPr>
            <w:tcW w:w="1648" w:type="dxa"/>
            <w:shd w:val="clear" w:color="auto" w:fill="auto"/>
            <w:vAlign w:val="center"/>
          </w:tcPr>
          <w:p w14:paraId="7001DEC5">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638</w:t>
            </w:r>
          </w:p>
        </w:tc>
        <w:tc>
          <w:tcPr>
            <w:tcW w:w="1175" w:type="dxa"/>
            <w:shd w:val="clear" w:color="auto" w:fill="auto"/>
            <w:vAlign w:val="center"/>
          </w:tcPr>
          <w:p w14:paraId="360F9B2C">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408</w:t>
            </w:r>
          </w:p>
        </w:tc>
        <w:tc>
          <w:tcPr>
            <w:tcW w:w="1153" w:type="dxa"/>
            <w:shd w:val="clear" w:color="auto" w:fill="auto"/>
            <w:vAlign w:val="center"/>
          </w:tcPr>
          <w:p w14:paraId="4FBD20F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居住区</w:t>
            </w:r>
          </w:p>
        </w:tc>
      </w:tr>
      <w:tr w14:paraId="23182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EB7CF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6816CE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w:t>
            </w:r>
          </w:p>
        </w:tc>
        <w:tc>
          <w:tcPr>
            <w:tcW w:w="2387" w:type="dxa"/>
            <w:shd w:val="clear" w:color="auto" w:fill="auto"/>
            <w:vAlign w:val="center"/>
          </w:tcPr>
          <w:p w14:paraId="21E323C2">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董家村</w:t>
            </w:r>
          </w:p>
        </w:tc>
        <w:tc>
          <w:tcPr>
            <w:tcW w:w="971" w:type="dxa"/>
            <w:shd w:val="clear" w:color="auto" w:fill="auto"/>
            <w:vAlign w:val="center"/>
          </w:tcPr>
          <w:p w14:paraId="61AA255B">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W</w:t>
            </w:r>
          </w:p>
        </w:tc>
        <w:tc>
          <w:tcPr>
            <w:tcW w:w="1648" w:type="dxa"/>
            <w:shd w:val="clear" w:color="auto" w:fill="auto"/>
            <w:vAlign w:val="center"/>
          </w:tcPr>
          <w:p w14:paraId="577E12D1">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highlight w:val="none"/>
                <w:lang w:val="en-US" w:eastAsia="zh-CN" w:bidi="ar-SA"/>
              </w:rPr>
            </w:pPr>
            <w:r>
              <w:rPr>
                <w:rFonts w:hint="eastAsia" w:cs="Times New Roman"/>
                <w:bCs/>
                <w:snapToGrid w:val="0"/>
                <w:color w:val="auto"/>
                <w:kern w:val="0"/>
                <w:sz w:val="21"/>
                <w:szCs w:val="21"/>
                <w:highlight w:val="none"/>
                <w:lang w:val="en-US" w:eastAsia="zh-CN" w:bidi="ar-SA"/>
              </w:rPr>
              <w:t>950</w:t>
            </w:r>
          </w:p>
        </w:tc>
        <w:tc>
          <w:tcPr>
            <w:tcW w:w="1175" w:type="dxa"/>
            <w:shd w:val="clear" w:color="auto" w:fill="auto"/>
            <w:vAlign w:val="center"/>
          </w:tcPr>
          <w:p w14:paraId="7BA13125">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525</w:t>
            </w:r>
          </w:p>
        </w:tc>
        <w:tc>
          <w:tcPr>
            <w:tcW w:w="1153" w:type="dxa"/>
            <w:shd w:val="clear" w:color="auto" w:fill="auto"/>
            <w:vAlign w:val="center"/>
          </w:tcPr>
          <w:p w14:paraId="34EE7D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29CDF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01218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F0BC47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w:t>
            </w:r>
          </w:p>
        </w:tc>
        <w:tc>
          <w:tcPr>
            <w:tcW w:w="2387" w:type="dxa"/>
            <w:shd w:val="clear" w:color="auto" w:fill="auto"/>
            <w:vAlign w:val="center"/>
          </w:tcPr>
          <w:p w14:paraId="4236850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坡子村</w:t>
            </w:r>
          </w:p>
        </w:tc>
        <w:tc>
          <w:tcPr>
            <w:tcW w:w="971" w:type="dxa"/>
            <w:shd w:val="clear" w:color="auto" w:fill="auto"/>
            <w:vAlign w:val="center"/>
          </w:tcPr>
          <w:p w14:paraId="7FC7B0D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WSW</w:t>
            </w:r>
          </w:p>
        </w:tc>
        <w:tc>
          <w:tcPr>
            <w:tcW w:w="1648" w:type="dxa"/>
            <w:shd w:val="clear" w:color="auto" w:fill="auto"/>
            <w:vAlign w:val="center"/>
          </w:tcPr>
          <w:p w14:paraId="28CFBE2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1755</w:t>
            </w:r>
          </w:p>
        </w:tc>
        <w:tc>
          <w:tcPr>
            <w:tcW w:w="1175" w:type="dxa"/>
            <w:shd w:val="clear" w:color="auto" w:fill="auto"/>
            <w:vAlign w:val="center"/>
          </w:tcPr>
          <w:p w14:paraId="10AC033A">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405</w:t>
            </w:r>
          </w:p>
        </w:tc>
        <w:tc>
          <w:tcPr>
            <w:tcW w:w="1153" w:type="dxa"/>
            <w:shd w:val="clear" w:color="auto" w:fill="auto"/>
            <w:vAlign w:val="center"/>
          </w:tcPr>
          <w:p w14:paraId="5BCEEF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59C0D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A2CBC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07BDA5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w:t>
            </w:r>
          </w:p>
        </w:tc>
        <w:tc>
          <w:tcPr>
            <w:tcW w:w="2387" w:type="dxa"/>
            <w:shd w:val="clear" w:color="auto" w:fill="auto"/>
            <w:vAlign w:val="center"/>
          </w:tcPr>
          <w:p w14:paraId="5BF5952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贾村</w:t>
            </w:r>
          </w:p>
        </w:tc>
        <w:tc>
          <w:tcPr>
            <w:tcW w:w="971" w:type="dxa"/>
            <w:shd w:val="clear" w:color="auto" w:fill="auto"/>
            <w:vAlign w:val="center"/>
          </w:tcPr>
          <w:p w14:paraId="2B615E8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SW</w:t>
            </w:r>
          </w:p>
        </w:tc>
        <w:tc>
          <w:tcPr>
            <w:tcW w:w="1648" w:type="dxa"/>
            <w:shd w:val="clear" w:color="auto" w:fill="auto"/>
            <w:vAlign w:val="center"/>
          </w:tcPr>
          <w:p w14:paraId="4521DC9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1640</w:t>
            </w:r>
          </w:p>
        </w:tc>
        <w:tc>
          <w:tcPr>
            <w:tcW w:w="1175" w:type="dxa"/>
            <w:shd w:val="clear" w:color="auto" w:fill="auto"/>
            <w:vAlign w:val="center"/>
          </w:tcPr>
          <w:p w14:paraId="1A35AB44">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620</w:t>
            </w:r>
          </w:p>
        </w:tc>
        <w:tc>
          <w:tcPr>
            <w:tcW w:w="1153" w:type="dxa"/>
            <w:shd w:val="clear" w:color="auto" w:fill="auto"/>
            <w:vAlign w:val="center"/>
          </w:tcPr>
          <w:p w14:paraId="5D233D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79676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E974C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7D1538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w:t>
            </w:r>
          </w:p>
        </w:tc>
        <w:tc>
          <w:tcPr>
            <w:tcW w:w="2387" w:type="dxa"/>
            <w:shd w:val="clear" w:color="auto" w:fill="auto"/>
            <w:vAlign w:val="center"/>
          </w:tcPr>
          <w:p w14:paraId="54CA3D9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十里铺村</w:t>
            </w:r>
          </w:p>
        </w:tc>
        <w:tc>
          <w:tcPr>
            <w:tcW w:w="971" w:type="dxa"/>
            <w:shd w:val="clear" w:color="auto" w:fill="auto"/>
            <w:vAlign w:val="center"/>
          </w:tcPr>
          <w:p w14:paraId="66F7A82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S</w:t>
            </w:r>
          </w:p>
        </w:tc>
        <w:tc>
          <w:tcPr>
            <w:tcW w:w="1648" w:type="dxa"/>
            <w:shd w:val="clear" w:color="auto" w:fill="auto"/>
            <w:vAlign w:val="center"/>
          </w:tcPr>
          <w:p w14:paraId="25D4AAF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1814</w:t>
            </w:r>
          </w:p>
        </w:tc>
        <w:tc>
          <w:tcPr>
            <w:tcW w:w="1175" w:type="dxa"/>
            <w:shd w:val="clear" w:color="auto" w:fill="auto"/>
            <w:vAlign w:val="center"/>
          </w:tcPr>
          <w:p w14:paraId="6F142CD7">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350</w:t>
            </w:r>
          </w:p>
        </w:tc>
        <w:tc>
          <w:tcPr>
            <w:tcW w:w="1153" w:type="dxa"/>
            <w:shd w:val="clear" w:color="auto" w:fill="auto"/>
            <w:vAlign w:val="center"/>
          </w:tcPr>
          <w:p w14:paraId="69B135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3A68F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ACEE7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6CE6C7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10</w:t>
            </w:r>
          </w:p>
        </w:tc>
        <w:tc>
          <w:tcPr>
            <w:tcW w:w="2387" w:type="dxa"/>
            <w:shd w:val="clear" w:color="auto" w:fill="auto"/>
            <w:vAlign w:val="center"/>
          </w:tcPr>
          <w:p w14:paraId="770EBDD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孟机村</w:t>
            </w:r>
          </w:p>
        </w:tc>
        <w:tc>
          <w:tcPr>
            <w:tcW w:w="971" w:type="dxa"/>
            <w:shd w:val="clear" w:color="auto" w:fill="auto"/>
            <w:vAlign w:val="center"/>
          </w:tcPr>
          <w:p w14:paraId="68E3D2C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SSE</w:t>
            </w:r>
          </w:p>
        </w:tc>
        <w:tc>
          <w:tcPr>
            <w:tcW w:w="1648" w:type="dxa"/>
            <w:shd w:val="clear" w:color="auto" w:fill="auto"/>
            <w:vAlign w:val="center"/>
          </w:tcPr>
          <w:p w14:paraId="5FF7CA6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1948</w:t>
            </w:r>
          </w:p>
        </w:tc>
        <w:tc>
          <w:tcPr>
            <w:tcW w:w="1175" w:type="dxa"/>
            <w:shd w:val="clear" w:color="auto" w:fill="auto"/>
            <w:vAlign w:val="center"/>
          </w:tcPr>
          <w:p w14:paraId="61DC73B2">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1160</w:t>
            </w:r>
          </w:p>
        </w:tc>
        <w:tc>
          <w:tcPr>
            <w:tcW w:w="1153" w:type="dxa"/>
            <w:shd w:val="clear" w:color="auto" w:fill="auto"/>
            <w:vAlign w:val="center"/>
          </w:tcPr>
          <w:p w14:paraId="2E2736B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居住区</w:t>
            </w:r>
          </w:p>
        </w:tc>
      </w:tr>
      <w:tr w14:paraId="5DE45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4C2BF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08F2A70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11</w:t>
            </w:r>
          </w:p>
        </w:tc>
        <w:tc>
          <w:tcPr>
            <w:tcW w:w="2387" w:type="dxa"/>
            <w:shd w:val="clear" w:color="auto" w:fill="auto"/>
            <w:vAlign w:val="center"/>
          </w:tcPr>
          <w:p w14:paraId="133E1AF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西张村</w:t>
            </w:r>
          </w:p>
        </w:tc>
        <w:tc>
          <w:tcPr>
            <w:tcW w:w="971" w:type="dxa"/>
            <w:shd w:val="clear" w:color="auto" w:fill="auto"/>
            <w:vAlign w:val="center"/>
          </w:tcPr>
          <w:p w14:paraId="3241167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SE</w:t>
            </w:r>
          </w:p>
        </w:tc>
        <w:tc>
          <w:tcPr>
            <w:tcW w:w="1648" w:type="dxa"/>
            <w:shd w:val="clear" w:color="auto" w:fill="auto"/>
            <w:vAlign w:val="center"/>
          </w:tcPr>
          <w:p w14:paraId="0169B89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1936</w:t>
            </w:r>
          </w:p>
        </w:tc>
        <w:tc>
          <w:tcPr>
            <w:tcW w:w="1175" w:type="dxa"/>
            <w:shd w:val="clear" w:color="auto" w:fill="auto"/>
            <w:vAlign w:val="center"/>
          </w:tcPr>
          <w:p w14:paraId="6DB65A97">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950</w:t>
            </w:r>
          </w:p>
        </w:tc>
        <w:tc>
          <w:tcPr>
            <w:tcW w:w="1153" w:type="dxa"/>
            <w:shd w:val="clear" w:color="auto" w:fill="auto"/>
            <w:vAlign w:val="center"/>
          </w:tcPr>
          <w:p w14:paraId="4AC70A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5F79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9A114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08A3DA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12</w:t>
            </w:r>
          </w:p>
        </w:tc>
        <w:tc>
          <w:tcPr>
            <w:tcW w:w="2387" w:type="dxa"/>
            <w:shd w:val="clear" w:color="auto" w:fill="auto"/>
            <w:vAlign w:val="center"/>
          </w:tcPr>
          <w:p w14:paraId="1C8EED8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双河村</w:t>
            </w:r>
          </w:p>
        </w:tc>
        <w:tc>
          <w:tcPr>
            <w:tcW w:w="971" w:type="dxa"/>
            <w:shd w:val="clear" w:color="auto" w:fill="auto"/>
            <w:vAlign w:val="center"/>
          </w:tcPr>
          <w:p w14:paraId="05E98D1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ESE</w:t>
            </w:r>
          </w:p>
        </w:tc>
        <w:tc>
          <w:tcPr>
            <w:tcW w:w="1648" w:type="dxa"/>
            <w:shd w:val="clear" w:color="auto" w:fill="auto"/>
            <w:vAlign w:val="center"/>
          </w:tcPr>
          <w:p w14:paraId="2CCCBC1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1425</w:t>
            </w:r>
          </w:p>
        </w:tc>
        <w:tc>
          <w:tcPr>
            <w:tcW w:w="1175" w:type="dxa"/>
            <w:shd w:val="clear" w:color="auto" w:fill="auto"/>
            <w:vAlign w:val="center"/>
          </w:tcPr>
          <w:p w14:paraId="069A7C12">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380</w:t>
            </w:r>
          </w:p>
        </w:tc>
        <w:tc>
          <w:tcPr>
            <w:tcW w:w="1153" w:type="dxa"/>
            <w:shd w:val="clear" w:color="auto" w:fill="auto"/>
            <w:vAlign w:val="center"/>
          </w:tcPr>
          <w:p w14:paraId="74B336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04A1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078F7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0E4E22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13</w:t>
            </w:r>
          </w:p>
        </w:tc>
        <w:tc>
          <w:tcPr>
            <w:tcW w:w="2387" w:type="dxa"/>
            <w:shd w:val="clear" w:color="auto" w:fill="auto"/>
            <w:vAlign w:val="center"/>
          </w:tcPr>
          <w:p w14:paraId="67BE314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双沟村</w:t>
            </w:r>
          </w:p>
        </w:tc>
        <w:tc>
          <w:tcPr>
            <w:tcW w:w="971" w:type="dxa"/>
            <w:shd w:val="clear" w:color="auto" w:fill="auto"/>
            <w:vAlign w:val="center"/>
          </w:tcPr>
          <w:p w14:paraId="1466E64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ESE</w:t>
            </w:r>
          </w:p>
        </w:tc>
        <w:tc>
          <w:tcPr>
            <w:tcW w:w="1648" w:type="dxa"/>
            <w:shd w:val="clear" w:color="auto" w:fill="auto"/>
            <w:vAlign w:val="center"/>
          </w:tcPr>
          <w:p w14:paraId="15796EA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1730</w:t>
            </w:r>
          </w:p>
        </w:tc>
        <w:tc>
          <w:tcPr>
            <w:tcW w:w="1175" w:type="dxa"/>
            <w:shd w:val="clear" w:color="auto" w:fill="auto"/>
            <w:vAlign w:val="center"/>
          </w:tcPr>
          <w:p w14:paraId="02601E4D">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660</w:t>
            </w:r>
          </w:p>
        </w:tc>
        <w:tc>
          <w:tcPr>
            <w:tcW w:w="1153" w:type="dxa"/>
            <w:shd w:val="clear" w:color="auto" w:fill="auto"/>
            <w:vAlign w:val="center"/>
          </w:tcPr>
          <w:p w14:paraId="4141C2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549A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894A2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7FFE3E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14</w:t>
            </w:r>
          </w:p>
        </w:tc>
        <w:tc>
          <w:tcPr>
            <w:tcW w:w="2387" w:type="dxa"/>
            <w:shd w:val="clear" w:color="auto" w:fill="auto"/>
            <w:vAlign w:val="center"/>
          </w:tcPr>
          <w:p w14:paraId="4A5006A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淄川区检察院反贪局</w:t>
            </w:r>
          </w:p>
        </w:tc>
        <w:tc>
          <w:tcPr>
            <w:tcW w:w="971" w:type="dxa"/>
            <w:shd w:val="clear" w:color="auto" w:fill="auto"/>
            <w:vAlign w:val="center"/>
          </w:tcPr>
          <w:p w14:paraId="02748E0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E</w:t>
            </w:r>
          </w:p>
        </w:tc>
        <w:tc>
          <w:tcPr>
            <w:tcW w:w="1648" w:type="dxa"/>
            <w:shd w:val="clear" w:color="auto" w:fill="auto"/>
            <w:vAlign w:val="center"/>
          </w:tcPr>
          <w:p w14:paraId="215DC12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1180</w:t>
            </w:r>
          </w:p>
        </w:tc>
        <w:tc>
          <w:tcPr>
            <w:tcW w:w="1175" w:type="dxa"/>
            <w:shd w:val="clear" w:color="auto" w:fill="auto"/>
            <w:vAlign w:val="center"/>
          </w:tcPr>
          <w:p w14:paraId="612FB3F5">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150</w:t>
            </w:r>
          </w:p>
        </w:tc>
        <w:tc>
          <w:tcPr>
            <w:tcW w:w="1153" w:type="dxa"/>
            <w:shd w:val="clear" w:color="auto" w:fill="auto"/>
            <w:vAlign w:val="center"/>
          </w:tcPr>
          <w:p w14:paraId="13259C9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机关单位</w:t>
            </w:r>
          </w:p>
        </w:tc>
      </w:tr>
      <w:tr w14:paraId="5E600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A19A2C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DF6F2A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15</w:t>
            </w:r>
          </w:p>
        </w:tc>
        <w:tc>
          <w:tcPr>
            <w:tcW w:w="2387" w:type="dxa"/>
            <w:shd w:val="clear" w:color="auto" w:fill="auto"/>
            <w:vAlign w:val="center"/>
          </w:tcPr>
          <w:p w14:paraId="1B61B11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凤凰村</w:t>
            </w:r>
          </w:p>
        </w:tc>
        <w:tc>
          <w:tcPr>
            <w:tcW w:w="971" w:type="dxa"/>
            <w:shd w:val="clear" w:color="auto" w:fill="auto"/>
            <w:vAlign w:val="center"/>
          </w:tcPr>
          <w:p w14:paraId="508F3C6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ENE</w:t>
            </w:r>
          </w:p>
        </w:tc>
        <w:tc>
          <w:tcPr>
            <w:tcW w:w="1648" w:type="dxa"/>
            <w:shd w:val="clear" w:color="auto" w:fill="auto"/>
            <w:vAlign w:val="center"/>
          </w:tcPr>
          <w:p w14:paraId="74E20D3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1802</w:t>
            </w:r>
          </w:p>
        </w:tc>
        <w:tc>
          <w:tcPr>
            <w:tcW w:w="1175" w:type="dxa"/>
            <w:shd w:val="clear" w:color="auto" w:fill="auto"/>
            <w:vAlign w:val="center"/>
          </w:tcPr>
          <w:p w14:paraId="1B6F0E51">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1360</w:t>
            </w:r>
          </w:p>
        </w:tc>
        <w:tc>
          <w:tcPr>
            <w:tcW w:w="1153" w:type="dxa"/>
            <w:shd w:val="clear" w:color="auto" w:fill="auto"/>
            <w:vAlign w:val="center"/>
          </w:tcPr>
          <w:p w14:paraId="23065E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662A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451FE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0BEC6A3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w:t>
            </w:r>
          </w:p>
        </w:tc>
        <w:tc>
          <w:tcPr>
            <w:tcW w:w="2387" w:type="dxa"/>
            <w:shd w:val="clear" w:color="auto" w:fill="auto"/>
            <w:vAlign w:val="center"/>
          </w:tcPr>
          <w:p w14:paraId="01DA6C8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阳光花园</w:t>
            </w:r>
          </w:p>
        </w:tc>
        <w:tc>
          <w:tcPr>
            <w:tcW w:w="971" w:type="dxa"/>
            <w:shd w:val="clear" w:color="auto" w:fill="auto"/>
            <w:vAlign w:val="center"/>
          </w:tcPr>
          <w:p w14:paraId="74ABD07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N</w:t>
            </w:r>
          </w:p>
        </w:tc>
        <w:tc>
          <w:tcPr>
            <w:tcW w:w="1648" w:type="dxa"/>
            <w:shd w:val="clear" w:color="auto" w:fill="auto"/>
            <w:vAlign w:val="center"/>
          </w:tcPr>
          <w:p w14:paraId="6CF76E4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1680</w:t>
            </w:r>
          </w:p>
        </w:tc>
        <w:tc>
          <w:tcPr>
            <w:tcW w:w="1175" w:type="dxa"/>
            <w:shd w:val="clear" w:color="auto" w:fill="auto"/>
            <w:vAlign w:val="center"/>
          </w:tcPr>
          <w:p w14:paraId="3C205398">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1500</w:t>
            </w:r>
          </w:p>
        </w:tc>
        <w:tc>
          <w:tcPr>
            <w:tcW w:w="1153" w:type="dxa"/>
            <w:shd w:val="clear" w:color="auto" w:fill="auto"/>
            <w:vAlign w:val="center"/>
          </w:tcPr>
          <w:p w14:paraId="07027F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081B4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6D1C1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21E33A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w:t>
            </w:r>
          </w:p>
        </w:tc>
        <w:tc>
          <w:tcPr>
            <w:tcW w:w="2387" w:type="dxa"/>
            <w:shd w:val="clear" w:color="auto" w:fill="auto"/>
            <w:vAlign w:val="center"/>
          </w:tcPr>
          <w:p w14:paraId="086060E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阳光小区</w:t>
            </w:r>
          </w:p>
        </w:tc>
        <w:tc>
          <w:tcPr>
            <w:tcW w:w="971" w:type="dxa"/>
            <w:shd w:val="clear" w:color="auto" w:fill="auto"/>
            <w:vAlign w:val="center"/>
          </w:tcPr>
          <w:p w14:paraId="4797389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N</w:t>
            </w:r>
          </w:p>
        </w:tc>
        <w:tc>
          <w:tcPr>
            <w:tcW w:w="1648" w:type="dxa"/>
            <w:shd w:val="clear" w:color="auto" w:fill="auto"/>
            <w:vAlign w:val="center"/>
          </w:tcPr>
          <w:p w14:paraId="7D47C16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1725</w:t>
            </w:r>
          </w:p>
        </w:tc>
        <w:tc>
          <w:tcPr>
            <w:tcW w:w="1175" w:type="dxa"/>
            <w:shd w:val="clear" w:color="auto" w:fill="auto"/>
            <w:vAlign w:val="center"/>
          </w:tcPr>
          <w:p w14:paraId="0FDF5787">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1400</w:t>
            </w:r>
          </w:p>
        </w:tc>
        <w:tc>
          <w:tcPr>
            <w:tcW w:w="1153" w:type="dxa"/>
            <w:shd w:val="clear" w:color="auto" w:fill="auto"/>
            <w:vAlign w:val="center"/>
          </w:tcPr>
          <w:p w14:paraId="3BF7A3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1A1B6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1A375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D959BA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18</w:t>
            </w:r>
          </w:p>
        </w:tc>
        <w:tc>
          <w:tcPr>
            <w:tcW w:w="2387" w:type="dxa"/>
            <w:shd w:val="clear" w:color="auto" w:fill="auto"/>
            <w:vAlign w:val="center"/>
          </w:tcPr>
          <w:p w14:paraId="2917A08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淄川区杨寨中学</w:t>
            </w:r>
          </w:p>
        </w:tc>
        <w:tc>
          <w:tcPr>
            <w:tcW w:w="971" w:type="dxa"/>
            <w:shd w:val="clear" w:color="auto" w:fill="auto"/>
            <w:vAlign w:val="center"/>
          </w:tcPr>
          <w:p w14:paraId="1CE3F65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N</w:t>
            </w:r>
          </w:p>
        </w:tc>
        <w:tc>
          <w:tcPr>
            <w:tcW w:w="1648" w:type="dxa"/>
            <w:shd w:val="clear" w:color="auto" w:fill="auto"/>
            <w:vAlign w:val="center"/>
          </w:tcPr>
          <w:p w14:paraId="15B1781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1450</w:t>
            </w:r>
          </w:p>
        </w:tc>
        <w:tc>
          <w:tcPr>
            <w:tcW w:w="1175" w:type="dxa"/>
            <w:shd w:val="clear" w:color="auto" w:fill="auto"/>
            <w:vAlign w:val="center"/>
          </w:tcPr>
          <w:p w14:paraId="406FD634">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560</w:t>
            </w:r>
          </w:p>
        </w:tc>
        <w:tc>
          <w:tcPr>
            <w:tcW w:w="1153" w:type="dxa"/>
            <w:shd w:val="clear" w:color="auto" w:fill="auto"/>
            <w:vAlign w:val="center"/>
          </w:tcPr>
          <w:p w14:paraId="2AB9F0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学校</w:t>
            </w:r>
          </w:p>
        </w:tc>
      </w:tr>
      <w:tr w14:paraId="69106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7AA6F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0583595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19</w:t>
            </w:r>
          </w:p>
        </w:tc>
        <w:tc>
          <w:tcPr>
            <w:tcW w:w="2387" w:type="dxa"/>
            <w:shd w:val="clear" w:color="auto" w:fill="auto"/>
            <w:vAlign w:val="center"/>
          </w:tcPr>
          <w:p w14:paraId="2CCA674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法家村</w:t>
            </w:r>
          </w:p>
        </w:tc>
        <w:tc>
          <w:tcPr>
            <w:tcW w:w="971" w:type="dxa"/>
            <w:shd w:val="clear" w:color="auto" w:fill="auto"/>
            <w:vAlign w:val="center"/>
          </w:tcPr>
          <w:p w14:paraId="30B55C9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w:t>
            </w:r>
          </w:p>
        </w:tc>
        <w:tc>
          <w:tcPr>
            <w:tcW w:w="1648" w:type="dxa"/>
            <w:shd w:val="clear" w:color="auto" w:fill="auto"/>
            <w:vAlign w:val="center"/>
          </w:tcPr>
          <w:p w14:paraId="5ED1EA6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2620</w:t>
            </w:r>
          </w:p>
        </w:tc>
        <w:tc>
          <w:tcPr>
            <w:tcW w:w="1175" w:type="dxa"/>
            <w:shd w:val="clear" w:color="auto" w:fill="auto"/>
            <w:vAlign w:val="center"/>
          </w:tcPr>
          <w:p w14:paraId="723EC053">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535</w:t>
            </w:r>
          </w:p>
        </w:tc>
        <w:tc>
          <w:tcPr>
            <w:tcW w:w="1153" w:type="dxa"/>
            <w:shd w:val="clear" w:color="auto" w:fill="auto"/>
            <w:vAlign w:val="center"/>
          </w:tcPr>
          <w:p w14:paraId="50AABE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6EE4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48840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C672C2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20</w:t>
            </w:r>
          </w:p>
        </w:tc>
        <w:tc>
          <w:tcPr>
            <w:tcW w:w="2387" w:type="dxa"/>
            <w:shd w:val="clear" w:color="auto" w:fill="auto"/>
            <w:vAlign w:val="center"/>
          </w:tcPr>
          <w:p w14:paraId="5B4B524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金马村</w:t>
            </w:r>
          </w:p>
        </w:tc>
        <w:tc>
          <w:tcPr>
            <w:tcW w:w="971" w:type="dxa"/>
            <w:shd w:val="clear" w:color="auto" w:fill="auto"/>
            <w:vAlign w:val="center"/>
          </w:tcPr>
          <w:p w14:paraId="1DCE4BC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NNW</w:t>
            </w:r>
          </w:p>
        </w:tc>
        <w:tc>
          <w:tcPr>
            <w:tcW w:w="1648" w:type="dxa"/>
            <w:shd w:val="clear" w:color="auto" w:fill="auto"/>
            <w:vAlign w:val="center"/>
          </w:tcPr>
          <w:p w14:paraId="6DAC093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2206</w:t>
            </w:r>
          </w:p>
        </w:tc>
        <w:tc>
          <w:tcPr>
            <w:tcW w:w="1175" w:type="dxa"/>
            <w:shd w:val="clear" w:color="auto" w:fill="auto"/>
            <w:vAlign w:val="center"/>
          </w:tcPr>
          <w:p w14:paraId="766003E9">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518</w:t>
            </w:r>
          </w:p>
        </w:tc>
        <w:tc>
          <w:tcPr>
            <w:tcW w:w="1153" w:type="dxa"/>
            <w:shd w:val="clear" w:color="auto" w:fill="auto"/>
            <w:vAlign w:val="center"/>
          </w:tcPr>
          <w:p w14:paraId="0F0FCA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A256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42E53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F1500C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21</w:t>
            </w:r>
          </w:p>
        </w:tc>
        <w:tc>
          <w:tcPr>
            <w:tcW w:w="2387" w:type="dxa"/>
            <w:shd w:val="clear" w:color="auto" w:fill="auto"/>
            <w:vAlign w:val="center"/>
          </w:tcPr>
          <w:p w14:paraId="296FC28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月庄社区</w:t>
            </w:r>
          </w:p>
        </w:tc>
        <w:tc>
          <w:tcPr>
            <w:tcW w:w="971" w:type="dxa"/>
            <w:shd w:val="clear" w:color="auto" w:fill="auto"/>
            <w:vAlign w:val="center"/>
          </w:tcPr>
          <w:p w14:paraId="20EB15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cs="Times New Roman"/>
                <w:color w:val="auto"/>
                <w:kern w:val="0"/>
                <w:sz w:val="21"/>
                <w:szCs w:val="21"/>
                <w:lang w:val="en-US" w:eastAsia="zh-CN" w:bidi="zh-CN"/>
              </w:rPr>
              <w:t>NNE</w:t>
            </w:r>
          </w:p>
        </w:tc>
        <w:tc>
          <w:tcPr>
            <w:tcW w:w="1648" w:type="dxa"/>
            <w:shd w:val="clear" w:color="auto" w:fill="auto"/>
            <w:vAlign w:val="center"/>
          </w:tcPr>
          <w:p w14:paraId="1F8E757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2250</w:t>
            </w:r>
          </w:p>
        </w:tc>
        <w:tc>
          <w:tcPr>
            <w:tcW w:w="1175" w:type="dxa"/>
            <w:shd w:val="clear" w:color="auto" w:fill="auto"/>
            <w:vAlign w:val="center"/>
          </w:tcPr>
          <w:p w14:paraId="57E853D5">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1250</w:t>
            </w:r>
          </w:p>
        </w:tc>
        <w:tc>
          <w:tcPr>
            <w:tcW w:w="1153" w:type="dxa"/>
            <w:shd w:val="clear" w:color="auto" w:fill="auto"/>
            <w:vAlign w:val="center"/>
          </w:tcPr>
          <w:p w14:paraId="104B40A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DE2B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E7844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6DA1691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22</w:t>
            </w:r>
          </w:p>
        </w:tc>
        <w:tc>
          <w:tcPr>
            <w:tcW w:w="2387" w:type="dxa"/>
            <w:shd w:val="clear" w:color="auto" w:fill="auto"/>
            <w:vAlign w:val="center"/>
          </w:tcPr>
          <w:p w14:paraId="649CC89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宇峰社区</w:t>
            </w:r>
          </w:p>
        </w:tc>
        <w:tc>
          <w:tcPr>
            <w:tcW w:w="971" w:type="dxa"/>
            <w:shd w:val="clear" w:color="auto" w:fill="auto"/>
            <w:vAlign w:val="center"/>
          </w:tcPr>
          <w:p w14:paraId="4524A9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cs="Times New Roman"/>
                <w:color w:val="auto"/>
                <w:kern w:val="0"/>
                <w:sz w:val="21"/>
                <w:szCs w:val="21"/>
                <w:lang w:val="en-US" w:eastAsia="zh-CN" w:bidi="zh-CN"/>
              </w:rPr>
              <w:t>NE</w:t>
            </w:r>
          </w:p>
        </w:tc>
        <w:tc>
          <w:tcPr>
            <w:tcW w:w="1648" w:type="dxa"/>
            <w:shd w:val="clear" w:color="auto" w:fill="auto"/>
            <w:vAlign w:val="center"/>
          </w:tcPr>
          <w:p w14:paraId="23FB299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2814</w:t>
            </w:r>
          </w:p>
        </w:tc>
        <w:tc>
          <w:tcPr>
            <w:tcW w:w="1175" w:type="dxa"/>
            <w:shd w:val="clear" w:color="auto" w:fill="auto"/>
            <w:vAlign w:val="center"/>
          </w:tcPr>
          <w:p w14:paraId="682591B8">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450</w:t>
            </w:r>
          </w:p>
        </w:tc>
        <w:tc>
          <w:tcPr>
            <w:tcW w:w="1153" w:type="dxa"/>
            <w:shd w:val="clear" w:color="auto" w:fill="auto"/>
            <w:vAlign w:val="center"/>
          </w:tcPr>
          <w:p w14:paraId="1D16B0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1109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E47C2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B6A60F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23</w:t>
            </w:r>
          </w:p>
        </w:tc>
        <w:tc>
          <w:tcPr>
            <w:tcW w:w="2387" w:type="dxa"/>
            <w:shd w:val="clear" w:color="auto" w:fill="auto"/>
            <w:vAlign w:val="center"/>
          </w:tcPr>
          <w:p w14:paraId="08A4B58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小赵村</w:t>
            </w:r>
          </w:p>
        </w:tc>
        <w:tc>
          <w:tcPr>
            <w:tcW w:w="971" w:type="dxa"/>
            <w:shd w:val="clear" w:color="auto" w:fill="auto"/>
            <w:vAlign w:val="center"/>
          </w:tcPr>
          <w:p w14:paraId="56A7CB3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ESE</w:t>
            </w:r>
          </w:p>
        </w:tc>
        <w:tc>
          <w:tcPr>
            <w:tcW w:w="1648" w:type="dxa"/>
            <w:shd w:val="clear" w:color="auto" w:fill="auto"/>
            <w:vAlign w:val="center"/>
          </w:tcPr>
          <w:p w14:paraId="39FA2A0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2716</w:t>
            </w:r>
          </w:p>
        </w:tc>
        <w:tc>
          <w:tcPr>
            <w:tcW w:w="1175" w:type="dxa"/>
            <w:shd w:val="clear" w:color="auto" w:fill="auto"/>
            <w:vAlign w:val="center"/>
          </w:tcPr>
          <w:p w14:paraId="18FC2AAB">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350</w:t>
            </w:r>
          </w:p>
        </w:tc>
        <w:tc>
          <w:tcPr>
            <w:tcW w:w="1153" w:type="dxa"/>
            <w:shd w:val="clear" w:color="auto" w:fill="auto"/>
            <w:vAlign w:val="center"/>
          </w:tcPr>
          <w:p w14:paraId="0E47D5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3B96B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AB11C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FB5957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24</w:t>
            </w:r>
          </w:p>
        </w:tc>
        <w:tc>
          <w:tcPr>
            <w:tcW w:w="2387" w:type="dxa"/>
            <w:shd w:val="clear" w:color="auto" w:fill="auto"/>
            <w:vAlign w:val="center"/>
          </w:tcPr>
          <w:p w14:paraId="717956F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东张村</w:t>
            </w:r>
          </w:p>
        </w:tc>
        <w:tc>
          <w:tcPr>
            <w:tcW w:w="971" w:type="dxa"/>
            <w:shd w:val="clear" w:color="auto" w:fill="auto"/>
            <w:vAlign w:val="center"/>
          </w:tcPr>
          <w:p w14:paraId="6652582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SE</w:t>
            </w:r>
          </w:p>
        </w:tc>
        <w:tc>
          <w:tcPr>
            <w:tcW w:w="1648" w:type="dxa"/>
            <w:shd w:val="clear" w:color="auto" w:fill="auto"/>
            <w:vAlign w:val="center"/>
          </w:tcPr>
          <w:p w14:paraId="4A273AB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2306</w:t>
            </w:r>
          </w:p>
        </w:tc>
        <w:tc>
          <w:tcPr>
            <w:tcW w:w="1175" w:type="dxa"/>
            <w:shd w:val="clear" w:color="auto" w:fill="auto"/>
            <w:vAlign w:val="center"/>
          </w:tcPr>
          <w:p w14:paraId="14FD70A0">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480</w:t>
            </w:r>
          </w:p>
        </w:tc>
        <w:tc>
          <w:tcPr>
            <w:tcW w:w="1153" w:type="dxa"/>
            <w:shd w:val="clear" w:color="auto" w:fill="auto"/>
            <w:vAlign w:val="center"/>
          </w:tcPr>
          <w:p w14:paraId="01BAE3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04C8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34D83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DE8E15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25</w:t>
            </w:r>
          </w:p>
        </w:tc>
        <w:tc>
          <w:tcPr>
            <w:tcW w:w="2387" w:type="dxa"/>
            <w:shd w:val="clear" w:color="auto" w:fill="auto"/>
            <w:vAlign w:val="center"/>
          </w:tcPr>
          <w:p w14:paraId="700F4DB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辛庄村</w:t>
            </w:r>
          </w:p>
        </w:tc>
        <w:tc>
          <w:tcPr>
            <w:tcW w:w="971" w:type="dxa"/>
            <w:shd w:val="clear" w:color="auto" w:fill="auto"/>
            <w:vAlign w:val="center"/>
          </w:tcPr>
          <w:p w14:paraId="6181629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SE</w:t>
            </w:r>
          </w:p>
        </w:tc>
        <w:tc>
          <w:tcPr>
            <w:tcW w:w="1648" w:type="dxa"/>
            <w:shd w:val="clear" w:color="auto" w:fill="auto"/>
            <w:vAlign w:val="center"/>
          </w:tcPr>
          <w:p w14:paraId="1AF3C52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2820</w:t>
            </w:r>
          </w:p>
        </w:tc>
        <w:tc>
          <w:tcPr>
            <w:tcW w:w="1175" w:type="dxa"/>
            <w:shd w:val="clear" w:color="auto" w:fill="auto"/>
            <w:vAlign w:val="center"/>
          </w:tcPr>
          <w:p w14:paraId="1CBDDC52">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550</w:t>
            </w:r>
          </w:p>
        </w:tc>
        <w:tc>
          <w:tcPr>
            <w:tcW w:w="1153" w:type="dxa"/>
            <w:shd w:val="clear" w:color="auto" w:fill="auto"/>
            <w:vAlign w:val="center"/>
          </w:tcPr>
          <w:p w14:paraId="1F98AA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4960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E8C1E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4C69E1A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26</w:t>
            </w:r>
          </w:p>
        </w:tc>
        <w:tc>
          <w:tcPr>
            <w:tcW w:w="2387" w:type="dxa"/>
            <w:shd w:val="clear" w:color="auto" w:fill="auto"/>
            <w:vAlign w:val="center"/>
          </w:tcPr>
          <w:p w14:paraId="0E1BD40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东谭社区</w:t>
            </w:r>
          </w:p>
        </w:tc>
        <w:tc>
          <w:tcPr>
            <w:tcW w:w="971" w:type="dxa"/>
            <w:shd w:val="clear" w:color="auto" w:fill="auto"/>
            <w:vAlign w:val="center"/>
          </w:tcPr>
          <w:p w14:paraId="586E210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w:t>
            </w:r>
          </w:p>
        </w:tc>
        <w:tc>
          <w:tcPr>
            <w:tcW w:w="1648" w:type="dxa"/>
            <w:shd w:val="clear" w:color="auto" w:fill="auto"/>
            <w:vAlign w:val="center"/>
          </w:tcPr>
          <w:p w14:paraId="5B4061F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2915</w:t>
            </w:r>
          </w:p>
        </w:tc>
        <w:tc>
          <w:tcPr>
            <w:tcW w:w="1175" w:type="dxa"/>
            <w:shd w:val="clear" w:color="auto" w:fill="auto"/>
            <w:vAlign w:val="center"/>
          </w:tcPr>
          <w:p w14:paraId="107AE3CF">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620</w:t>
            </w:r>
          </w:p>
        </w:tc>
        <w:tc>
          <w:tcPr>
            <w:tcW w:w="1153" w:type="dxa"/>
            <w:shd w:val="clear" w:color="auto" w:fill="auto"/>
            <w:vAlign w:val="center"/>
          </w:tcPr>
          <w:p w14:paraId="705085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51E0F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51902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4BF7AF2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27</w:t>
            </w:r>
          </w:p>
        </w:tc>
        <w:tc>
          <w:tcPr>
            <w:tcW w:w="2387" w:type="dxa"/>
            <w:shd w:val="clear" w:color="auto" w:fill="auto"/>
            <w:vAlign w:val="center"/>
          </w:tcPr>
          <w:p w14:paraId="6C522E6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东河村</w:t>
            </w:r>
          </w:p>
        </w:tc>
        <w:tc>
          <w:tcPr>
            <w:tcW w:w="971" w:type="dxa"/>
            <w:shd w:val="clear" w:color="auto" w:fill="auto"/>
            <w:vAlign w:val="center"/>
          </w:tcPr>
          <w:p w14:paraId="6D462A7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w:t>
            </w:r>
          </w:p>
        </w:tc>
        <w:tc>
          <w:tcPr>
            <w:tcW w:w="1648" w:type="dxa"/>
            <w:shd w:val="clear" w:color="auto" w:fill="auto"/>
            <w:vAlign w:val="center"/>
          </w:tcPr>
          <w:p w14:paraId="1720997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3730</w:t>
            </w:r>
          </w:p>
        </w:tc>
        <w:tc>
          <w:tcPr>
            <w:tcW w:w="1175" w:type="dxa"/>
            <w:shd w:val="clear" w:color="auto" w:fill="auto"/>
            <w:vAlign w:val="center"/>
          </w:tcPr>
          <w:p w14:paraId="5A3A71C3">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415</w:t>
            </w:r>
          </w:p>
        </w:tc>
        <w:tc>
          <w:tcPr>
            <w:tcW w:w="1153" w:type="dxa"/>
            <w:shd w:val="clear" w:color="auto" w:fill="auto"/>
            <w:vAlign w:val="center"/>
          </w:tcPr>
          <w:p w14:paraId="2A09D98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1C246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0D1BAA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57D2CF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28</w:t>
            </w:r>
          </w:p>
        </w:tc>
        <w:tc>
          <w:tcPr>
            <w:tcW w:w="2387" w:type="dxa"/>
            <w:shd w:val="clear" w:color="auto" w:fill="auto"/>
            <w:vAlign w:val="center"/>
          </w:tcPr>
          <w:p w14:paraId="1F6C579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育蕾幼儿园</w:t>
            </w:r>
          </w:p>
        </w:tc>
        <w:tc>
          <w:tcPr>
            <w:tcW w:w="971" w:type="dxa"/>
            <w:shd w:val="clear" w:color="auto" w:fill="auto"/>
            <w:vAlign w:val="center"/>
          </w:tcPr>
          <w:p w14:paraId="59D3284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w:t>
            </w:r>
          </w:p>
        </w:tc>
        <w:tc>
          <w:tcPr>
            <w:tcW w:w="1648" w:type="dxa"/>
            <w:shd w:val="clear" w:color="auto" w:fill="auto"/>
            <w:vAlign w:val="center"/>
          </w:tcPr>
          <w:p w14:paraId="72B046F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3930</w:t>
            </w:r>
          </w:p>
        </w:tc>
        <w:tc>
          <w:tcPr>
            <w:tcW w:w="1175" w:type="dxa"/>
            <w:shd w:val="clear" w:color="auto" w:fill="auto"/>
            <w:vAlign w:val="center"/>
          </w:tcPr>
          <w:p w14:paraId="5DE6543A">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210</w:t>
            </w:r>
          </w:p>
        </w:tc>
        <w:tc>
          <w:tcPr>
            <w:tcW w:w="1153" w:type="dxa"/>
            <w:shd w:val="clear" w:color="auto" w:fill="auto"/>
            <w:vAlign w:val="center"/>
          </w:tcPr>
          <w:p w14:paraId="65C616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学校</w:t>
            </w:r>
          </w:p>
        </w:tc>
      </w:tr>
      <w:tr w14:paraId="11B5B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A5755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10A1F0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29</w:t>
            </w:r>
          </w:p>
        </w:tc>
        <w:tc>
          <w:tcPr>
            <w:tcW w:w="2387" w:type="dxa"/>
            <w:shd w:val="clear" w:color="auto" w:fill="auto"/>
            <w:vAlign w:val="center"/>
          </w:tcPr>
          <w:p w14:paraId="31CEAF9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彭家村</w:t>
            </w:r>
          </w:p>
        </w:tc>
        <w:tc>
          <w:tcPr>
            <w:tcW w:w="971" w:type="dxa"/>
            <w:shd w:val="clear" w:color="auto" w:fill="auto"/>
            <w:vAlign w:val="center"/>
          </w:tcPr>
          <w:p w14:paraId="261E1ED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NNW</w:t>
            </w:r>
          </w:p>
        </w:tc>
        <w:tc>
          <w:tcPr>
            <w:tcW w:w="1648" w:type="dxa"/>
            <w:shd w:val="clear" w:color="auto" w:fill="auto"/>
            <w:vAlign w:val="center"/>
          </w:tcPr>
          <w:p w14:paraId="480BA1D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3502</w:t>
            </w:r>
          </w:p>
        </w:tc>
        <w:tc>
          <w:tcPr>
            <w:tcW w:w="1175" w:type="dxa"/>
            <w:shd w:val="clear" w:color="auto" w:fill="auto"/>
            <w:vAlign w:val="center"/>
          </w:tcPr>
          <w:p w14:paraId="505F93F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457</w:t>
            </w:r>
          </w:p>
        </w:tc>
        <w:tc>
          <w:tcPr>
            <w:tcW w:w="1153" w:type="dxa"/>
            <w:shd w:val="clear" w:color="auto" w:fill="auto"/>
            <w:vAlign w:val="center"/>
          </w:tcPr>
          <w:p w14:paraId="62C94B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58999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25371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8AC6AE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30</w:t>
            </w:r>
          </w:p>
        </w:tc>
        <w:tc>
          <w:tcPr>
            <w:tcW w:w="2387" w:type="dxa"/>
            <w:shd w:val="clear" w:color="auto" w:fill="auto"/>
            <w:vAlign w:val="center"/>
          </w:tcPr>
          <w:p w14:paraId="1B27426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大屯村</w:t>
            </w:r>
          </w:p>
        </w:tc>
        <w:tc>
          <w:tcPr>
            <w:tcW w:w="971" w:type="dxa"/>
            <w:shd w:val="clear" w:color="auto" w:fill="auto"/>
            <w:vAlign w:val="center"/>
          </w:tcPr>
          <w:p w14:paraId="454CB19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t>
            </w:r>
          </w:p>
        </w:tc>
        <w:tc>
          <w:tcPr>
            <w:tcW w:w="1648" w:type="dxa"/>
            <w:shd w:val="clear" w:color="auto" w:fill="auto"/>
            <w:vAlign w:val="center"/>
          </w:tcPr>
          <w:p w14:paraId="2B239A2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3416</w:t>
            </w:r>
          </w:p>
        </w:tc>
        <w:tc>
          <w:tcPr>
            <w:tcW w:w="1175" w:type="dxa"/>
            <w:shd w:val="clear" w:color="auto" w:fill="auto"/>
            <w:vAlign w:val="center"/>
          </w:tcPr>
          <w:p w14:paraId="2B0C06D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630</w:t>
            </w:r>
          </w:p>
        </w:tc>
        <w:tc>
          <w:tcPr>
            <w:tcW w:w="1153" w:type="dxa"/>
            <w:shd w:val="clear" w:color="auto" w:fill="auto"/>
            <w:vAlign w:val="center"/>
          </w:tcPr>
          <w:p w14:paraId="582DD4D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EF35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E16FF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6DC0CEE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31</w:t>
            </w:r>
          </w:p>
        </w:tc>
        <w:tc>
          <w:tcPr>
            <w:tcW w:w="2387" w:type="dxa"/>
            <w:shd w:val="clear" w:color="auto" w:fill="auto"/>
            <w:vAlign w:val="center"/>
          </w:tcPr>
          <w:p w14:paraId="75953B9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小屯村</w:t>
            </w:r>
          </w:p>
        </w:tc>
        <w:tc>
          <w:tcPr>
            <w:tcW w:w="971" w:type="dxa"/>
            <w:shd w:val="clear" w:color="auto" w:fill="auto"/>
            <w:vAlign w:val="center"/>
          </w:tcPr>
          <w:p w14:paraId="669FF33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t>
            </w:r>
          </w:p>
        </w:tc>
        <w:tc>
          <w:tcPr>
            <w:tcW w:w="1648" w:type="dxa"/>
            <w:shd w:val="clear" w:color="auto" w:fill="auto"/>
            <w:vAlign w:val="center"/>
          </w:tcPr>
          <w:p w14:paraId="7FE1BA1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3650</w:t>
            </w:r>
          </w:p>
        </w:tc>
        <w:tc>
          <w:tcPr>
            <w:tcW w:w="1175" w:type="dxa"/>
            <w:shd w:val="clear" w:color="auto" w:fill="auto"/>
            <w:vAlign w:val="center"/>
          </w:tcPr>
          <w:p w14:paraId="5222010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780</w:t>
            </w:r>
          </w:p>
        </w:tc>
        <w:tc>
          <w:tcPr>
            <w:tcW w:w="1153" w:type="dxa"/>
            <w:shd w:val="clear" w:color="auto" w:fill="auto"/>
            <w:vAlign w:val="center"/>
          </w:tcPr>
          <w:p w14:paraId="30AEF0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37DD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5BA2C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FAD993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32</w:t>
            </w:r>
          </w:p>
        </w:tc>
        <w:tc>
          <w:tcPr>
            <w:tcW w:w="2387" w:type="dxa"/>
            <w:shd w:val="clear" w:color="auto" w:fill="auto"/>
            <w:vAlign w:val="center"/>
          </w:tcPr>
          <w:p w14:paraId="35E521C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牛家村</w:t>
            </w:r>
          </w:p>
        </w:tc>
        <w:tc>
          <w:tcPr>
            <w:tcW w:w="971" w:type="dxa"/>
            <w:shd w:val="clear" w:color="auto" w:fill="auto"/>
            <w:vAlign w:val="center"/>
          </w:tcPr>
          <w:p w14:paraId="669B97A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t>
            </w:r>
          </w:p>
        </w:tc>
        <w:tc>
          <w:tcPr>
            <w:tcW w:w="1648" w:type="dxa"/>
            <w:shd w:val="clear" w:color="auto" w:fill="auto"/>
            <w:vAlign w:val="center"/>
          </w:tcPr>
          <w:p w14:paraId="0E167FC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3950</w:t>
            </w:r>
          </w:p>
        </w:tc>
        <w:tc>
          <w:tcPr>
            <w:tcW w:w="1175" w:type="dxa"/>
            <w:shd w:val="clear" w:color="auto" w:fill="auto"/>
            <w:vAlign w:val="center"/>
          </w:tcPr>
          <w:p w14:paraId="2446D1DB">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650</w:t>
            </w:r>
          </w:p>
        </w:tc>
        <w:tc>
          <w:tcPr>
            <w:tcW w:w="1153" w:type="dxa"/>
            <w:shd w:val="clear" w:color="auto" w:fill="auto"/>
            <w:vAlign w:val="center"/>
          </w:tcPr>
          <w:p w14:paraId="720590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BAB5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426058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1A5204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33</w:t>
            </w:r>
          </w:p>
        </w:tc>
        <w:tc>
          <w:tcPr>
            <w:tcW w:w="2387" w:type="dxa"/>
            <w:shd w:val="clear" w:color="auto" w:fill="auto"/>
            <w:vAlign w:val="center"/>
          </w:tcPr>
          <w:p w14:paraId="4AF3637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黄家村</w:t>
            </w:r>
          </w:p>
        </w:tc>
        <w:tc>
          <w:tcPr>
            <w:tcW w:w="971" w:type="dxa"/>
            <w:shd w:val="clear" w:color="auto" w:fill="auto"/>
            <w:vAlign w:val="center"/>
          </w:tcPr>
          <w:p w14:paraId="572746D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NNE</w:t>
            </w:r>
          </w:p>
        </w:tc>
        <w:tc>
          <w:tcPr>
            <w:tcW w:w="1648" w:type="dxa"/>
            <w:shd w:val="clear" w:color="auto" w:fill="auto"/>
            <w:vAlign w:val="center"/>
          </w:tcPr>
          <w:p w14:paraId="7C8292D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3710</w:t>
            </w:r>
          </w:p>
        </w:tc>
        <w:tc>
          <w:tcPr>
            <w:tcW w:w="1175" w:type="dxa"/>
            <w:shd w:val="clear" w:color="auto" w:fill="auto"/>
            <w:vAlign w:val="center"/>
          </w:tcPr>
          <w:p w14:paraId="2A289004">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1600</w:t>
            </w:r>
          </w:p>
        </w:tc>
        <w:tc>
          <w:tcPr>
            <w:tcW w:w="1153" w:type="dxa"/>
            <w:shd w:val="clear" w:color="auto" w:fill="auto"/>
            <w:vAlign w:val="center"/>
          </w:tcPr>
          <w:p w14:paraId="41C581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19DFE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29714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0065543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34</w:t>
            </w:r>
          </w:p>
        </w:tc>
        <w:tc>
          <w:tcPr>
            <w:tcW w:w="2387" w:type="dxa"/>
            <w:shd w:val="clear" w:color="auto" w:fill="auto"/>
            <w:vAlign w:val="center"/>
          </w:tcPr>
          <w:p w14:paraId="3F408F9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南铺村</w:t>
            </w:r>
          </w:p>
        </w:tc>
        <w:tc>
          <w:tcPr>
            <w:tcW w:w="971" w:type="dxa"/>
            <w:shd w:val="clear" w:color="auto" w:fill="auto"/>
            <w:vAlign w:val="center"/>
          </w:tcPr>
          <w:p w14:paraId="528C4B0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ENE</w:t>
            </w:r>
          </w:p>
        </w:tc>
        <w:tc>
          <w:tcPr>
            <w:tcW w:w="1648" w:type="dxa"/>
            <w:shd w:val="clear" w:color="auto" w:fill="auto"/>
            <w:vAlign w:val="center"/>
          </w:tcPr>
          <w:p w14:paraId="64A1237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3420</w:t>
            </w:r>
          </w:p>
        </w:tc>
        <w:tc>
          <w:tcPr>
            <w:tcW w:w="1175" w:type="dxa"/>
            <w:shd w:val="clear" w:color="auto" w:fill="auto"/>
            <w:vAlign w:val="center"/>
          </w:tcPr>
          <w:p w14:paraId="2C23D9A1">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350</w:t>
            </w:r>
          </w:p>
        </w:tc>
        <w:tc>
          <w:tcPr>
            <w:tcW w:w="1153" w:type="dxa"/>
            <w:shd w:val="clear" w:color="auto" w:fill="auto"/>
            <w:vAlign w:val="center"/>
          </w:tcPr>
          <w:p w14:paraId="267141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36F8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BB018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3EBF9A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35</w:t>
            </w:r>
          </w:p>
        </w:tc>
        <w:tc>
          <w:tcPr>
            <w:tcW w:w="2387" w:type="dxa"/>
            <w:shd w:val="clear" w:color="auto" w:fill="auto"/>
            <w:vAlign w:val="center"/>
          </w:tcPr>
          <w:p w14:paraId="6E6C8F8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白沙村</w:t>
            </w:r>
          </w:p>
        </w:tc>
        <w:tc>
          <w:tcPr>
            <w:tcW w:w="971" w:type="dxa"/>
            <w:shd w:val="clear" w:color="auto" w:fill="auto"/>
            <w:vAlign w:val="center"/>
          </w:tcPr>
          <w:p w14:paraId="34F82C1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ESE</w:t>
            </w:r>
          </w:p>
        </w:tc>
        <w:tc>
          <w:tcPr>
            <w:tcW w:w="1648" w:type="dxa"/>
            <w:shd w:val="clear" w:color="auto" w:fill="auto"/>
            <w:vAlign w:val="center"/>
          </w:tcPr>
          <w:p w14:paraId="1472A24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3780</w:t>
            </w:r>
          </w:p>
        </w:tc>
        <w:tc>
          <w:tcPr>
            <w:tcW w:w="1175" w:type="dxa"/>
            <w:shd w:val="clear" w:color="auto" w:fill="auto"/>
            <w:vAlign w:val="center"/>
          </w:tcPr>
          <w:p w14:paraId="450EB796">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280</w:t>
            </w:r>
          </w:p>
        </w:tc>
        <w:tc>
          <w:tcPr>
            <w:tcW w:w="1153" w:type="dxa"/>
            <w:shd w:val="clear" w:color="auto" w:fill="auto"/>
            <w:vAlign w:val="center"/>
          </w:tcPr>
          <w:p w14:paraId="645CDA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300B9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B0B9C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4FE0E9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36</w:t>
            </w:r>
          </w:p>
        </w:tc>
        <w:tc>
          <w:tcPr>
            <w:tcW w:w="2387" w:type="dxa"/>
            <w:shd w:val="clear" w:color="auto" w:fill="auto"/>
            <w:vAlign w:val="center"/>
          </w:tcPr>
          <w:p w14:paraId="77DFFE1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藏梓村</w:t>
            </w:r>
          </w:p>
        </w:tc>
        <w:tc>
          <w:tcPr>
            <w:tcW w:w="971" w:type="dxa"/>
            <w:shd w:val="clear" w:color="auto" w:fill="auto"/>
            <w:vAlign w:val="center"/>
          </w:tcPr>
          <w:p w14:paraId="3ED7ED2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SE</w:t>
            </w:r>
          </w:p>
        </w:tc>
        <w:tc>
          <w:tcPr>
            <w:tcW w:w="1648" w:type="dxa"/>
            <w:shd w:val="clear" w:color="auto" w:fill="auto"/>
            <w:vAlign w:val="center"/>
          </w:tcPr>
          <w:p w14:paraId="23E3CDC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3885</w:t>
            </w:r>
          </w:p>
        </w:tc>
        <w:tc>
          <w:tcPr>
            <w:tcW w:w="1175" w:type="dxa"/>
            <w:shd w:val="clear" w:color="auto" w:fill="auto"/>
            <w:vAlign w:val="center"/>
          </w:tcPr>
          <w:p w14:paraId="545A7F51">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750</w:t>
            </w:r>
          </w:p>
        </w:tc>
        <w:tc>
          <w:tcPr>
            <w:tcW w:w="1153" w:type="dxa"/>
            <w:shd w:val="clear" w:color="auto" w:fill="auto"/>
            <w:vAlign w:val="center"/>
          </w:tcPr>
          <w:p w14:paraId="7ACAE2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25C2B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D63BD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033B6AA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37</w:t>
            </w:r>
          </w:p>
        </w:tc>
        <w:tc>
          <w:tcPr>
            <w:tcW w:w="2387" w:type="dxa"/>
            <w:shd w:val="clear" w:color="auto" w:fill="auto"/>
            <w:vAlign w:val="center"/>
          </w:tcPr>
          <w:p w14:paraId="221A8C3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东周村</w:t>
            </w:r>
          </w:p>
        </w:tc>
        <w:tc>
          <w:tcPr>
            <w:tcW w:w="971" w:type="dxa"/>
            <w:shd w:val="clear" w:color="auto" w:fill="auto"/>
            <w:vAlign w:val="center"/>
          </w:tcPr>
          <w:p w14:paraId="50B1FC5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SE</w:t>
            </w:r>
          </w:p>
        </w:tc>
        <w:tc>
          <w:tcPr>
            <w:tcW w:w="1648" w:type="dxa"/>
            <w:shd w:val="clear" w:color="auto" w:fill="auto"/>
            <w:vAlign w:val="center"/>
          </w:tcPr>
          <w:p w14:paraId="6C2A4C1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3705</w:t>
            </w:r>
          </w:p>
        </w:tc>
        <w:tc>
          <w:tcPr>
            <w:tcW w:w="1175" w:type="dxa"/>
            <w:shd w:val="clear" w:color="auto" w:fill="auto"/>
            <w:vAlign w:val="center"/>
          </w:tcPr>
          <w:p w14:paraId="7924B6F5">
            <w:pPr>
              <w:keepNext w:val="0"/>
              <w:keepLines w:val="0"/>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360</w:t>
            </w:r>
          </w:p>
        </w:tc>
        <w:tc>
          <w:tcPr>
            <w:tcW w:w="1153" w:type="dxa"/>
            <w:shd w:val="clear" w:color="auto" w:fill="auto"/>
            <w:vAlign w:val="center"/>
          </w:tcPr>
          <w:p w14:paraId="4E009A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A926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5232D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71261A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38</w:t>
            </w:r>
          </w:p>
        </w:tc>
        <w:tc>
          <w:tcPr>
            <w:tcW w:w="2387" w:type="dxa"/>
            <w:shd w:val="clear" w:color="auto" w:fill="auto"/>
            <w:vAlign w:val="center"/>
          </w:tcPr>
          <w:p w14:paraId="3E3A67D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西周村</w:t>
            </w:r>
          </w:p>
        </w:tc>
        <w:tc>
          <w:tcPr>
            <w:tcW w:w="971" w:type="dxa"/>
            <w:shd w:val="clear" w:color="auto" w:fill="auto"/>
            <w:vAlign w:val="center"/>
          </w:tcPr>
          <w:p w14:paraId="572E93A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SSE</w:t>
            </w:r>
          </w:p>
        </w:tc>
        <w:tc>
          <w:tcPr>
            <w:tcW w:w="1648" w:type="dxa"/>
            <w:shd w:val="clear" w:color="auto" w:fill="auto"/>
            <w:vAlign w:val="center"/>
          </w:tcPr>
          <w:p w14:paraId="7E1BAF7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3750</w:t>
            </w:r>
          </w:p>
        </w:tc>
        <w:tc>
          <w:tcPr>
            <w:tcW w:w="1175" w:type="dxa"/>
            <w:shd w:val="clear" w:color="auto" w:fill="auto"/>
            <w:vAlign w:val="center"/>
          </w:tcPr>
          <w:p w14:paraId="0BE6769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680</w:t>
            </w:r>
          </w:p>
        </w:tc>
        <w:tc>
          <w:tcPr>
            <w:tcW w:w="1153" w:type="dxa"/>
            <w:shd w:val="clear" w:color="auto" w:fill="auto"/>
            <w:vAlign w:val="center"/>
          </w:tcPr>
          <w:p w14:paraId="737BE7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154B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6A87C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35A370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39</w:t>
            </w:r>
          </w:p>
        </w:tc>
        <w:tc>
          <w:tcPr>
            <w:tcW w:w="2387" w:type="dxa"/>
            <w:shd w:val="clear" w:color="auto" w:fill="auto"/>
            <w:vAlign w:val="center"/>
          </w:tcPr>
          <w:p w14:paraId="18E30F6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小董村</w:t>
            </w:r>
          </w:p>
        </w:tc>
        <w:tc>
          <w:tcPr>
            <w:tcW w:w="971" w:type="dxa"/>
            <w:shd w:val="clear" w:color="auto" w:fill="auto"/>
            <w:vAlign w:val="center"/>
          </w:tcPr>
          <w:p w14:paraId="41580E2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SSE</w:t>
            </w:r>
          </w:p>
        </w:tc>
        <w:tc>
          <w:tcPr>
            <w:tcW w:w="1648" w:type="dxa"/>
            <w:shd w:val="clear" w:color="auto" w:fill="auto"/>
            <w:vAlign w:val="center"/>
          </w:tcPr>
          <w:p w14:paraId="7F0F5AF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3225</w:t>
            </w:r>
          </w:p>
        </w:tc>
        <w:tc>
          <w:tcPr>
            <w:tcW w:w="1175" w:type="dxa"/>
            <w:shd w:val="clear" w:color="auto" w:fill="auto"/>
            <w:vAlign w:val="center"/>
          </w:tcPr>
          <w:p w14:paraId="6FDBF32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325</w:t>
            </w:r>
          </w:p>
        </w:tc>
        <w:tc>
          <w:tcPr>
            <w:tcW w:w="1153" w:type="dxa"/>
            <w:shd w:val="clear" w:color="auto" w:fill="auto"/>
            <w:vAlign w:val="center"/>
          </w:tcPr>
          <w:p w14:paraId="3BF73A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259B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892CD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E3BE11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40</w:t>
            </w:r>
          </w:p>
        </w:tc>
        <w:tc>
          <w:tcPr>
            <w:tcW w:w="2387" w:type="dxa"/>
            <w:shd w:val="clear" w:color="auto" w:fill="auto"/>
            <w:vAlign w:val="center"/>
          </w:tcPr>
          <w:p w14:paraId="28BEF58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小赵社区</w:t>
            </w:r>
          </w:p>
        </w:tc>
        <w:tc>
          <w:tcPr>
            <w:tcW w:w="971" w:type="dxa"/>
            <w:shd w:val="clear" w:color="auto" w:fill="auto"/>
            <w:vAlign w:val="center"/>
          </w:tcPr>
          <w:p w14:paraId="5455C43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t>
            </w:r>
          </w:p>
        </w:tc>
        <w:tc>
          <w:tcPr>
            <w:tcW w:w="1648" w:type="dxa"/>
            <w:shd w:val="clear" w:color="auto" w:fill="auto"/>
            <w:vAlign w:val="center"/>
          </w:tcPr>
          <w:p w14:paraId="01F1A89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3760</w:t>
            </w:r>
          </w:p>
        </w:tc>
        <w:tc>
          <w:tcPr>
            <w:tcW w:w="1175" w:type="dxa"/>
            <w:shd w:val="clear" w:color="auto" w:fill="auto"/>
            <w:vAlign w:val="center"/>
          </w:tcPr>
          <w:p w14:paraId="63A230A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1500</w:t>
            </w:r>
          </w:p>
        </w:tc>
        <w:tc>
          <w:tcPr>
            <w:tcW w:w="1153" w:type="dxa"/>
            <w:shd w:val="clear" w:color="auto" w:fill="auto"/>
            <w:vAlign w:val="center"/>
          </w:tcPr>
          <w:p w14:paraId="3C5C5C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39F3F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6A92C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4D9A10F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41</w:t>
            </w:r>
          </w:p>
        </w:tc>
        <w:tc>
          <w:tcPr>
            <w:tcW w:w="2387" w:type="dxa"/>
            <w:shd w:val="clear" w:color="auto" w:fill="auto"/>
            <w:vAlign w:val="center"/>
          </w:tcPr>
          <w:p w14:paraId="095A602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小李村</w:t>
            </w:r>
          </w:p>
        </w:tc>
        <w:tc>
          <w:tcPr>
            <w:tcW w:w="971" w:type="dxa"/>
            <w:shd w:val="clear" w:color="auto" w:fill="auto"/>
            <w:vAlign w:val="center"/>
          </w:tcPr>
          <w:p w14:paraId="2CC135C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t>
            </w:r>
          </w:p>
        </w:tc>
        <w:tc>
          <w:tcPr>
            <w:tcW w:w="1648" w:type="dxa"/>
            <w:shd w:val="clear" w:color="auto" w:fill="auto"/>
            <w:vAlign w:val="center"/>
          </w:tcPr>
          <w:p w14:paraId="16532CE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3380</w:t>
            </w:r>
          </w:p>
        </w:tc>
        <w:tc>
          <w:tcPr>
            <w:tcW w:w="1175" w:type="dxa"/>
            <w:shd w:val="clear" w:color="auto" w:fill="auto"/>
            <w:vAlign w:val="center"/>
          </w:tcPr>
          <w:p w14:paraId="4256676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550</w:t>
            </w:r>
          </w:p>
        </w:tc>
        <w:tc>
          <w:tcPr>
            <w:tcW w:w="1153" w:type="dxa"/>
            <w:shd w:val="clear" w:color="auto" w:fill="auto"/>
            <w:vAlign w:val="center"/>
          </w:tcPr>
          <w:p w14:paraId="698C73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1ACC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FF870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6FB960D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42</w:t>
            </w:r>
          </w:p>
        </w:tc>
        <w:tc>
          <w:tcPr>
            <w:tcW w:w="2387" w:type="dxa"/>
            <w:shd w:val="clear" w:color="auto" w:fill="auto"/>
            <w:vAlign w:val="center"/>
          </w:tcPr>
          <w:p w14:paraId="5DA1D93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锦悦社区</w:t>
            </w:r>
          </w:p>
        </w:tc>
        <w:tc>
          <w:tcPr>
            <w:tcW w:w="971" w:type="dxa"/>
            <w:shd w:val="clear" w:color="auto" w:fill="auto"/>
            <w:vAlign w:val="center"/>
          </w:tcPr>
          <w:p w14:paraId="560ADFE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t>
            </w:r>
          </w:p>
        </w:tc>
        <w:tc>
          <w:tcPr>
            <w:tcW w:w="1648" w:type="dxa"/>
            <w:shd w:val="clear" w:color="auto" w:fill="auto"/>
            <w:vAlign w:val="center"/>
          </w:tcPr>
          <w:p w14:paraId="2C48CD3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3952</w:t>
            </w:r>
          </w:p>
        </w:tc>
        <w:tc>
          <w:tcPr>
            <w:tcW w:w="1175" w:type="dxa"/>
            <w:shd w:val="clear" w:color="auto" w:fill="auto"/>
            <w:vAlign w:val="center"/>
          </w:tcPr>
          <w:p w14:paraId="06619D8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2550</w:t>
            </w:r>
          </w:p>
        </w:tc>
        <w:tc>
          <w:tcPr>
            <w:tcW w:w="1153" w:type="dxa"/>
            <w:shd w:val="clear" w:color="auto" w:fill="auto"/>
            <w:vAlign w:val="center"/>
          </w:tcPr>
          <w:p w14:paraId="25866D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5EA44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78531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4C4F1B4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43</w:t>
            </w:r>
          </w:p>
        </w:tc>
        <w:tc>
          <w:tcPr>
            <w:tcW w:w="2387" w:type="dxa"/>
            <w:shd w:val="clear" w:color="auto" w:fill="auto"/>
            <w:vAlign w:val="center"/>
          </w:tcPr>
          <w:p w14:paraId="3C9BC54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泉龙社区</w:t>
            </w:r>
          </w:p>
        </w:tc>
        <w:tc>
          <w:tcPr>
            <w:tcW w:w="971" w:type="dxa"/>
            <w:shd w:val="clear" w:color="auto" w:fill="auto"/>
            <w:vAlign w:val="center"/>
          </w:tcPr>
          <w:p w14:paraId="59066B5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t>
            </w:r>
          </w:p>
        </w:tc>
        <w:tc>
          <w:tcPr>
            <w:tcW w:w="1648" w:type="dxa"/>
            <w:shd w:val="clear" w:color="auto" w:fill="auto"/>
            <w:vAlign w:val="center"/>
          </w:tcPr>
          <w:p w14:paraId="60AB59F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3704</w:t>
            </w:r>
          </w:p>
        </w:tc>
        <w:tc>
          <w:tcPr>
            <w:tcW w:w="1175" w:type="dxa"/>
            <w:shd w:val="clear" w:color="auto" w:fill="auto"/>
            <w:vAlign w:val="center"/>
          </w:tcPr>
          <w:p w14:paraId="22C37D3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2300</w:t>
            </w:r>
          </w:p>
        </w:tc>
        <w:tc>
          <w:tcPr>
            <w:tcW w:w="1153" w:type="dxa"/>
            <w:shd w:val="clear" w:color="auto" w:fill="auto"/>
            <w:vAlign w:val="center"/>
          </w:tcPr>
          <w:p w14:paraId="06B0DC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AF87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17A0E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C8266D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44</w:t>
            </w:r>
          </w:p>
        </w:tc>
        <w:tc>
          <w:tcPr>
            <w:tcW w:w="2387" w:type="dxa"/>
            <w:shd w:val="clear" w:color="auto" w:fill="auto"/>
            <w:vAlign w:val="center"/>
          </w:tcPr>
          <w:p w14:paraId="024DDF3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朱家社区</w:t>
            </w:r>
          </w:p>
        </w:tc>
        <w:tc>
          <w:tcPr>
            <w:tcW w:w="971" w:type="dxa"/>
            <w:shd w:val="clear" w:color="auto" w:fill="auto"/>
            <w:vAlign w:val="center"/>
          </w:tcPr>
          <w:p w14:paraId="55EBD0F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w:t>
            </w:r>
          </w:p>
        </w:tc>
        <w:tc>
          <w:tcPr>
            <w:tcW w:w="1648" w:type="dxa"/>
            <w:shd w:val="clear" w:color="auto" w:fill="auto"/>
            <w:vAlign w:val="center"/>
          </w:tcPr>
          <w:p w14:paraId="77E1C78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3620</w:t>
            </w:r>
          </w:p>
        </w:tc>
        <w:tc>
          <w:tcPr>
            <w:tcW w:w="1175" w:type="dxa"/>
            <w:shd w:val="clear" w:color="auto" w:fill="auto"/>
            <w:vAlign w:val="center"/>
          </w:tcPr>
          <w:p w14:paraId="4E4BFF6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1650</w:t>
            </w:r>
          </w:p>
        </w:tc>
        <w:tc>
          <w:tcPr>
            <w:tcW w:w="1153" w:type="dxa"/>
            <w:shd w:val="clear" w:color="auto" w:fill="auto"/>
            <w:vAlign w:val="center"/>
          </w:tcPr>
          <w:p w14:paraId="3CB4F1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591F5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6A843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7B8D64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45</w:t>
            </w:r>
          </w:p>
        </w:tc>
        <w:tc>
          <w:tcPr>
            <w:tcW w:w="2387" w:type="dxa"/>
            <w:shd w:val="clear" w:color="auto" w:fill="auto"/>
            <w:vAlign w:val="center"/>
          </w:tcPr>
          <w:p w14:paraId="6E2E344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夏庄社区</w:t>
            </w:r>
          </w:p>
        </w:tc>
        <w:tc>
          <w:tcPr>
            <w:tcW w:w="971" w:type="dxa"/>
            <w:shd w:val="clear" w:color="auto" w:fill="auto"/>
            <w:vAlign w:val="center"/>
          </w:tcPr>
          <w:p w14:paraId="67E8B62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w:t>
            </w:r>
          </w:p>
        </w:tc>
        <w:tc>
          <w:tcPr>
            <w:tcW w:w="1648" w:type="dxa"/>
            <w:shd w:val="clear" w:color="auto" w:fill="auto"/>
            <w:vAlign w:val="center"/>
          </w:tcPr>
          <w:p w14:paraId="48D8C8F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3120</w:t>
            </w:r>
          </w:p>
        </w:tc>
        <w:tc>
          <w:tcPr>
            <w:tcW w:w="1175" w:type="dxa"/>
            <w:shd w:val="clear" w:color="auto" w:fill="auto"/>
            <w:vAlign w:val="center"/>
          </w:tcPr>
          <w:p w14:paraId="5C1344E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1180</w:t>
            </w:r>
          </w:p>
        </w:tc>
        <w:tc>
          <w:tcPr>
            <w:tcW w:w="1153" w:type="dxa"/>
            <w:shd w:val="clear" w:color="auto" w:fill="auto"/>
            <w:vAlign w:val="center"/>
          </w:tcPr>
          <w:p w14:paraId="5E4446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790F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4B1AF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D7B637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46</w:t>
            </w:r>
          </w:p>
        </w:tc>
        <w:tc>
          <w:tcPr>
            <w:tcW w:w="2387" w:type="dxa"/>
            <w:shd w:val="clear" w:color="auto" w:fill="auto"/>
            <w:vAlign w:val="center"/>
          </w:tcPr>
          <w:p w14:paraId="0D0B3A0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淄川开发区中心小学</w:t>
            </w:r>
          </w:p>
        </w:tc>
        <w:tc>
          <w:tcPr>
            <w:tcW w:w="971" w:type="dxa"/>
            <w:shd w:val="clear" w:color="auto" w:fill="auto"/>
            <w:vAlign w:val="center"/>
          </w:tcPr>
          <w:p w14:paraId="53B202F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w:t>
            </w:r>
          </w:p>
        </w:tc>
        <w:tc>
          <w:tcPr>
            <w:tcW w:w="1648" w:type="dxa"/>
            <w:shd w:val="clear" w:color="auto" w:fill="auto"/>
            <w:vAlign w:val="center"/>
          </w:tcPr>
          <w:p w14:paraId="3242230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eastAsia="宋体" w:cs="Times New Roman"/>
                <w:color w:val="auto"/>
                <w:kern w:val="0"/>
                <w:sz w:val="21"/>
                <w:szCs w:val="21"/>
                <w:lang w:val="en-US" w:eastAsia="zh-CN" w:bidi="zh-CN"/>
              </w:rPr>
              <w:t>3408</w:t>
            </w:r>
          </w:p>
        </w:tc>
        <w:tc>
          <w:tcPr>
            <w:tcW w:w="1175" w:type="dxa"/>
            <w:shd w:val="clear" w:color="auto" w:fill="auto"/>
            <w:vAlign w:val="center"/>
          </w:tcPr>
          <w:p w14:paraId="7ECF462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520</w:t>
            </w:r>
          </w:p>
        </w:tc>
        <w:tc>
          <w:tcPr>
            <w:tcW w:w="1153" w:type="dxa"/>
            <w:shd w:val="clear" w:color="auto" w:fill="auto"/>
            <w:vAlign w:val="center"/>
          </w:tcPr>
          <w:p w14:paraId="738493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学校</w:t>
            </w:r>
          </w:p>
        </w:tc>
      </w:tr>
      <w:tr w14:paraId="06985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DF6C99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7DA9EE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47</w:t>
            </w:r>
          </w:p>
        </w:tc>
        <w:tc>
          <w:tcPr>
            <w:tcW w:w="2387" w:type="dxa"/>
            <w:shd w:val="clear" w:color="auto" w:fill="auto"/>
            <w:vAlign w:val="center"/>
          </w:tcPr>
          <w:p w14:paraId="3258C6D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馨苑小区</w:t>
            </w:r>
          </w:p>
        </w:tc>
        <w:tc>
          <w:tcPr>
            <w:tcW w:w="971" w:type="dxa"/>
            <w:shd w:val="clear" w:color="auto" w:fill="auto"/>
            <w:vAlign w:val="center"/>
          </w:tcPr>
          <w:p w14:paraId="2DC018F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w:t>
            </w:r>
          </w:p>
        </w:tc>
        <w:tc>
          <w:tcPr>
            <w:tcW w:w="1648" w:type="dxa"/>
            <w:shd w:val="clear" w:color="auto" w:fill="auto"/>
            <w:vAlign w:val="center"/>
          </w:tcPr>
          <w:p w14:paraId="29982C2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3702</w:t>
            </w:r>
          </w:p>
        </w:tc>
        <w:tc>
          <w:tcPr>
            <w:tcW w:w="1175" w:type="dxa"/>
            <w:shd w:val="clear" w:color="auto" w:fill="auto"/>
            <w:vAlign w:val="center"/>
          </w:tcPr>
          <w:p w14:paraId="77DD855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980</w:t>
            </w:r>
          </w:p>
        </w:tc>
        <w:tc>
          <w:tcPr>
            <w:tcW w:w="1153" w:type="dxa"/>
            <w:shd w:val="clear" w:color="auto" w:fill="auto"/>
            <w:vAlign w:val="center"/>
          </w:tcPr>
          <w:p w14:paraId="3918CB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EAB8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AC157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8C287F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48</w:t>
            </w:r>
          </w:p>
        </w:tc>
        <w:tc>
          <w:tcPr>
            <w:tcW w:w="2387" w:type="dxa"/>
            <w:shd w:val="clear" w:color="auto" w:fill="auto"/>
            <w:vAlign w:val="center"/>
          </w:tcPr>
          <w:p w14:paraId="5255446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西谭村</w:t>
            </w:r>
          </w:p>
        </w:tc>
        <w:tc>
          <w:tcPr>
            <w:tcW w:w="971" w:type="dxa"/>
            <w:shd w:val="clear" w:color="auto" w:fill="auto"/>
            <w:vAlign w:val="center"/>
          </w:tcPr>
          <w:p w14:paraId="3CBDA64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WSW</w:t>
            </w:r>
          </w:p>
        </w:tc>
        <w:tc>
          <w:tcPr>
            <w:tcW w:w="1648" w:type="dxa"/>
            <w:shd w:val="clear" w:color="auto" w:fill="auto"/>
            <w:vAlign w:val="center"/>
          </w:tcPr>
          <w:p w14:paraId="685CAB6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3625</w:t>
            </w:r>
          </w:p>
        </w:tc>
        <w:tc>
          <w:tcPr>
            <w:tcW w:w="1175" w:type="dxa"/>
            <w:shd w:val="clear" w:color="auto" w:fill="auto"/>
            <w:vAlign w:val="center"/>
          </w:tcPr>
          <w:p w14:paraId="0437B05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630</w:t>
            </w:r>
          </w:p>
        </w:tc>
        <w:tc>
          <w:tcPr>
            <w:tcW w:w="1153" w:type="dxa"/>
            <w:shd w:val="clear" w:color="auto" w:fill="auto"/>
            <w:vAlign w:val="center"/>
          </w:tcPr>
          <w:p w14:paraId="3FDF6A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6F316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F88E6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58B2FC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49</w:t>
            </w:r>
          </w:p>
        </w:tc>
        <w:tc>
          <w:tcPr>
            <w:tcW w:w="2387" w:type="dxa"/>
            <w:shd w:val="clear" w:color="auto" w:fill="auto"/>
            <w:vAlign w:val="center"/>
          </w:tcPr>
          <w:p w14:paraId="6ABC673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西河村</w:t>
            </w:r>
          </w:p>
        </w:tc>
        <w:tc>
          <w:tcPr>
            <w:tcW w:w="971" w:type="dxa"/>
            <w:shd w:val="clear" w:color="auto" w:fill="auto"/>
            <w:vAlign w:val="center"/>
          </w:tcPr>
          <w:p w14:paraId="39FEE67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w:t>
            </w:r>
          </w:p>
        </w:tc>
        <w:tc>
          <w:tcPr>
            <w:tcW w:w="1648" w:type="dxa"/>
            <w:shd w:val="clear" w:color="auto" w:fill="auto"/>
            <w:vAlign w:val="center"/>
          </w:tcPr>
          <w:p w14:paraId="491B0DB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4690</w:t>
            </w:r>
          </w:p>
        </w:tc>
        <w:tc>
          <w:tcPr>
            <w:tcW w:w="1175" w:type="dxa"/>
            <w:shd w:val="clear" w:color="auto" w:fill="auto"/>
            <w:vAlign w:val="center"/>
          </w:tcPr>
          <w:p w14:paraId="0E92A1B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418</w:t>
            </w:r>
          </w:p>
        </w:tc>
        <w:tc>
          <w:tcPr>
            <w:tcW w:w="1153" w:type="dxa"/>
            <w:shd w:val="clear" w:color="auto" w:fill="auto"/>
            <w:vAlign w:val="center"/>
          </w:tcPr>
          <w:p w14:paraId="0D2369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5D35B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E5589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6A40816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50</w:t>
            </w:r>
          </w:p>
        </w:tc>
        <w:tc>
          <w:tcPr>
            <w:tcW w:w="2387" w:type="dxa"/>
            <w:shd w:val="clear" w:color="auto" w:fill="auto"/>
            <w:vAlign w:val="center"/>
          </w:tcPr>
          <w:p w14:paraId="7D80901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梁家村</w:t>
            </w:r>
          </w:p>
        </w:tc>
        <w:tc>
          <w:tcPr>
            <w:tcW w:w="971" w:type="dxa"/>
            <w:shd w:val="clear" w:color="auto" w:fill="auto"/>
            <w:vAlign w:val="center"/>
          </w:tcPr>
          <w:p w14:paraId="41F537F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NW</w:t>
            </w:r>
          </w:p>
        </w:tc>
        <w:tc>
          <w:tcPr>
            <w:tcW w:w="1648" w:type="dxa"/>
            <w:shd w:val="clear" w:color="auto" w:fill="auto"/>
            <w:vAlign w:val="center"/>
          </w:tcPr>
          <w:p w14:paraId="1EB8F7B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4926</w:t>
            </w:r>
          </w:p>
        </w:tc>
        <w:tc>
          <w:tcPr>
            <w:tcW w:w="1175" w:type="dxa"/>
            <w:shd w:val="clear" w:color="auto" w:fill="auto"/>
            <w:vAlign w:val="center"/>
          </w:tcPr>
          <w:p w14:paraId="64E91FD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490</w:t>
            </w:r>
          </w:p>
        </w:tc>
        <w:tc>
          <w:tcPr>
            <w:tcW w:w="1153" w:type="dxa"/>
            <w:shd w:val="clear" w:color="auto" w:fill="auto"/>
            <w:vAlign w:val="center"/>
          </w:tcPr>
          <w:p w14:paraId="410682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37D44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C955A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C45B578">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51</w:t>
            </w:r>
          </w:p>
        </w:tc>
        <w:tc>
          <w:tcPr>
            <w:tcW w:w="2387" w:type="dxa"/>
            <w:shd w:val="clear" w:color="auto" w:fill="auto"/>
            <w:vAlign w:val="center"/>
          </w:tcPr>
          <w:p w14:paraId="6EA1884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唐家村</w:t>
            </w:r>
          </w:p>
        </w:tc>
        <w:tc>
          <w:tcPr>
            <w:tcW w:w="971" w:type="dxa"/>
            <w:shd w:val="clear" w:color="auto" w:fill="auto"/>
            <w:vAlign w:val="center"/>
          </w:tcPr>
          <w:p w14:paraId="07D2999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NE</w:t>
            </w:r>
          </w:p>
        </w:tc>
        <w:tc>
          <w:tcPr>
            <w:tcW w:w="1648" w:type="dxa"/>
            <w:shd w:val="clear" w:color="auto" w:fill="auto"/>
            <w:vAlign w:val="center"/>
          </w:tcPr>
          <w:p w14:paraId="53C96DC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4812</w:t>
            </w:r>
          </w:p>
        </w:tc>
        <w:tc>
          <w:tcPr>
            <w:tcW w:w="1175" w:type="dxa"/>
            <w:shd w:val="clear" w:color="auto" w:fill="auto"/>
            <w:vAlign w:val="center"/>
          </w:tcPr>
          <w:p w14:paraId="0D87125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560</w:t>
            </w:r>
          </w:p>
        </w:tc>
        <w:tc>
          <w:tcPr>
            <w:tcW w:w="1153" w:type="dxa"/>
            <w:shd w:val="clear" w:color="auto" w:fill="auto"/>
            <w:vAlign w:val="center"/>
          </w:tcPr>
          <w:p w14:paraId="111542A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1AEB6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54616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68C834E6">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52</w:t>
            </w:r>
          </w:p>
        </w:tc>
        <w:tc>
          <w:tcPr>
            <w:tcW w:w="2387" w:type="dxa"/>
            <w:shd w:val="clear" w:color="auto" w:fill="auto"/>
            <w:vAlign w:val="center"/>
          </w:tcPr>
          <w:p w14:paraId="39628FB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好时光幼儿园</w:t>
            </w:r>
          </w:p>
        </w:tc>
        <w:tc>
          <w:tcPr>
            <w:tcW w:w="971" w:type="dxa"/>
            <w:shd w:val="clear" w:color="auto" w:fill="auto"/>
            <w:vAlign w:val="center"/>
          </w:tcPr>
          <w:p w14:paraId="67F34E2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NE</w:t>
            </w:r>
          </w:p>
        </w:tc>
        <w:tc>
          <w:tcPr>
            <w:tcW w:w="1648" w:type="dxa"/>
            <w:shd w:val="clear" w:color="auto" w:fill="auto"/>
            <w:vAlign w:val="center"/>
          </w:tcPr>
          <w:p w14:paraId="5C50EEC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4902</w:t>
            </w:r>
          </w:p>
        </w:tc>
        <w:tc>
          <w:tcPr>
            <w:tcW w:w="1175" w:type="dxa"/>
            <w:shd w:val="clear" w:color="auto" w:fill="auto"/>
            <w:vAlign w:val="center"/>
          </w:tcPr>
          <w:p w14:paraId="2BF2B20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240</w:t>
            </w:r>
          </w:p>
        </w:tc>
        <w:tc>
          <w:tcPr>
            <w:tcW w:w="1153" w:type="dxa"/>
            <w:shd w:val="clear" w:color="auto" w:fill="auto"/>
            <w:vAlign w:val="center"/>
          </w:tcPr>
          <w:p w14:paraId="1C4558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学校</w:t>
            </w:r>
          </w:p>
        </w:tc>
      </w:tr>
      <w:tr w14:paraId="56A5C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9797F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853769E">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53</w:t>
            </w:r>
          </w:p>
        </w:tc>
        <w:tc>
          <w:tcPr>
            <w:tcW w:w="2387" w:type="dxa"/>
            <w:shd w:val="clear" w:color="auto" w:fill="auto"/>
            <w:vAlign w:val="center"/>
          </w:tcPr>
          <w:p w14:paraId="217128A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南山社区</w:t>
            </w:r>
          </w:p>
        </w:tc>
        <w:tc>
          <w:tcPr>
            <w:tcW w:w="971" w:type="dxa"/>
            <w:shd w:val="clear" w:color="auto" w:fill="auto"/>
            <w:vAlign w:val="center"/>
          </w:tcPr>
          <w:p w14:paraId="3E7FAB8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NE</w:t>
            </w:r>
          </w:p>
        </w:tc>
        <w:tc>
          <w:tcPr>
            <w:tcW w:w="1648" w:type="dxa"/>
            <w:shd w:val="clear" w:color="auto" w:fill="auto"/>
            <w:vAlign w:val="center"/>
          </w:tcPr>
          <w:p w14:paraId="67EFF41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4620</w:t>
            </w:r>
          </w:p>
        </w:tc>
        <w:tc>
          <w:tcPr>
            <w:tcW w:w="1175" w:type="dxa"/>
            <w:shd w:val="clear" w:color="auto" w:fill="auto"/>
            <w:vAlign w:val="center"/>
          </w:tcPr>
          <w:p w14:paraId="42B7FF1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450</w:t>
            </w:r>
          </w:p>
        </w:tc>
        <w:tc>
          <w:tcPr>
            <w:tcW w:w="1153" w:type="dxa"/>
            <w:shd w:val="clear" w:color="auto" w:fill="auto"/>
            <w:vAlign w:val="center"/>
          </w:tcPr>
          <w:p w14:paraId="7232918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5CA2D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82C21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23AA7C2">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54</w:t>
            </w:r>
          </w:p>
        </w:tc>
        <w:tc>
          <w:tcPr>
            <w:tcW w:w="2387" w:type="dxa"/>
            <w:shd w:val="clear" w:color="auto" w:fill="auto"/>
            <w:vAlign w:val="center"/>
          </w:tcPr>
          <w:p w14:paraId="18098BE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小董村</w:t>
            </w:r>
          </w:p>
        </w:tc>
        <w:tc>
          <w:tcPr>
            <w:tcW w:w="971" w:type="dxa"/>
            <w:shd w:val="clear" w:color="auto" w:fill="auto"/>
            <w:vAlign w:val="center"/>
          </w:tcPr>
          <w:p w14:paraId="6E87DA1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NE</w:t>
            </w:r>
          </w:p>
        </w:tc>
        <w:tc>
          <w:tcPr>
            <w:tcW w:w="1648" w:type="dxa"/>
            <w:shd w:val="clear" w:color="auto" w:fill="auto"/>
            <w:vAlign w:val="center"/>
          </w:tcPr>
          <w:p w14:paraId="64B19EA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4710</w:t>
            </w:r>
          </w:p>
        </w:tc>
        <w:tc>
          <w:tcPr>
            <w:tcW w:w="1175" w:type="dxa"/>
            <w:shd w:val="clear" w:color="auto" w:fill="auto"/>
            <w:vAlign w:val="center"/>
          </w:tcPr>
          <w:p w14:paraId="7770BFB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410</w:t>
            </w:r>
          </w:p>
        </w:tc>
        <w:tc>
          <w:tcPr>
            <w:tcW w:w="1153" w:type="dxa"/>
            <w:shd w:val="clear" w:color="auto" w:fill="auto"/>
            <w:vAlign w:val="center"/>
          </w:tcPr>
          <w:p w14:paraId="0A7CF0A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A68B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F1FA1C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4A00B8D5">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55</w:t>
            </w:r>
          </w:p>
        </w:tc>
        <w:tc>
          <w:tcPr>
            <w:tcW w:w="2387" w:type="dxa"/>
            <w:shd w:val="clear" w:color="auto" w:fill="auto"/>
            <w:vAlign w:val="center"/>
          </w:tcPr>
          <w:p w14:paraId="4774F5B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梁家庄村</w:t>
            </w:r>
          </w:p>
        </w:tc>
        <w:tc>
          <w:tcPr>
            <w:tcW w:w="971" w:type="dxa"/>
            <w:shd w:val="clear" w:color="auto" w:fill="auto"/>
            <w:vAlign w:val="center"/>
          </w:tcPr>
          <w:p w14:paraId="28407EA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ENE</w:t>
            </w:r>
          </w:p>
        </w:tc>
        <w:tc>
          <w:tcPr>
            <w:tcW w:w="1648" w:type="dxa"/>
            <w:shd w:val="clear" w:color="auto" w:fill="auto"/>
            <w:vAlign w:val="center"/>
          </w:tcPr>
          <w:p w14:paraId="5316320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4215</w:t>
            </w:r>
          </w:p>
        </w:tc>
        <w:tc>
          <w:tcPr>
            <w:tcW w:w="1175" w:type="dxa"/>
            <w:shd w:val="clear" w:color="auto" w:fill="auto"/>
            <w:vAlign w:val="center"/>
          </w:tcPr>
          <w:p w14:paraId="501080A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1230</w:t>
            </w:r>
          </w:p>
        </w:tc>
        <w:tc>
          <w:tcPr>
            <w:tcW w:w="1153" w:type="dxa"/>
            <w:shd w:val="clear" w:color="auto" w:fill="auto"/>
            <w:vAlign w:val="center"/>
          </w:tcPr>
          <w:p w14:paraId="7D4419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01E2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71F48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15CADFD">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56</w:t>
            </w:r>
          </w:p>
        </w:tc>
        <w:tc>
          <w:tcPr>
            <w:tcW w:w="2387" w:type="dxa"/>
            <w:shd w:val="clear" w:color="auto" w:fill="auto"/>
            <w:vAlign w:val="center"/>
          </w:tcPr>
          <w:p w14:paraId="6305E1A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淄博九中附属幼儿园</w:t>
            </w:r>
          </w:p>
        </w:tc>
        <w:tc>
          <w:tcPr>
            <w:tcW w:w="971" w:type="dxa"/>
            <w:shd w:val="clear" w:color="auto" w:fill="auto"/>
            <w:vAlign w:val="center"/>
          </w:tcPr>
          <w:p w14:paraId="26D8C53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ENE</w:t>
            </w:r>
          </w:p>
        </w:tc>
        <w:tc>
          <w:tcPr>
            <w:tcW w:w="1648" w:type="dxa"/>
            <w:shd w:val="clear" w:color="auto" w:fill="auto"/>
            <w:vAlign w:val="center"/>
          </w:tcPr>
          <w:p w14:paraId="520610B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4690</w:t>
            </w:r>
          </w:p>
        </w:tc>
        <w:tc>
          <w:tcPr>
            <w:tcW w:w="1175" w:type="dxa"/>
            <w:shd w:val="clear" w:color="auto" w:fill="auto"/>
            <w:vAlign w:val="center"/>
          </w:tcPr>
          <w:p w14:paraId="3F52BC9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350</w:t>
            </w:r>
          </w:p>
        </w:tc>
        <w:tc>
          <w:tcPr>
            <w:tcW w:w="1153" w:type="dxa"/>
            <w:shd w:val="clear" w:color="auto" w:fill="auto"/>
            <w:vAlign w:val="center"/>
          </w:tcPr>
          <w:p w14:paraId="0A84BB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学校</w:t>
            </w:r>
          </w:p>
        </w:tc>
      </w:tr>
      <w:tr w14:paraId="5C44F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77BDA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B309732">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57</w:t>
            </w:r>
          </w:p>
        </w:tc>
        <w:tc>
          <w:tcPr>
            <w:tcW w:w="2387" w:type="dxa"/>
            <w:shd w:val="clear" w:color="auto" w:fill="auto"/>
            <w:vAlign w:val="center"/>
          </w:tcPr>
          <w:p w14:paraId="6C91968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eastAsia="宋体" w:cs="Times New Roman"/>
                <w:color w:val="auto"/>
                <w:kern w:val="0"/>
                <w:sz w:val="21"/>
                <w:szCs w:val="21"/>
                <w:lang w:val="en-US" w:eastAsia="zh-CN" w:bidi="zh-CN"/>
              </w:rPr>
              <w:t>火炬小学</w:t>
            </w:r>
          </w:p>
        </w:tc>
        <w:tc>
          <w:tcPr>
            <w:tcW w:w="971" w:type="dxa"/>
            <w:shd w:val="clear" w:color="auto" w:fill="auto"/>
            <w:vAlign w:val="center"/>
          </w:tcPr>
          <w:p w14:paraId="20525BB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eastAsia="宋体" w:cs="Times New Roman"/>
                <w:color w:val="auto"/>
                <w:kern w:val="0"/>
                <w:sz w:val="21"/>
                <w:szCs w:val="21"/>
                <w:lang w:val="en-US" w:eastAsia="zh-CN" w:bidi="zh-CN"/>
              </w:rPr>
              <w:t>ENE</w:t>
            </w:r>
          </w:p>
        </w:tc>
        <w:tc>
          <w:tcPr>
            <w:tcW w:w="1648" w:type="dxa"/>
            <w:shd w:val="clear" w:color="auto" w:fill="auto"/>
            <w:vAlign w:val="center"/>
          </w:tcPr>
          <w:p w14:paraId="7BF26F1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eastAsia="宋体" w:cs="Times New Roman"/>
                <w:color w:val="auto"/>
                <w:kern w:val="0"/>
                <w:sz w:val="21"/>
                <w:szCs w:val="21"/>
                <w:lang w:val="en-US" w:eastAsia="zh-CN" w:bidi="zh-CN"/>
              </w:rPr>
              <w:t>4425</w:t>
            </w:r>
          </w:p>
        </w:tc>
        <w:tc>
          <w:tcPr>
            <w:tcW w:w="1175" w:type="dxa"/>
            <w:shd w:val="clear" w:color="auto" w:fill="auto"/>
            <w:vAlign w:val="center"/>
          </w:tcPr>
          <w:p w14:paraId="5D50E72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eastAsia="宋体" w:cs="Times New Roman"/>
                <w:color w:val="auto"/>
                <w:kern w:val="0"/>
                <w:sz w:val="21"/>
                <w:szCs w:val="21"/>
                <w:lang w:val="en-US" w:eastAsia="zh-CN" w:bidi="zh-CN"/>
              </w:rPr>
              <w:t>650</w:t>
            </w:r>
          </w:p>
        </w:tc>
        <w:tc>
          <w:tcPr>
            <w:tcW w:w="1153" w:type="dxa"/>
            <w:shd w:val="clear" w:color="auto" w:fill="auto"/>
            <w:vAlign w:val="center"/>
          </w:tcPr>
          <w:p w14:paraId="716CDA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D421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7BA14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0FF57D2">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w:t>
            </w:r>
          </w:p>
        </w:tc>
        <w:tc>
          <w:tcPr>
            <w:tcW w:w="2387" w:type="dxa"/>
            <w:shd w:val="clear" w:color="auto" w:fill="auto"/>
            <w:vAlign w:val="center"/>
          </w:tcPr>
          <w:p w14:paraId="61BC833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史家庄村</w:t>
            </w:r>
          </w:p>
        </w:tc>
        <w:tc>
          <w:tcPr>
            <w:tcW w:w="971" w:type="dxa"/>
            <w:shd w:val="clear" w:color="auto" w:fill="auto"/>
            <w:vAlign w:val="center"/>
          </w:tcPr>
          <w:p w14:paraId="2F4CC31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E</w:t>
            </w:r>
          </w:p>
        </w:tc>
        <w:tc>
          <w:tcPr>
            <w:tcW w:w="1648" w:type="dxa"/>
            <w:shd w:val="clear" w:color="auto" w:fill="auto"/>
            <w:vAlign w:val="center"/>
          </w:tcPr>
          <w:p w14:paraId="6EEBC49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4895</w:t>
            </w:r>
          </w:p>
        </w:tc>
        <w:tc>
          <w:tcPr>
            <w:tcW w:w="1175" w:type="dxa"/>
            <w:shd w:val="clear" w:color="auto" w:fill="auto"/>
            <w:vAlign w:val="center"/>
          </w:tcPr>
          <w:p w14:paraId="4939F58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480</w:t>
            </w:r>
          </w:p>
        </w:tc>
        <w:tc>
          <w:tcPr>
            <w:tcW w:w="1153" w:type="dxa"/>
            <w:shd w:val="clear" w:color="auto" w:fill="auto"/>
            <w:vAlign w:val="center"/>
          </w:tcPr>
          <w:p w14:paraId="136212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17A88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AD630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ECE2800">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59</w:t>
            </w:r>
          </w:p>
        </w:tc>
        <w:tc>
          <w:tcPr>
            <w:tcW w:w="2387" w:type="dxa"/>
            <w:shd w:val="clear" w:color="auto" w:fill="auto"/>
            <w:vAlign w:val="center"/>
          </w:tcPr>
          <w:p w14:paraId="1435E44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南沈村</w:t>
            </w:r>
          </w:p>
        </w:tc>
        <w:tc>
          <w:tcPr>
            <w:tcW w:w="971" w:type="dxa"/>
            <w:shd w:val="clear" w:color="auto" w:fill="auto"/>
            <w:vAlign w:val="center"/>
          </w:tcPr>
          <w:p w14:paraId="2827D60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SSE</w:t>
            </w:r>
          </w:p>
        </w:tc>
        <w:tc>
          <w:tcPr>
            <w:tcW w:w="1648" w:type="dxa"/>
            <w:shd w:val="clear" w:color="auto" w:fill="auto"/>
            <w:vAlign w:val="center"/>
          </w:tcPr>
          <w:p w14:paraId="2AF9A80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4715</w:t>
            </w:r>
          </w:p>
        </w:tc>
        <w:tc>
          <w:tcPr>
            <w:tcW w:w="1175" w:type="dxa"/>
            <w:shd w:val="clear" w:color="auto" w:fill="auto"/>
            <w:vAlign w:val="center"/>
          </w:tcPr>
          <w:p w14:paraId="0C0DE9F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436</w:t>
            </w:r>
          </w:p>
        </w:tc>
        <w:tc>
          <w:tcPr>
            <w:tcW w:w="1153" w:type="dxa"/>
            <w:shd w:val="clear" w:color="auto" w:fill="auto"/>
            <w:vAlign w:val="center"/>
          </w:tcPr>
          <w:p w14:paraId="40850F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7BA15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6F058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8A2C1B9">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60</w:t>
            </w:r>
          </w:p>
        </w:tc>
        <w:tc>
          <w:tcPr>
            <w:tcW w:w="2387" w:type="dxa"/>
            <w:shd w:val="clear" w:color="auto" w:fill="auto"/>
            <w:vAlign w:val="center"/>
          </w:tcPr>
          <w:p w14:paraId="2239406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柳泉生活区</w:t>
            </w:r>
          </w:p>
        </w:tc>
        <w:tc>
          <w:tcPr>
            <w:tcW w:w="971" w:type="dxa"/>
            <w:shd w:val="clear" w:color="auto" w:fill="auto"/>
            <w:vAlign w:val="center"/>
          </w:tcPr>
          <w:p w14:paraId="2509894F">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t>
            </w:r>
          </w:p>
        </w:tc>
        <w:tc>
          <w:tcPr>
            <w:tcW w:w="1648" w:type="dxa"/>
            <w:shd w:val="clear" w:color="auto" w:fill="auto"/>
            <w:vAlign w:val="center"/>
          </w:tcPr>
          <w:p w14:paraId="52FFE2D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4320</w:t>
            </w:r>
          </w:p>
        </w:tc>
        <w:tc>
          <w:tcPr>
            <w:tcW w:w="1175" w:type="dxa"/>
            <w:shd w:val="clear" w:color="auto" w:fill="auto"/>
            <w:vAlign w:val="center"/>
          </w:tcPr>
          <w:p w14:paraId="1127879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2400</w:t>
            </w:r>
          </w:p>
        </w:tc>
        <w:tc>
          <w:tcPr>
            <w:tcW w:w="1153" w:type="dxa"/>
            <w:shd w:val="clear" w:color="auto" w:fill="auto"/>
            <w:vAlign w:val="center"/>
          </w:tcPr>
          <w:p w14:paraId="215595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04758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6A581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BB2823B">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61</w:t>
            </w:r>
          </w:p>
        </w:tc>
        <w:tc>
          <w:tcPr>
            <w:tcW w:w="2387" w:type="dxa"/>
            <w:shd w:val="clear" w:color="auto" w:fill="auto"/>
            <w:vAlign w:val="center"/>
          </w:tcPr>
          <w:p w14:paraId="23A6873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淄川区残疾人康复中心</w:t>
            </w:r>
          </w:p>
        </w:tc>
        <w:tc>
          <w:tcPr>
            <w:tcW w:w="971" w:type="dxa"/>
            <w:shd w:val="clear" w:color="auto" w:fill="auto"/>
            <w:vAlign w:val="center"/>
          </w:tcPr>
          <w:p w14:paraId="61D0807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SSW</w:t>
            </w:r>
          </w:p>
        </w:tc>
        <w:tc>
          <w:tcPr>
            <w:tcW w:w="1648" w:type="dxa"/>
            <w:shd w:val="clear" w:color="auto" w:fill="auto"/>
            <w:vAlign w:val="center"/>
          </w:tcPr>
          <w:p w14:paraId="7FD64AC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4625</w:t>
            </w:r>
          </w:p>
        </w:tc>
        <w:tc>
          <w:tcPr>
            <w:tcW w:w="1175" w:type="dxa"/>
            <w:shd w:val="clear" w:color="auto" w:fill="auto"/>
            <w:vAlign w:val="center"/>
          </w:tcPr>
          <w:p w14:paraId="26A085A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480</w:t>
            </w:r>
          </w:p>
        </w:tc>
        <w:tc>
          <w:tcPr>
            <w:tcW w:w="1153" w:type="dxa"/>
            <w:shd w:val="clear" w:color="auto" w:fill="auto"/>
            <w:vAlign w:val="center"/>
          </w:tcPr>
          <w:p w14:paraId="50CB032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医院</w:t>
            </w:r>
          </w:p>
        </w:tc>
      </w:tr>
      <w:tr w14:paraId="7F5C8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40021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570DE302">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62</w:t>
            </w:r>
          </w:p>
        </w:tc>
        <w:tc>
          <w:tcPr>
            <w:tcW w:w="2387" w:type="dxa"/>
            <w:shd w:val="clear" w:color="auto" w:fill="auto"/>
            <w:vAlign w:val="center"/>
          </w:tcPr>
          <w:p w14:paraId="5021EFD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淄川中医院</w:t>
            </w:r>
          </w:p>
        </w:tc>
        <w:tc>
          <w:tcPr>
            <w:tcW w:w="971" w:type="dxa"/>
            <w:shd w:val="clear" w:color="auto" w:fill="auto"/>
            <w:vAlign w:val="center"/>
          </w:tcPr>
          <w:p w14:paraId="60A95EF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SSW</w:t>
            </w:r>
          </w:p>
        </w:tc>
        <w:tc>
          <w:tcPr>
            <w:tcW w:w="1648" w:type="dxa"/>
            <w:shd w:val="clear" w:color="auto" w:fill="auto"/>
            <w:vAlign w:val="center"/>
          </w:tcPr>
          <w:p w14:paraId="4F2A237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4700</w:t>
            </w:r>
          </w:p>
        </w:tc>
        <w:tc>
          <w:tcPr>
            <w:tcW w:w="1175" w:type="dxa"/>
            <w:shd w:val="clear" w:color="auto" w:fill="auto"/>
            <w:vAlign w:val="center"/>
          </w:tcPr>
          <w:p w14:paraId="4D92485B">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1050</w:t>
            </w:r>
          </w:p>
        </w:tc>
        <w:tc>
          <w:tcPr>
            <w:tcW w:w="1153" w:type="dxa"/>
            <w:shd w:val="clear" w:color="auto" w:fill="auto"/>
            <w:vAlign w:val="center"/>
          </w:tcPr>
          <w:p w14:paraId="21383A9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医院</w:t>
            </w:r>
          </w:p>
        </w:tc>
      </w:tr>
      <w:tr w14:paraId="19820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EEC60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3B062EB5">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63</w:t>
            </w:r>
          </w:p>
        </w:tc>
        <w:tc>
          <w:tcPr>
            <w:tcW w:w="2387" w:type="dxa"/>
            <w:shd w:val="clear" w:color="auto" w:fill="auto"/>
            <w:vAlign w:val="center"/>
          </w:tcPr>
          <w:p w14:paraId="482399E1">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淄川济民医院</w:t>
            </w:r>
          </w:p>
        </w:tc>
        <w:tc>
          <w:tcPr>
            <w:tcW w:w="971" w:type="dxa"/>
            <w:shd w:val="clear" w:color="auto" w:fill="auto"/>
            <w:vAlign w:val="center"/>
          </w:tcPr>
          <w:p w14:paraId="461C4D2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SSW</w:t>
            </w:r>
          </w:p>
        </w:tc>
        <w:tc>
          <w:tcPr>
            <w:tcW w:w="1648" w:type="dxa"/>
            <w:shd w:val="clear" w:color="auto" w:fill="auto"/>
            <w:vAlign w:val="center"/>
          </w:tcPr>
          <w:p w14:paraId="7AD2E7A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4320</w:t>
            </w:r>
          </w:p>
        </w:tc>
        <w:tc>
          <w:tcPr>
            <w:tcW w:w="1175" w:type="dxa"/>
            <w:shd w:val="clear" w:color="auto" w:fill="auto"/>
            <w:vAlign w:val="center"/>
          </w:tcPr>
          <w:p w14:paraId="06B1B9A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850</w:t>
            </w:r>
          </w:p>
        </w:tc>
        <w:tc>
          <w:tcPr>
            <w:tcW w:w="1153" w:type="dxa"/>
            <w:shd w:val="clear" w:color="auto" w:fill="auto"/>
            <w:vAlign w:val="center"/>
          </w:tcPr>
          <w:p w14:paraId="351CD4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机关单位</w:t>
            </w:r>
          </w:p>
        </w:tc>
      </w:tr>
      <w:tr w14:paraId="276C8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52AA6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4590FCAE">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64</w:t>
            </w:r>
          </w:p>
        </w:tc>
        <w:tc>
          <w:tcPr>
            <w:tcW w:w="2387" w:type="dxa"/>
            <w:shd w:val="clear" w:color="auto" w:fill="auto"/>
            <w:vAlign w:val="center"/>
          </w:tcPr>
          <w:p w14:paraId="0DF35F2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淄川区林业局</w:t>
            </w:r>
          </w:p>
        </w:tc>
        <w:tc>
          <w:tcPr>
            <w:tcW w:w="971" w:type="dxa"/>
            <w:shd w:val="clear" w:color="auto" w:fill="auto"/>
            <w:vAlign w:val="center"/>
          </w:tcPr>
          <w:p w14:paraId="2E74F7CC">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SSW</w:t>
            </w:r>
          </w:p>
        </w:tc>
        <w:tc>
          <w:tcPr>
            <w:tcW w:w="1648" w:type="dxa"/>
            <w:shd w:val="clear" w:color="auto" w:fill="auto"/>
            <w:vAlign w:val="center"/>
          </w:tcPr>
          <w:p w14:paraId="11448D9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4580</w:t>
            </w:r>
          </w:p>
        </w:tc>
        <w:tc>
          <w:tcPr>
            <w:tcW w:w="1175" w:type="dxa"/>
            <w:shd w:val="clear" w:color="auto" w:fill="auto"/>
            <w:vAlign w:val="center"/>
          </w:tcPr>
          <w:p w14:paraId="41557502">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350</w:t>
            </w:r>
          </w:p>
        </w:tc>
        <w:tc>
          <w:tcPr>
            <w:tcW w:w="1153" w:type="dxa"/>
            <w:shd w:val="clear" w:color="auto" w:fill="auto"/>
            <w:vAlign w:val="center"/>
          </w:tcPr>
          <w:p w14:paraId="4D33AA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机关单位</w:t>
            </w:r>
          </w:p>
        </w:tc>
      </w:tr>
      <w:tr w14:paraId="530CA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30056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163D80F4">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65</w:t>
            </w:r>
          </w:p>
        </w:tc>
        <w:tc>
          <w:tcPr>
            <w:tcW w:w="2387" w:type="dxa"/>
            <w:shd w:val="clear" w:color="auto" w:fill="auto"/>
            <w:vAlign w:val="center"/>
          </w:tcPr>
          <w:p w14:paraId="2C298F8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淄川区民政局</w:t>
            </w:r>
          </w:p>
        </w:tc>
        <w:tc>
          <w:tcPr>
            <w:tcW w:w="971" w:type="dxa"/>
            <w:shd w:val="clear" w:color="auto" w:fill="auto"/>
            <w:vAlign w:val="center"/>
          </w:tcPr>
          <w:p w14:paraId="5084953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t>
            </w:r>
          </w:p>
        </w:tc>
        <w:tc>
          <w:tcPr>
            <w:tcW w:w="1648" w:type="dxa"/>
            <w:shd w:val="clear" w:color="auto" w:fill="auto"/>
            <w:vAlign w:val="center"/>
          </w:tcPr>
          <w:p w14:paraId="2BBA3AD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4712</w:t>
            </w:r>
          </w:p>
        </w:tc>
        <w:tc>
          <w:tcPr>
            <w:tcW w:w="1175" w:type="dxa"/>
            <w:shd w:val="clear" w:color="auto" w:fill="auto"/>
            <w:vAlign w:val="center"/>
          </w:tcPr>
          <w:p w14:paraId="146382B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350</w:t>
            </w:r>
          </w:p>
        </w:tc>
        <w:tc>
          <w:tcPr>
            <w:tcW w:w="1153" w:type="dxa"/>
            <w:shd w:val="clear" w:color="auto" w:fill="auto"/>
            <w:vAlign w:val="center"/>
          </w:tcPr>
          <w:p w14:paraId="7D604D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机关单位</w:t>
            </w:r>
          </w:p>
        </w:tc>
      </w:tr>
      <w:tr w14:paraId="10EFF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053EC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4B667DD">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66</w:t>
            </w:r>
          </w:p>
        </w:tc>
        <w:tc>
          <w:tcPr>
            <w:tcW w:w="2387" w:type="dxa"/>
            <w:shd w:val="clear" w:color="auto" w:fill="auto"/>
            <w:vAlign w:val="center"/>
          </w:tcPr>
          <w:p w14:paraId="1F0CDBB7">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店子村</w:t>
            </w:r>
          </w:p>
        </w:tc>
        <w:tc>
          <w:tcPr>
            <w:tcW w:w="971" w:type="dxa"/>
            <w:shd w:val="clear" w:color="auto" w:fill="auto"/>
            <w:vAlign w:val="center"/>
          </w:tcPr>
          <w:p w14:paraId="642A6BB4">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SW</w:t>
            </w:r>
          </w:p>
        </w:tc>
        <w:tc>
          <w:tcPr>
            <w:tcW w:w="1648" w:type="dxa"/>
            <w:shd w:val="clear" w:color="auto" w:fill="auto"/>
            <w:vAlign w:val="center"/>
          </w:tcPr>
          <w:p w14:paraId="5F65893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4325</w:t>
            </w:r>
          </w:p>
        </w:tc>
        <w:tc>
          <w:tcPr>
            <w:tcW w:w="1175" w:type="dxa"/>
            <w:shd w:val="clear" w:color="auto" w:fill="auto"/>
            <w:vAlign w:val="center"/>
          </w:tcPr>
          <w:p w14:paraId="7AE9FE86">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680</w:t>
            </w:r>
          </w:p>
        </w:tc>
        <w:tc>
          <w:tcPr>
            <w:tcW w:w="1153" w:type="dxa"/>
            <w:shd w:val="clear" w:color="auto" w:fill="auto"/>
            <w:vAlign w:val="center"/>
          </w:tcPr>
          <w:p w14:paraId="60984C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F069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69DEE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28D6EEDE">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67</w:t>
            </w:r>
          </w:p>
        </w:tc>
        <w:tc>
          <w:tcPr>
            <w:tcW w:w="2387" w:type="dxa"/>
            <w:shd w:val="clear" w:color="auto" w:fill="auto"/>
            <w:vAlign w:val="center"/>
          </w:tcPr>
          <w:p w14:paraId="2861542E">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井家河村</w:t>
            </w:r>
          </w:p>
        </w:tc>
        <w:tc>
          <w:tcPr>
            <w:tcW w:w="971" w:type="dxa"/>
            <w:shd w:val="clear" w:color="auto" w:fill="auto"/>
            <w:vAlign w:val="center"/>
          </w:tcPr>
          <w:p w14:paraId="27DBD87D">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WSW</w:t>
            </w:r>
          </w:p>
        </w:tc>
        <w:tc>
          <w:tcPr>
            <w:tcW w:w="1648" w:type="dxa"/>
            <w:shd w:val="clear" w:color="auto" w:fill="auto"/>
            <w:vAlign w:val="center"/>
          </w:tcPr>
          <w:p w14:paraId="0AFBBA73">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4560</w:t>
            </w:r>
          </w:p>
        </w:tc>
        <w:tc>
          <w:tcPr>
            <w:tcW w:w="1175" w:type="dxa"/>
            <w:shd w:val="clear" w:color="auto" w:fill="auto"/>
            <w:vAlign w:val="center"/>
          </w:tcPr>
          <w:p w14:paraId="1EF313A5">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428</w:t>
            </w:r>
          </w:p>
        </w:tc>
        <w:tc>
          <w:tcPr>
            <w:tcW w:w="1153" w:type="dxa"/>
            <w:shd w:val="clear" w:color="auto" w:fill="auto"/>
            <w:vAlign w:val="center"/>
          </w:tcPr>
          <w:p w14:paraId="1DFFC9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30A8B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FB2D3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808" w:type="dxa"/>
            <w:shd w:val="clear" w:color="auto" w:fill="auto"/>
            <w:vAlign w:val="center"/>
          </w:tcPr>
          <w:p w14:paraId="703280A9">
            <w:pPr>
              <w:pStyle w:val="8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68</w:t>
            </w:r>
          </w:p>
        </w:tc>
        <w:tc>
          <w:tcPr>
            <w:tcW w:w="2387" w:type="dxa"/>
            <w:shd w:val="clear" w:color="auto" w:fill="auto"/>
            <w:vAlign w:val="center"/>
          </w:tcPr>
          <w:p w14:paraId="38C06FA0">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北衣村</w:t>
            </w:r>
          </w:p>
        </w:tc>
        <w:tc>
          <w:tcPr>
            <w:tcW w:w="971" w:type="dxa"/>
            <w:shd w:val="clear" w:color="auto" w:fill="auto"/>
            <w:vAlign w:val="center"/>
          </w:tcPr>
          <w:p w14:paraId="39EA7CF8">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W</w:t>
            </w:r>
          </w:p>
        </w:tc>
        <w:tc>
          <w:tcPr>
            <w:tcW w:w="1648" w:type="dxa"/>
            <w:shd w:val="clear" w:color="auto" w:fill="auto"/>
            <w:vAlign w:val="center"/>
          </w:tcPr>
          <w:p w14:paraId="7E53070A">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4305</w:t>
            </w:r>
          </w:p>
        </w:tc>
        <w:tc>
          <w:tcPr>
            <w:tcW w:w="1175" w:type="dxa"/>
            <w:shd w:val="clear" w:color="auto" w:fill="auto"/>
            <w:vAlign w:val="center"/>
          </w:tcPr>
          <w:p w14:paraId="4D4101C9">
            <w:pPr>
              <w:pStyle w:val="8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zh-CN"/>
              </w:rPr>
            </w:pPr>
            <w:r>
              <w:rPr>
                <w:rFonts w:hint="eastAsia" w:ascii="Times New Roman" w:hAnsi="Times New Roman" w:cs="Times New Roman"/>
                <w:color w:val="auto"/>
                <w:kern w:val="0"/>
                <w:sz w:val="21"/>
                <w:szCs w:val="21"/>
                <w:lang w:val="en-US" w:eastAsia="zh-CN" w:bidi="zh-CN"/>
              </w:rPr>
              <w:t>750</w:t>
            </w:r>
          </w:p>
        </w:tc>
        <w:tc>
          <w:tcPr>
            <w:tcW w:w="1153" w:type="dxa"/>
            <w:shd w:val="clear" w:color="auto" w:fill="auto"/>
            <w:vAlign w:val="center"/>
          </w:tcPr>
          <w:p w14:paraId="6EAF0E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19BED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6740EE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sz w:val="21"/>
                <w:szCs w:val="21"/>
              </w:rPr>
              <w:drawing>
                <wp:inline distT="0" distB="0" distL="114300" distR="114300">
                  <wp:extent cx="0" cy="0"/>
                  <wp:effectExtent l="0" t="0" r="0" b="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c>
        <w:tc>
          <w:tcPr>
            <w:tcW w:w="5814" w:type="dxa"/>
            <w:gridSpan w:val="4"/>
            <w:shd w:val="clear" w:color="auto" w:fill="auto"/>
            <w:vAlign w:val="center"/>
          </w:tcPr>
          <w:p w14:paraId="275166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厂址周边500m范围内人口数小计</w:t>
            </w:r>
          </w:p>
        </w:tc>
        <w:tc>
          <w:tcPr>
            <w:tcW w:w="1175" w:type="dxa"/>
            <w:shd w:val="clear" w:color="auto" w:fill="auto"/>
            <w:vAlign w:val="center"/>
          </w:tcPr>
          <w:p w14:paraId="01E1CF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830</w:t>
            </w:r>
          </w:p>
        </w:tc>
        <w:tc>
          <w:tcPr>
            <w:tcW w:w="1153" w:type="dxa"/>
            <w:shd w:val="clear" w:color="auto" w:fill="auto"/>
            <w:vAlign w:val="center"/>
          </w:tcPr>
          <w:p w14:paraId="4963E6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6D847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7CFBE8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5814" w:type="dxa"/>
            <w:gridSpan w:val="4"/>
            <w:shd w:val="clear" w:color="auto" w:fill="auto"/>
            <w:vAlign w:val="center"/>
          </w:tcPr>
          <w:p w14:paraId="4E7433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厂址周边5000m范围内人口数小计</w:t>
            </w:r>
          </w:p>
        </w:tc>
        <w:tc>
          <w:tcPr>
            <w:tcW w:w="1175" w:type="dxa"/>
            <w:shd w:val="clear" w:color="auto" w:fill="auto"/>
            <w:vAlign w:val="center"/>
          </w:tcPr>
          <w:p w14:paraId="395F4F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49820</w:t>
            </w:r>
          </w:p>
        </w:tc>
        <w:tc>
          <w:tcPr>
            <w:tcW w:w="1153" w:type="dxa"/>
            <w:shd w:val="clear" w:color="auto" w:fill="auto"/>
            <w:vAlign w:val="center"/>
          </w:tcPr>
          <w:p w14:paraId="78691E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1D18B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7C7ED1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6989" w:type="dxa"/>
            <w:gridSpan w:val="5"/>
            <w:shd w:val="clear" w:color="auto" w:fill="auto"/>
            <w:vAlign w:val="center"/>
          </w:tcPr>
          <w:p w14:paraId="0865E2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大气环境敏感程度 E 值</w:t>
            </w:r>
          </w:p>
        </w:tc>
        <w:tc>
          <w:tcPr>
            <w:tcW w:w="1153" w:type="dxa"/>
            <w:shd w:val="clear" w:color="auto" w:fill="auto"/>
            <w:vAlign w:val="center"/>
          </w:tcPr>
          <w:p w14:paraId="5289D2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E</w:t>
            </w:r>
            <w:r>
              <w:rPr>
                <w:rFonts w:hint="eastAsia" w:cs="Times New Roman"/>
                <w:color w:val="auto"/>
                <w:kern w:val="0"/>
                <w:sz w:val="21"/>
                <w:szCs w:val="21"/>
                <w:lang w:val="en-US" w:eastAsia="zh-CN"/>
              </w:rPr>
              <w:t>2</w:t>
            </w:r>
          </w:p>
        </w:tc>
      </w:tr>
      <w:tr w14:paraId="03344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restart"/>
            <w:shd w:val="clear" w:color="auto" w:fill="auto"/>
            <w:vAlign w:val="center"/>
          </w:tcPr>
          <w:p w14:paraId="11515E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w:t>
            </w:r>
          </w:p>
        </w:tc>
        <w:tc>
          <w:tcPr>
            <w:tcW w:w="8142" w:type="dxa"/>
            <w:gridSpan w:val="6"/>
            <w:shd w:val="clear" w:color="auto" w:fill="auto"/>
            <w:vAlign w:val="center"/>
          </w:tcPr>
          <w:p w14:paraId="5C0E37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受纳水体</w:t>
            </w:r>
          </w:p>
        </w:tc>
      </w:tr>
      <w:tr w14:paraId="5695A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3DA617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7CA402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受纳水体</w:t>
            </w:r>
          </w:p>
        </w:tc>
        <w:tc>
          <w:tcPr>
            <w:tcW w:w="971" w:type="dxa"/>
            <w:shd w:val="clear" w:color="auto" w:fill="auto"/>
            <w:vAlign w:val="center"/>
          </w:tcPr>
          <w:p w14:paraId="5A4EDE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重点水域功能环境</w:t>
            </w:r>
          </w:p>
        </w:tc>
        <w:tc>
          <w:tcPr>
            <w:tcW w:w="3976" w:type="dxa"/>
            <w:gridSpan w:val="3"/>
            <w:shd w:val="clear" w:color="auto" w:fill="auto"/>
            <w:vAlign w:val="center"/>
          </w:tcPr>
          <w:p w14:paraId="7E72AC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24h 内流经范围/km</w:t>
            </w:r>
          </w:p>
        </w:tc>
      </w:tr>
      <w:tr w14:paraId="0EEA9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7D49D4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28D8F5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孝妇河</w:t>
            </w:r>
          </w:p>
        </w:tc>
        <w:tc>
          <w:tcPr>
            <w:tcW w:w="971" w:type="dxa"/>
            <w:shd w:val="clear" w:color="auto" w:fill="auto"/>
            <w:vAlign w:val="center"/>
          </w:tcPr>
          <w:p w14:paraId="378A6D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V类</w:t>
            </w:r>
          </w:p>
        </w:tc>
        <w:tc>
          <w:tcPr>
            <w:tcW w:w="3976" w:type="dxa"/>
            <w:gridSpan w:val="3"/>
            <w:shd w:val="clear" w:color="auto" w:fill="auto"/>
            <w:vAlign w:val="center"/>
          </w:tcPr>
          <w:p w14:paraId="5C03B3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r>
      <w:tr w14:paraId="47EA6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41F8AC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8142" w:type="dxa"/>
            <w:gridSpan w:val="6"/>
            <w:shd w:val="clear" w:color="auto" w:fill="auto"/>
            <w:vAlign w:val="center"/>
          </w:tcPr>
          <w:p w14:paraId="4DF92ABF">
            <w:pPr>
              <w:keepNext w:val="0"/>
              <w:keepLines w:val="0"/>
              <w:suppressLineNumbers w:val="0"/>
              <w:spacing w:before="0" w:beforeAutospacing="0" w:after="0" w:afterAutospacing="0"/>
              <w:ind w:left="-101" w:leftChars="-48" w:right="-94" w:rightChars="-45"/>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内陆水体排放点下游10km（近岸海域一个潮周期最大水平距离两倍）范围内敏感目标</w:t>
            </w:r>
          </w:p>
        </w:tc>
      </w:tr>
      <w:tr w14:paraId="5FBDA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08EBC9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61662B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敏感目标名称</w:t>
            </w:r>
          </w:p>
        </w:tc>
        <w:tc>
          <w:tcPr>
            <w:tcW w:w="971" w:type="dxa"/>
            <w:shd w:val="clear" w:color="auto" w:fill="auto"/>
            <w:vAlign w:val="center"/>
          </w:tcPr>
          <w:p w14:paraId="76C793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环境敏感特征</w:t>
            </w:r>
          </w:p>
        </w:tc>
        <w:tc>
          <w:tcPr>
            <w:tcW w:w="1648" w:type="dxa"/>
            <w:shd w:val="clear" w:color="auto" w:fill="auto"/>
            <w:vAlign w:val="center"/>
          </w:tcPr>
          <w:p w14:paraId="6B987AC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水质目标</w:t>
            </w:r>
          </w:p>
        </w:tc>
        <w:tc>
          <w:tcPr>
            <w:tcW w:w="2328" w:type="dxa"/>
            <w:gridSpan w:val="2"/>
            <w:shd w:val="clear" w:color="auto" w:fill="auto"/>
            <w:vAlign w:val="center"/>
          </w:tcPr>
          <w:p w14:paraId="083EB3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与排放点距离/m</w:t>
            </w:r>
          </w:p>
        </w:tc>
      </w:tr>
      <w:tr w14:paraId="05E0A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3233CE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6AF676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971" w:type="dxa"/>
            <w:shd w:val="clear" w:color="auto" w:fill="auto"/>
            <w:vAlign w:val="center"/>
          </w:tcPr>
          <w:p w14:paraId="2AEB1C9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648" w:type="dxa"/>
            <w:shd w:val="clear" w:color="auto" w:fill="auto"/>
            <w:vAlign w:val="center"/>
          </w:tcPr>
          <w:p w14:paraId="01CA38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2328" w:type="dxa"/>
            <w:gridSpan w:val="2"/>
            <w:shd w:val="clear" w:color="auto" w:fill="auto"/>
            <w:vAlign w:val="center"/>
          </w:tcPr>
          <w:p w14:paraId="6A8AC8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r>
      <w:tr w14:paraId="79ADE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5C1024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rPr>
            </w:pPr>
          </w:p>
        </w:tc>
        <w:tc>
          <w:tcPr>
            <w:tcW w:w="6989" w:type="dxa"/>
            <w:gridSpan w:val="5"/>
            <w:shd w:val="clear" w:color="auto" w:fill="auto"/>
            <w:vAlign w:val="center"/>
          </w:tcPr>
          <w:p w14:paraId="188E19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地表水环境敏感程度 E 值</w:t>
            </w:r>
          </w:p>
        </w:tc>
        <w:tc>
          <w:tcPr>
            <w:tcW w:w="1153" w:type="dxa"/>
            <w:shd w:val="clear" w:color="auto" w:fill="auto"/>
            <w:vAlign w:val="center"/>
          </w:tcPr>
          <w:p w14:paraId="59A2D8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E3</w:t>
            </w:r>
          </w:p>
        </w:tc>
      </w:tr>
      <w:tr w14:paraId="69653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restart"/>
            <w:shd w:val="clear" w:color="auto" w:fill="auto"/>
            <w:vAlign w:val="center"/>
          </w:tcPr>
          <w:p w14:paraId="4D138A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w:t>
            </w:r>
          </w:p>
        </w:tc>
        <w:tc>
          <w:tcPr>
            <w:tcW w:w="3195" w:type="dxa"/>
            <w:gridSpan w:val="2"/>
            <w:shd w:val="clear" w:color="auto" w:fill="auto"/>
            <w:vAlign w:val="center"/>
          </w:tcPr>
          <w:p w14:paraId="14F55A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环境敏感区名称</w:t>
            </w:r>
          </w:p>
        </w:tc>
        <w:tc>
          <w:tcPr>
            <w:tcW w:w="971" w:type="dxa"/>
            <w:shd w:val="clear" w:color="auto" w:fill="auto"/>
            <w:vAlign w:val="center"/>
          </w:tcPr>
          <w:p w14:paraId="048AFE2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环境敏感特征</w:t>
            </w:r>
          </w:p>
        </w:tc>
        <w:tc>
          <w:tcPr>
            <w:tcW w:w="1648" w:type="dxa"/>
            <w:shd w:val="clear" w:color="auto" w:fill="auto"/>
            <w:vAlign w:val="center"/>
          </w:tcPr>
          <w:p w14:paraId="1FF848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水质目标</w:t>
            </w:r>
          </w:p>
        </w:tc>
        <w:tc>
          <w:tcPr>
            <w:tcW w:w="1175" w:type="dxa"/>
            <w:shd w:val="clear" w:color="auto" w:fill="auto"/>
            <w:vAlign w:val="center"/>
          </w:tcPr>
          <w:p w14:paraId="059A6D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包气带防污性能</w:t>
            </w:r>
          </w:p>
        </w:tc>
        <w:tc>
          <w:tcPr>
            <w:tcW w:w="1153" w:type="dxa"/>
            <w:shd w:val="clear" w:color="auto" w:fill="auto"/>
            <w:vAlign w:val="center"/>
          </w:tcPr>
          <w:p w14:paraId="75E9D7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与下游厂界距离m</w:t>
            </w:r>
          </w:p>
          <w:p w14:paraId="268D8E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距离/m</w:t>
            </w:r>
          </w:p>
        </w:tc>
      </w:tr>
      <w:tr w14:paraId="530EC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622A83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23A43D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971" w:type="dxa"/>
            <w:shd w:val="clear" w:color="auto" w:fill="auto"/>
            <w:vAlign w:val="center"/>
          </w:tcPr>
          <w:p w14:paraId="3A7F67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648" w:type="dxa"/>
            <w:shd w:val="clear" w:color="auto" w:fill="auto"/>
            <w:vAlign w:val="center"/>
          </w:tcPr>
          <w:p w14:paraId="4CF1F0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175" w:type="dxa"/>
            <w:shd w:val="clear" w:color="auto" w:fill="auto"/>
            <w:vAlign w:val="center"/>
          </w:tcPr>
          <w:p w14:paraId="6992B9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153" w:type="dxa"/>
            <w:shd w:val="clear" w:color="auto" w:fill="auto"/>
            <w:vAlign w:val="center"/>
          </w:tcPr>
          <w:p w14:paraId="364B9D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r>
      <w:tr w14:paraId="5A0D1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2E1FAA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989" w:type="dxa"/>
            <w:gridSpan w:val="5"/>
            <w:shd w:val="clear" w:color="auto" w:fill="auto"/>
            <w:vAlign w:val="center"/>
          </w:tcPr>
          <w:p w14:paraId="078F22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地下水环境敏感程度 E 值</w:t>
            </w:r>
          </w:p>
        </w:tc>
        <w:tc>
          <w:tcPr>
            <w:tcW w:w="1153" w:type="dxa"/>
            <w:shd w:val="clear" w:color="auto" w:fill="auto"/>
            <w:vAlign w:val="center"/>
          </w:tcPr>
          <w:p w14:paraId="72503A8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E</w:t>
            </w:r>
            <w:r>
              <w:rPr>
                <w:rFonts w:hint="default" w:ascii="Times New Roman" w:hAnsi="Times New Roman" w:eastAsia="宋体" w:cs="Times New Roman"/>
                <w:color w:val="auto"/>
                <w:kern w:val="0"/>
                <w:sz w:val="21"/>
                <w:szCs w:val="21"/>
                <w:lang w:val="en-US" w:eastAsia="zh-CN"/>
              </w:rPr>
              <w:t>3</w:t>
            </w:r>
          </w:p>
        </w:tc>
      </w:tr>
    </w:tbl>
    <w:p w14:paraId="627E849D">
      <w:pPr>
        <w:keepNext/>
        <w:keepLines/>
        <w:widowControl/>
        <w:spacing w:before="120" w:after="120" w:line="360" w:lineRule="auto"/>
        <w:outlineLvl w:val="1"/>
        <w:rPr>
          <w:rFonts w:hint="default" w:ascii="Times New Roman" w:hAnsi="Times New Roman" w:eastAsia="宋体" w:cs="Times New Roman"/>
          <w:b/>
          <w:bCs/>
          <w:color w:val="FF0000"/>
          <w:kern w:val="0"/>
          <w:sz w:val="28"/>
          <w:szCs w:val="28"/>
        </w:rPr>
        <w:sectPr>
          <w:pgSz w:w="11906" w:h="16838"/>
          <w:pgMar w:top="1417" w:right="1276" w:bottom="1417" w:left="1559" w:header="851" w:footer="680" w:gutter="0"/>
          <w:pgNumType w:fmt="decimal" w:chapStyle="1"/>
          <w:cols w:space="0" w:num="1"/>
          <w:rtlGutter w:val="0"/>
          <w:docGrid w:linePitch="326" w:charSpace="0"/>
        </w:sectPr>
      </w:pPr>
      <w:bookmarkStart w:id="54" w:name="_Toc33691322"/>
    </w:p>
    <w:p w14:paraId="736D8176">
      <w:pPr>
        <w:pStyle w:val="105"/>
        <w:rPr>
          <w:rFonts w:hint="default" w:ascii="Times New Roman" w:hAnsi="Times New Roman" w:eastAsia="宋体" w:cs="Times New Roman"/>
          <w:color w:val="FF0000"/>
          <w:highlight w:val="none"/>
        </w:rPr>
      </w:pPr>
      <w:r>
        <w:rPr>
          <w:rFonts w:hint="default" w:ascii="Times New Roman" w:hAnsi="Times New Roman" w:cs="Times New Roman"/>
          <w:color w:val="auto"/>
        </w:rPr>
        <w:drawing>
          <wp:anchor distT="0" distB="0" distL="114300" distR="114300" simplePos="0" relativeHeight="251699200" behindDoc="0" locked="0" layoutInCell="1" allowOverlap="1">
            <wp:simplePos x="0" y="0"/>
            <wp:positionH relativeFrom="column">
              <wp:posOffset>7390765</wp:posOffset>
            </wp:positionH>
            <wp:positionV relativeFrom="paragraph">
              <wp:posOffset>9525</wp:posOffset>
            </wp:positionV>
            <wp:extent cx="1474470" cy="1376680"/>
            <wp:effectExtent l="0" t="0" r="11430" b="1397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r>
        <w:drawing>
          <wp:anchor distT="0" distB="0" distL="114300" distR="114300" simplePos="0" relativeHeight="251698176" behindDoc="1" locked="0" layoutInCell="1" allowOverlap="1">
            <wp:simplePos x="0" y="0"/>
            <wp:positionH relativeFrom="column">
              <wp:posOffset>0</wp:posOffset>
            </wp:positionH>
            <wp:positionV relativeFrom="paragraph">
              <wp:posOffset>0</wp:posOffset>
            </wp:positionV>
            <wp:extent cx="8881745" cy="5273040"/>
            <wp:effectExtent l="0" t="0" r="14605" b="3810"/>
            <wp:wrapNone/>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51"/>
                    <a:stretch>
                      <a:fillRect/>
                    </a:stretch>
                  </pic:blipFill>
                  <pic:spPr>
                    <a:xfrm>
                      <a:off x="0" y="0"/>
                      <a:ext cx="8881745" cy="5273040"/>
                    </a:xfrm>
                    <a:prstGeom prst="rect">
                      <a:avLst/>
                    </a:prstGeom>
                    <a:noFill/>
                    <a:ln>
                      <a:noFill/>
                    </a:ln>
                  </pic:spPr>
                </pic:pic>
              </a:graphicData>
            </a:graphic>
          </wp:anchor>
        </w:drawing>
      </w:r>
    </w:p>
    <w:p w14:paraId="41C230BA">
      <w:pPr>
        <w:rPr>
          <w:rFonts w:hint="default" w:ascii="Times New Roman" w:hAnsi="Times New Roman" w:eastAsia="宋体" w:cs="Times New Roman"/>
          <w:color w:val="FF0000"/>
          <w:highlight w:val="none"/>
        </w:rPr>
      </w:pPr>
    </w:p>
    <w:p w14:paraId="1CF891FB">
      <w:pPr>
        <w:rPr>
          <w:rFonts w:hint="default" w:ascii="Times New Roman" w:hAnsi="Times New Roman" w:eastAsia="宋体" w:cs="Times New Roman"/>
          <w:color w:val="FF0000"/>
          <w:highlight w:val="none"/>
        </w:rPr>
      </w:pPr>
    </w:p>
    <w:p w14:paraId="7D19D2C3">
      <w:pPr>
        <w:rPr>
          <w:rFonts w:hint="default" w:ascii="Times New Roman" w:hAnsi="Times New Roman" w:eastAsia="宋体" w:cs="Times New Roman"/>
          <w:color w:val="FF0000"/>
          <w:highlight w:val="none"/>
        </w:rPr>
      </w:pPr>
    </w:p>
    <w:p w14:paraId="1A18EBB3">
      <w:pPr>
        <w:rPr>
          <w:rFonts w:hint="default" w:ascii="Times New Roman" w:hAnsi="Times New Roman" w:eastAsia="宋体" w:cs="Times New Roman"/>
          <w:color w:val="FF0000"/>
          <w:highlight w:val="none"/>
        </w:rPr>
      </w:pPr>
    </w:p>
    <w:p w14:paraId="2B472866">
      <w:pPr>
        <w:rPr>
          <w:rFonts w:hint="default" w:ascii="Times New Roman" w:hAnsi="Times New Roman" w:eastAsia="宋体" w:cs="Times New Roman"/>
          <w:color w:val="FF0000"/>
          <w:highlight w:val="none"/>
        </w:rPr>
      </w:pPr>
    </w:p>
    <w:p w14:paraId="6095E0E0">
      <w:pPr>
        <w:rPr>
          <w:rFonts w:hint="default" w:ascii="Times New Roman" w:hAnsi="Times New Roman" w:eastAsia="宋体" w:cs="Times New Roman"/>
          <w:color w:val="FF0000"/>
          <w:highlight w:val="none"/>
        </w:rPr>
      </w:pPr>
    </w:p>
    <w:p w14:paraId="3751997D">
      <w:pPr>
        <w:rPr>
          <w:rFonts w:hint="default" w:ascii="Times New Roman" w:hAnsi="Times New Roman" w:eastAsia="宋体" w:cs="Times New Roman"/>
          <w:color w:val="FF0000"/>
          <w:highlight w:val="none"/>
        </w:rPr>
      </w:pPr>
    </w:p>
    <w:p w14:paraId="75F96ACC">
      <w:pPr>
        <w:rPr>
          <w:rFonts w:hint="default" w:ascii="Times New Roman" w:hAnsi="Times New Roman" w:eastAsia="宋体" w:cs="Times New Roman"/>
          <w:color w:val="FF0000"/>
          <w:highlight w:val="none"/>
        </w:rPr>
      </w:pPr>
    </w:p>
    <w:p w14:paraId="07030B94">
      <w:pPr>
        <w:rPr>
          <w:rFonts w:hint="default" w:ascii="Times New Roman" w:hAnsi="Times New Roman" w:eastAsia="宋体" w:cs="Times New Roman"/>
          <w:color w:val="FF0000"/>
          <w:highlight w:val="none"/>
        </w:rPr>
      </w:pPr>
    </w:p>
    <w:p w14:paraId="2FFDCFDE">
      <w:pPr>
        <w:rPr>
          <w:rFonts w:hint="default" w:ascii="Times New Roman" w:hAnsi="Times New Roman" w:eastAsia="宋体" w:cs="Times New Roman"/>
          <w:color w:val="FF0000"/>
          <w:highlight w:val="none"/>
        </w:rPr>
      </w:pPr>
    </w:p>
    <w:p w14:paraId="4F5CD399">
      <w:pPr>
        <w:rPr>
          <w:rFonts w:hint="default" w:ascii="Times New Roman" w:hAnsi="Times New Roman" w:eastAsia="宋体" w:cs="Times New Roman"/>
          <w:color w:val="FF0000"/>
          <w:highlight w:val="none"/>
        </w:rPr>
      </w:pPr>
    </w:p>
    <w:p w14:paraId="47488A21">
      <w:pPr>
        <w:rPr>
          <w:rFonts w:hint="default" w:ascii="Times New Roman" w:hAnsi="Times New Roman" w:eastAsia="宋体" w:cs="Times New Roman"/>
          <w:color w:val="FF0000"/>
          <w:highlight w:val="none"/>
        </w:rPr>
      </w:pPr>
    </w:p>
    <w:p w14:paraId="0C9E036B">
      <w:pPr>
        <w:rPr>
          <w:rFonts w:hint="default" w:ascii="Times New Roman" w:hAnsi="Times New Roman" w:eastAsia="宋体" w:cs="Times New Roman"/>
          <w:color w:val="FF0000"/>
          <w:highlight w:val="none"/>
        </w:rPr>
      </w:pPr>
    </w:p>
    <w:p w14:paraId="7EF814D2">
      <w:pPr>
        <w:rPr>
          <w:rFonts w:hint="default" w:ascii="Times New Roman" w:hAnsi="Times New Roman" w:eastAsia="宋体" w:cs="Times New Roman"/>
          <w:color w:val="FF0000"/>
          <w:highlight w:val="none"/>
        </w:rPr>
      </w:pPr>
    </w:p>
    <w:p w14:paraId="21FD23B3">
      <w:pPr>
        <w:rPr>
          <w:rFonts w:hint="default" w:ascii="Times New Roman" w:hAnsi="Times New Roman" w:eastAsia="宋体" w:cs="Times New Roman"/>
          <w:color w:val="FF0000"/>
          <w:highlight w:val="none"/>
        </w:rPr>
      </w:pPr>
    </w:p>
    <w:p w14:paraId="329D58DD">
      <w:pPr>
        <w:rPr>
          <w:rFonts w:hint="default" w:ascii="Times New Roman" w:hAnsi="Times New Roman" w:eastAsia="宋体" w:cs="Times New Roman"/>
          <w:color w:val="FF0000"/>
          <w:highlight w:val="none"/>
        </w:rPr>
      </w:pPr>
    </w:p>
    <w:p w14:paraId="72B33B9D">
      <w:pPr>
        <w:rPr>
          <w:rFonts w:hint="default" w:ascii="Times New Roman" w:hAnsi="Times New Roman" w:eastAsia="宋体" w:cs="Times New Roman"/>
          <w:color w:val="FF0000"/>
          <w:highlight w:val="none"/>
        </w:rPr>
      </w:pPr>
    </w:p>
    <w:p w14:paraId="38A3EC69">
      <w:pPr>
        <w:rPr>
          <w:rFonts w:hint="default" w:ascii="Times New Roman" w:hAnsi="Times New Roman" w:eastAsia="宋体" w:cs="Times New Roman"/>
          <w:color w:val="FF0000"/>
          <w:highlight w:val="none"/>
        </w:rPr>
      </w:pPr>
    </w:p>
    <w:p w14:paraId="5557A260">
      <w:pPr>
        <w:rPr>
          <w:rFonts w:hint="default" w:ascii="Times New Roman" w:hAnsi="Times New Roman" w:eastAsia="宋体" w:cs="Times New Roman"/>
          <w:color w:val="FF0000"/>
          <w:highlight w:val="none"/>
        </w:rPr>
      </w:pPr>
    </w:p>
    <w:p w14:paraId="21DC7914">
      <w:pPr>
        <w:rPr>
          <w:rFonts w:hint="default" w:ascii="Times New Roman" w:hAnsi="Times New Roman" w:eastAsia="宋体" w:cs="Times New Roman"/>
          <w:color w:val="FF0000"/>
          <w:highlight w:val="none"/>
        </w:rPr>
      </w:pPr>
    </w:p>
    <w:p w14:paraId="059E1587">
      <w:pPr>
        <w:rPr>
          <w:rFonts w:hint="default" w:ascii="Times New Roman" w:hAnsi="Times New Roman" w:eastAsia="宋体" w:cs="Times New Roman"/>
          <w:color w:val="FF0000"/>
          <w:highlight w:val="none"/>
        </w:rPr>
      </w:pPr>
    </w:p>
    <w:p w14:paraId="35850798">
      <w:pPr>
        <w:rPr>
          <w:rFonts w:hint="default" w:ascii="Times New Roman" w:hAnsi="Times New Roman" w:eastAsia="宋体" w:cs="Times New Roman"/>
          <w:color w:val="FF0000"/>
          <w:highlight w:val="none"/>
        </w:rPr>
      </w:pPr>
    </w:p>
    <w:p w14:paraId="52E00C87">
      <w:pPr>
        <w:rPr>
          <w:rFonts w:hint="default" w:ascii="Times New Roman" w:hAnsi="Times New Roman" w:eastAsia="宋体" w:cs="Times New Roman"/>
          <w:color w:val="FF0000"/>
          <w:highlight w:val="none"/>
        </w:rPr>
      </w:pPr>
    </w:p>
    <w:p w14:paraId="59F379D3">
      <w:pPr>
        <w:rPr>
          <w:rFonts w:hint="default" w:ascii="Times New Roman" w:hAnsi="Times New Roman" w:eastAsia="宋体" w:cs="Times New Roman"/>
          <w:color w:val="FF0000"/>
          <w:highlight w:val="none"/>
        </w:rPr>
      </w:pPr>
    </w:p>
    <w:p w14:paraId="194B2CC3">
      <w:pPr>
        <w:rPr>
          <w:rFonts w:hint="default" w:ascii="Times New Roman" w:hAnsi="Times New Roman" w:eastAsia="宋体" w:cs="Times New Roman"/>
          <w:color w:val="FF0000"/>
          <w:highlight w:val="none"/>
        </w:rPr>
      </w:pPr>
    </w:p>
    <w:p w14:paraId="41DAB751">
      <w:pPr>
        <w:rPr>
          <w:rFonts w:hint="default" w:ascii="Times New Roman" w:hAnsi="Times New Roman" w:eastAsia="宋体" w:cs="Times New Roman"/>
          <w:color w:val="FF0000"/>
          <w:highlight w:val="none"/>
        </w:rPr>
      </w:pPr>
    </w:p>
    <w:p w14:paraId="599366AD">
      <w:pPr>
        <w:rPr>
          <w:rFonts w:hint="default" w:ascii="Times New Roman" w:hAnsi="Times New Roman" w:eastAsia="宋体" w:cs="Times New Roman"/>
          <w:color w:val="FF0000"/>
          <w:highlight w:val="none"/>
        </w:rPr>
      </w:pPr>
    </w:p>
    <w:p w14:paraId="54EC2D91">
      <w:pPr>
        <w:rPr>
          <w:rFonts w:hint="default" w:ascii="Times New Roman" w:hAnsi="Times New Roman" w:eastAsia="宋体" w:cs="Times New Roman"/>
          <w:color w:val="FF0000"/>
          <w:highlight w:val="none"/>
        </w:rPr>
      </w:pPr>
    </w:p>
    <w:p w14:paraId="56E39C0D">
      <w:pPr>
        <w:rPr>
          <w:rFonts w:hint="default" w:ascii="Times New Roman" w:hAnsi="Times New Roman" w:eastAsia="宋体" w:cs="Times New Roman"/>
          <w:color w:val="FF0000"/>
          <w:highlight w:val="none"/>
        </w:rPr>
      </w:pPr>
    </w:p>
    <w:p w14:paraId="118BCDCF">
      <w:pPr>
        <w:rPr>
          <w:rFonts w:hint="default" w:ascii="Times New Roman" w:hAnsi="Times New Roman" w:eastAsia="宋体" w:cs="Times New Roman"/>
          <w:color w:val="FF0000"/>
          <w:highlight w:val="none"/>
        </w:rPr>
      </w:pPr>
    </w:p>
    <w:p w14:paraId="1A1160C7">
      <w:pPr>
        <w:pStyle w:val="105"/>
        <w:rPr>
          <w:rFonts w:hint="default" w:ascii="Times New Roman" w:hAnsi="Times New Roman" w:eastAsia="宋体" w:cs="Times New Roman"/>
          <w:color w:val="FF0000"/>
          <w:sz w:val="24"/>
          <w:szCs w:val="32"/>
          <w:lang w:eastAsia="zh-CN"/>
        </w:rPr>
      </w:pPr>
    </w:p>
    <w:p w14:paraId="73BB7DC7">
      <w:pPr>
        <w:pStyle w:val="105"/>
        <w:rPr>
          <w:rFonts w:hint="default" w:ascii="Times New Roman" w:hAnsi="Times New Roman" w:eastAsia="宋体" w:cs="Times New Roman"/>
          <w:color w:val="FF0000"/>
          <w:sz w:val="24"/>
          <w:szCs w:val="32"/>
          <w:lang w:eastAsia="zh-CN"/>
        </w:rPr>
      </w:pPr>
    </w:p>
    <w:p w14:paraId="2C75732F">
      <w:pPr>
        <w:pStyle w:val="105"/>
        <w:rPr>
          <w:rFonts w:hint="default" w:ascii="Times New Roman" w:hAnsi="Times New Roman" w:eastAsia="宋体" w:cs="Times New Roman"/>
          <w:color w:val="FF0000"/>
          <w:sz w:val="24"/>
          <w:szCs w:val="32"/>
          <w:lang w:eastAsia="zh-CN"/>
        </w:rPr>
      </w:pPr>
    </w:p>
    <w:p w14:paraId="68381B82">
      <w:pPr>
        <w:pStyle w:val="105"/>
        <w:rPr>
          <w:rFonts w:hint="default" w:ascii="Times New Roman" w:hAnsi="Times New Roman" w:eastAsia="宋体" w:cs="Times New Roman"/>
          <w:color w:val="FF0000"/>
          <w:sz w:val="24"/>
          <w:szCs w:val="32"/>
          <w:lang w:eastAsia="zh-CN"/>
        </w:rPr>
      </w:pPr>
    </w:p>
    <w:p w14:paraId="31D6D06C">
      <w:pPr>
        <w:pStyle w:val="105"/>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eastAsia="zh-CN"/>
        </w:rPr>
        <w:t>图2.</w:t>
      </w:r>
      <w:r>
        <w:rPr>
          <w:rFonts w:hint="eastAsia" w:cs="Times New Roman"/>
          <w:color w:val="auto"/>
          <w:sz w:val="24"/>
          <w:szCs w:val="32"/>
          <w:lang w:val="en-US" w:eastAsia="zh-CN"/>
        </w:rPr>
        <w:t>2-1</w:t>
      </w:r>
      <w:r>
        <w:rPr>
          <w:rFonts w:hint="default" w:ascii="Times New Roman" w:hAnsi="Times New Roman" w:eastAsia="宋体" w:cs="Times New Roman"/>
          <w:color w:val="auto"/>
          <w:sz w:val="24"/>
          <w:szCs w:val="32"/>
        </w:rPr>
        <w:t xml:space="preserve">  </w:t>
      </w:r>
      <w:r>
        <w:rPr>
          <w:rFonts w:hint="default" w:ascii="Times New Roman" w:hAnsi="Times New Roman" w:eastAsia="宋体" w:cs="Times New Roman"/>
          <w:color w:val="auto"/>
          <w:sz w:val="24"/>
          <w:szCs w:val="32"/>
          <w:lang w:eastAsia="zh-CN"/>
        </w:rPr>
        <w:t>厂址周边</w:t>
      </w:r>
      <w:r>
        <w:rPr>
          <w:rFonts w:hint="default" w:ascii="Times New Roman" w:hAnsi="Times New Roman" w:eastAsia="宋体" w:cs="Times New Roman"/>
          <w:color w:val="auto"/>
          <w:sz w:val="24"/>
          <w:szCs w:val="32"/>
          <w:lang w:val="en-US" w:eastAsia="zh-CN"/>
        </w:rPr>
        <w:t>5km范围内</w:t>
      </w:r>
      <w:r>
        <w:rPr>
          <w:rFonts w:hint="default" w:ascii="Times New Roman" w:hAnsi="Times New Roman" w:eastAsia="宋体" w:cs="Times New Roman"/>
          <w:color w:val="auto"/>
          <w:sz w:val="24"/>
          <w:szCs w:val="32"/>
          <w:lang w:eastAsia="zh-CN"/>
        </w:rPr>
        <w:t>环境敏感目标分布图</w:t>
      </w:r>
      <w:r>
        <w:rPr>
          <w:rFonts w:hint="eastAsia" w:cs="Times New Roman"/>
          <w:color w:val="auto"/>
          <w:sz w:val="24"/>
          <w:szCs w:val="32"/>
          <w:lang w:eastAsia="zh-CN"/>
        </w:rPr>
        <w:t>（</w:t>
      </w:r>
      <w:r>
        <w:rPr>
          <w:rFonts w:hint="eastAsia" w:cs="Times New Roman"/>
          <w:color w:val="auto"/>
          <w:sz w:val="24"/>
          <w:szCs w:val="32"/>
          <w:lang w:val="en-US" w:eastAsia="zh-CN"/>
        </w:rPr>
        <w:t>比例1：49500</w:t>
      </w:r>
      <w:r>
        <w:rPr>
          <w:rFonts w:hint="eastAsia" w:cs="Times New Roman"/>
          <w:color w:val="auto"/>
          <w:sz w:val="24"/>
          <w:szCs w:val="32"/>
          <w:lang w:eastAsia="zh-CN"/>
        </w:rPr>
        <w:t>）</w:t>
      </w:r>
    </w:p>
    <w:p w14:paraId="05EC2ED1">
      <w:pPr>
        <w:keepNext/>
        <w:keepLines/>
        <w:widowControl/>
        <w:spacing w:before="120" w:after="120" w:line="360" w:lineRule="auto"/>
        <w:outlineLvl w:val="1"/>
        <w:rPr>
          <w:rFonts w:hint="default" w:ascii="Times New Roman" w:hAnsi="Times New Roman" w:eastAsia="宋体" w:cs="Times New Roman"/>
          <w:b/>
          <w:bCs/>
          <w:color w:val="FF0000"/>
          <w:kern w:val="0"/>
          <w:sz w:val="28"/>
          <w:szCs w:val="28"/>
          <w:highlight w:val="yellow"/>
        </w:rPr>
        <w:sectPr>
          <w:pgSz w:w="16838" w:h="11906" w:orient="landscape"/>
          <w:pgMar w:top="1559" w:right="1417" w:bottom="1276" w:left="1417" w:header="851" w:footer="680" w:gutter="0"/>
          <w:pgNumType w:fmt="decimal" w:chapStyle="1"/>
          <w:cols w:space="0" w:num="1"/>
          <w:rtlGutter w:val="0"/>
          <w:docGrid w:linePitch="326" w:charSpace="0"/>
        </w:sectPr>
      </w:pPr>
    </w:p>
    <w:p w14:paraId="674D80BF">
      <w:pPr>
        <w:keepNext/>
        <w:keepLines/>
        <w:pageBreakBefore w:val="0"/>
        <w:widowControl/>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宋体" w:cs="Times New Roman"/>
          <w:b/>
          <w:bCs/>
          <w:color w:val="auto"/>
          <w:kern w:val="0"/>
          <w:sz w:val="36"/>
          <w:szCs w:val="36"/>
          <w:highlight w:val="none"/>
        </w:rPr>
      </w:pPr>
      <w:bookmarkStart w:id="55" w:name="_Toc13052"/>
      <w:r>
        <w:rPr>
          <w:rFonts w:hint="default" w:ascii="Times New Roman" w:hAnsi="Times New Roman" w:eastAsia="宋体" w:cs="Times New Roman"/>
          <w:b/>
          <w:bCs/>
          <w:color w:val="auto"/>
          <w:kern w:val="0"/>
          <w:sz w:val="36"/>
          <w:szCs w:val="36"/>
          <w:highlight w:val="none"/>
          <w:lang w:val="en-US" w:eastAsia="zh-CN"/>
        </w:rPr>
        <w:t>3</w:t>
      </w:r>
      <w:r>
        <w:rPr>
          <w:rFonts w:hint="default" w:ascii="Times New Roman" w:hAnsi="Times New Roman" w:eastAsia="宋体" w:cs="Times New Roman"/>
          <w:b/>
          <w:bCs/>
          <w:color w:val="auto"/>
          <w:kern w:val="0"/>
          <w:sz w:val="36"/>
          <w:szCs w:val="36"/>
          <w:highlight w:val="none"/>
        </w:rPr>
        <w:t xml:space="preserve"> 环境风险潜势初判</w:t>
      </w:r>
      <w:bookmarkEnd w:id="54"/>
      <w:bookmarkEnd w:id="55"/>
    </w:p>
    <w:p w14:paraId="3EF93663">
      <w:pPr>
        <w:keepNext/>
        <w:keepLines/>
        <w:pageBreakBefore w:val="0"/>
        <w:widowControl/>
        <w:kinsoku/>
        <w:wordWrap/>
        <w:overflowPunct/>
        <w:topLinePunct w:val="0"/>
        <w:autoSpaceDE/>
        <w:autoSpaceDN/>
        <w:bidi w:val="0"/>
        <w:adjustRightInd w:val="0"/>
        <w:snapToGrid w:val="0"/>
        <w:spacing w:line="360" w:lineRule="auto"/>
        <w:textAlignment w:val="auto"/>
        <w:outlineLvl w:val="2"/>
        <w:rPr>
          <w:rFonts w:hint="default" w:ascii="Times New Roman" w:hAnsi="Times New Roman" w:eastAsia="宋体" w:cs="Times New Roman"/>
          <w:b/>
          <w:bCs/>
          <w:color w:val="auto"/>
          <w:kern w:val="0"/>
          <w:sz w:val="30"/>
          <w:szCs w:val="30"/>
        </w:rPr>
      </w:pPr>
      <w:bookmarkStart w:id="56" w:name="_Toc24679"/>
      <w:r>
        <w:rPr>
          <w:rFonts w:hint="default" w:ascii="Times New Roman" w:hAnsi="Times New Roman" w:eastAsia="宋体" w:cs="Times New Roman"/>
          <w:b/>
          <w:bCs/>
          <w:color w:val="auto"/>
          <w:kern w:val="0"/>
          <w:sz w:val="30"/>
          <w:szCs w:val="30"/>
          <w:lang w:val="en-US" w:eastAsia="zh-CN"/>
        </w:rPr>
        <w:t>3.1</w:t>
      </w:r>
      <w:r>
        <w:rPr>
          <w:rFonts w:hint="default" w:ascii="Times New Roman" w:hAnsi="Times New Roman" w:eastAsia="宋体" w:cs="Times New Roman"/>
          <w:b/>
          <w:bCs/>
          <w:color w:val="auto"/>
          <w:kern w:val="0"/>
          <w:sz w:val="30"/>
          <w:szCs w:val="30"/>
        </w:rPr>
        <w:t xml:space="preserve"> 环境敏感程度的确定</w:t>
      </w:r>
      <w:bookmarkEnd w:id="56"/>
    </w:p>
    <w:p w14:paraId="69CFB9CC">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1、大气环境敏感程度分级</w:t>
      </w:r>
    </w:p>
    <w:p w14:paraId="76EE7A9B">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大气环境敏感程度分级情况见</w:t>
      </w:r>
      <w:r>
        <w:rPr>
          <w:rFonts w:hint="default" w:ascii="Times New Roman" w:hAnsi="Times New Roman" w:eastAsia="宋体" w:cs="Times New Roman"/>
          <w:color w:val="auto"/>
          <w:sz w:val="24"/>
        </w:rPr>
        <w:t>下表。</w:t>
      </w:r>
    </w:p>
    <w:p w14:paraId="44B03AEE">
      <w:pPr>
        <w:pStyle w:val="105"/>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1  大气环境敏感程度分级</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16"/>
        <w:gridCol w:w="8838"/>
      </w:tblGrid>
      <w:tr w14:paraId="6B4E9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129EEDE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1BF6AB94">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大气环境敏感性</w:t>
            </w:r>
          </w:p>
        </w:tc>
      </w:tr>
      <w:tr w14:paraId="0D83E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5F51218C">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E1</w:t>
            </w:r>
          </w:p>
        </w:tc>
        <w:tc>
          <w:tcPr>
            <w:tcW w:w="8328" w:type="dxa"/>
            <w:shd w:val="clear" w:color="auto" w:fill="auto"/>
            <w:vAlign w:val="center"/>
          </w:tcPr>
          <w:p w14:paraId="2123F63C">
            <w:pPr>
              <w:pStyle w:val="83"/>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周边5km范围内居民区、医疗卫生、文化教育、科研、行政办公等机构人口总数大于5万人，或其他需要特殊保护区域；或周边500m范围内人口总数大于1000人；油气、化学品运输管线管段周边200m范围内，每千米管段人口数大于200人。</w:t>
            </w:r>
          </w:p>
        </w:tc>
      </w:tr>
      <w:tr w14:paraId="112BF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7481E02A">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E2</w:t>
            </w:r>
          </w:p>
        </w:tc>
        <w:tc>
          <w:tcPr>
            <w:tcW w:w="8328" w:type="dxa"/>
            <w:shd w:val="clear" w:color="auto" w:fill="auto"/>
            <w:vAlign w:val="center"/>
          </w:tcPr>
          <w:p w14:paraId="29EBE27B">
            <w:pPr>
              <w:pStyle w:val="83"/>
              <w:keepNext w:val="0"/>
              <w:keepLines w:val="0"/>
              <w:suppressLineNumbers w:val="0"/>
              <w:spacing w:before="0" w:beforeAutospacing="0" w:after="0" w:afterAutospacing="0"/>
              <w:ind w:left="0" w:right="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周边5km范围内居民区、医疗卫生、文化教育、科研、行政办公等机构人口总数大于1万人，小于5万人；或周边500m范围内人口总数大于500人，小于1000人；油气、化学品运输管线管段周边200m范围内，每千米管段人口数大于200人。</w:t>
            </w:r>
          </w:p>
        </w:tc>
      </w:tr>
      <w:tr w14:paraId="58D27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6555D0C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c>
          <w:tcPr>
            <w:tcW w:w="8328" w:type="dxa"/>
            <w:shd w:val="clear" w:color="auto" w:fill="auto"/>
            <w:vAlign w:val="center"/>
          </w:tcPr>
          <w:p w14:paraId="0ABB001E">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bookmarkStart w:id="57" w:name="_Hlk1732951"/>
            <w:r>
              <w:rPr>
                <w:rFonts w:hint="default" w:ascii="Times New Roman" w:hAnsi="Times New Roman" w:eastAsia="宋体" w:cs="Times New Roman"/>
                <w:color w:val="auto"/>
              </w:rPr>
              <w:t>周边5km范围内居民区、医疗卫生、文化教育、科研、行政办公等机构人口总数小于1万人；或周边500m范围内人口总数小于500人；油气、化学品运输管线管段周边200m范围内，每千米管段人口数大于100人。</w:t>
            </w:r>
            <w:bookmarkEnd w:id="57"/>
          </w:p>
        </w:tc>
      </w:tr>
    </w:tbl>
    <w:p w14:paraId="35A14DE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szCs w:val="24"/>
        </w:rPr>
        <w:t>本项目位于</w:t>
      </w:r>
      <w:r>
        <w:rPr>
          <w:rFonts w:hint="eastAsia" w:cs="Times New Roman"/>
          <w:color w:val="auto"/>
          <w:sz w:val="24"/>
          <w:szCs w:val="24"/>
          <w:highlight w:val="none"/>
          <w:lang w:eastAsia="zh-CN"/>
        </w:rPr>
        <w:t>淄博市淄川区双杨镇小庄村沿河路东部现有厂房</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rPr>
        <w:t>根据表</w:t>
      </w:r>
      <w:r>
        <w:rPr>
          <w:rFonts w:hint="eastAsia" w:cs="Times New Roman"/>
          <w:color w:val="auto"/>
          <w:kern w:val="0"/>
          <w:sz w:val="24"/>
          <w:lang w:val="en-US" w:eastAsia="zh-CN"/>
        </w:rPr>
        <w:t>2.2-1</w:t>
      </w:r>
      <w:r>
        <w:rPr>
          <w:rFonts w:hint="default" w:ascii="Times New Roman" w:hAnsi="Times New Roman" w:eastAsia="宋体" w:cs="Times New Roman"/>
          <w:color w:val="auto"/>
          <w:kern w:val="0"/>
          <w:sz w:val="24"/>
        </w:rPr>
        <w:t>和图</w:t>
      </w:r>
      <w:r>
        <w:rPr>
          <w:rFonts w:hint="eastAsia" w:cs="Times New Roman"/>
          <w:color w:val="auto"/>
          <w:kern w:val="0"/>
          <w:sz w:val="24"/>
          <w:lang w:val="en-US" w:eastAsia="zh-CN"/>
        </w:rPr>
        <w:t>2.2-1</w:t>
      </w:r>
      <w:r>
        <w:rPr>
          <w:rFonts w:hint="default" w:ascii="Times New Roman" w:hAnsi="Times New Roman" w:eastAsia="宋体" w:cs="Times New Roman"/>
          <w:color w:val="auto"/>
          <w:kern w:val="0"/>
          <w:sz w:val="24"/>
        </w:rPr>
        <w:t>。项目厂址周边500m范围内人口总数大于500人，小于1000人</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周围5km范围内总人数</w:t>
      </w:r>
      <w:r>
        <w:rPr>
          <w:rFonts w:hint="eastAsia" w:cs="Times New Roman"/>
          <w:color w:val="auto"/>
          <w:kern w:val="0"/>
          <w:sz w:val="24"/>
          <w:lang w:val="en-US" w:eastAsia="zh-CN"/>
        </w:rPr>
        <w:t>小</w:t>
      </w:r>
      <w:r>
        <w:rPr>
          <w:rFonts w:hint="default" w:ascii="Times New Roman" w:hAnsi="Times New Roman" w:eastAsia="宋体" w:cs="Times New Roman"/>
          <w:color w:val="auto"/>
          <w:kern w:val="0"/>
          <w:sz w:val="24"/>
        </w:rPr>
        <w:t>于5万</w:t>
      </w:r>
      <w:r>
        <w:rPr>
          <w:rFonts w:hint="default" w:ascii="Times New Roman" w:hAnsi="Times New Roman" w:eastAsia="宋体" w:cs="Times New Roman"/>
          <w:color w:val="auto"/>
          <w:kern w:val="0"/>
          <w:sz w:val="24"/>
          <w:lang w:eastAsia="zh-CN"/>
        </w:rPr>
        <w:t>人</w:t>
      </w:r>
      <w:r>
        <w:rPr>
          <w:rFonts w:hint="default" w:ascii="Times New Roman" w:hAnsi="Times New Roman" w:eastAsia="宋体" w:cs="Times New Roman"/>
          <w:color w:val="auto"/>
          <w:kern w:val="0"/>
          <w:sz w:val="24"/>
        </w:rPr>
        <w:t>，因此根据《建设项目环境风险评价技术导则》（HJ169-2018）附录D中表D.1大气环境敏感程度分级，</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大气敏感程度为</w:t>
      </w:r>
      <w:r>
        <w:rPr>
          <w:rFonts w:hint="eastAsia" w:cs="Times New Roman"/>
          <w:color w:val="auto"/>
          <w:kern w:val="0"/>
          <w:sz w:val="24"/>
          <w:lang w:val="en-US" w:eastAsia="zh-CN"/>
        </w:rPr>
        <w:t>E2</w:t>
      </w:r>
      <w:r>
        <w:rPr>
          <w:rFonts w:hint="default" w:ascii="Times New Roman" w:hAnsi="Times New Roman" w:eastAsia="宋体" w:cs="Times New Roman"/>
          <w:color w:val="auto"/>
          <w:kern w:val="0"/>
          <w:sz w:val="24"/>
        </w:rPr>
        <w:t>。</w:t>
      </w:r>
    </w:p>
    <w:p w14:paraId="6A12A7DF">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2、地表水环境敏感程度分级</w:t>
      </w:r>
    </w:p>
    <w:p w14:paraId="1901A2D9">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依据事故情况下危险物质泄漏到水体的排放点受纳地表水体功能敏感性（见</w:t>
      </w:r>
      <w:r>
        <w:rPr>
          <w:rFonts w:hint="default" w:ascii="Times New Roman" w:hAnsi="Times New Roman" w:eastAsia="宋体" w:cs="Times New Roman"/>
          <w:color w:val="auto"/>
          <w:kern w:val="0"/>
          <w:sz w:val="24"/>
        </w:rPr>
        <w:fldChar w:fldCharType="begin"/>
      </w:r>
      <w:r>
        <w:rPr>
          <w:rFonts w:hint="default" w:ascii="Times New Roman" w:hAnsi="Times New Roman" w:eastAsia="宋体" w:cs="Times New Roman"/>
          <w:color w:val="auto"/>
          <w:kern w:val="0"/>
          <w:sz w:val="24"/>
        </w:rPr>
        <w:instrText xml:space="preserve"> REF _Ref1727610 \h  \* MERGEFORMAT </w:instrText>
      </w:r>
      <w:r>
        <w:rPr>
          <w:rFonts w:hint="default" w:ascii="Times New Roman" w:hAnsi="Times New Roman" w:eastAsia="宋体" w:cs="Times New Roman"/>
          <w:color w:val="auto"/>
          <w:kern w:val="0"/>
          <w:sz w:val="24"/>
        </w:rPr>
        <w:fldChar w:fldCharType="separate"/>
      </w:r>
      <w:r>
        <w:rPr>
          <w:rFonts w:hint="default" w:ascii="Times New Roman" w:hAnsi="Times New Roman" w:eastAsia="宋体" w:cs="Times New Roman"/>
          <w:color w:val="auto"/>
          <w:kern w:val="0"/>
          <w:sz w:val="24"/>
        </w:rPr>
        <w:t>表</w:t>
      </w:r>
      <w:r>
        <w:rPr>
          <w:rFonts w:hint="default" w:ascii="Times New Roman" w:hAnsi="Times New Roman" w:eastAsia="宋体" w:cs="Times New Roman"/>
          <w:color w:val="auto"/>
          <w:kern w:val="0"/>
          <w:sz w:val="24"/>
          <w:lang w:eastAsia="zh-CN"/>
        </w:rPr>
        <w:t>3.1-</w:t>
      </w:r>
      <w:r>
        <w:rPr>
          <w:rFonts w:hint="default" w:ascii="Times New Roman" w:hAnsi="Times New Roman" w:eastAsia="宋体" w:cs="Times New Roman"/>
          <w:color w:val="auto"/>
          <w:kern w:val="0"/>
          <w:sz w:val="24"/>
        </w:rPr>
        <w:t>2</w:t>
      </w:r>
      <w:r>
        <w:rPr>
          <w:rFonts w:hint="default" w:ascii="Times New Roman" w:hAnsi="Times New Roman" w:eastAsia="宋体" w:cs="Times New Roman"/>
          <w:color w:val="auto"/>
          <w:kern w:val="0"/>
          <w:sz w:val="24"/>
        </w:rPr>
        <w:fldChar w:fldCharType="end"/>
      </w:r>
      <w:r>
        <w:rPr>
          <w:rFonts w:hint="default" w:ascii="Times New Roman" w:hAnsi="Times New Roman" w:eastAsia="宋体" w:cs="Times New Roman"/>
          <w:color w:val="auto"/>
          <w:kern w:val="0"/>
          <w:sz w:val="24"/>
        </w:rPr>
        <w:t>），与下游环境敏感目标（见表</w:t>
      </w:r>
      <w:r>
        <w:rPr>
          <w:rFonts w:hint="default" w:ascii="Times New Roman" w:hAnsi="Times New Roman" w:eastAsia="宋体" w:cs="Times New Roman"/>
          <w:color w:val="auto"/>
          <w:kern w:val="0"/>
          <w:sz w:val="24"/>
          <w:lang w:eastAsia="zh-CN"/>
        </w:rPr>
        <w:t>3.1-</w:t>
      </w:r>
      <w:r>
        <w:rPr>
          <w:rFonts w:hint="default" w:ascii="Times New Roman" w:hAnsi="Times New Roman" w:eastAsia="宋体" w:cs="Times New Roman"/>
          <w:color w:val="auto"/>
          <w:kern w:val="0"/>
          <w:sz w:val="24"/>
        </w:rPr>
        <w:t>3）情况，共分为三种类型。</w:t>
      </w:r>
    </w:p>
    <w:p w14:paraId="15A46EB5">
      <w:pPr>
        <w:pStyle w:val="105"/>
        <w:rPr>
          <w:rFonts w:hint="default" w:ascii="Times New Roman" w:hAnsi="Times New Roman" w:eastAsia="宋体" w:cs="Times New Roman"/>
          <w:color w:val="auto"/>
          <w:sz w:val="24"/>
          <w:szCs w:val="32"/>
        </w:rPr>
      </w:pPr>
      <w:bookmarkStart w:id="58" w:name="_Ref1727610"/>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2</w:t>
      </w:r>
      <w:bookmarkEnd w:id="58"/>
      <w:r>
        <w:rPr>
          <w:rFonts w:hint="default" w:ascii="Times New Roman" w:hAnsi="Times New Roman" w:eastAsia="宋体" w:cs="Times New Roman"/>
          <w:color w:val="auto"/>
          <w:sz w:val="24"/>
          <w:szCs w:val="32"/>
        </w:rPr>
        <w:t xml:space="preserve">  地表水功能敏感性分区</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345"/>
        <w:gridCol w:w="8509"/>
      </w:tblGrid>
      <w:tr w14:paraId="6B347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34" w:type="dxa"/>
            <w:shd w:val="clear" w:color="auto" w:fill="auto"/>
            <w:vAlign w:val="center"/>
          </w:tcPr>
          <w:p w14:paraId="42FC1041">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7178" w:type="dxa"/>
            <w:shd w:val="clear" w:color="auto" w:fill="auto"/>
            <w:vAlign w:val="center"/>
          </w:tcPr>
          <w:p w14:paraId="20AA2A0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地表水环境敏感性</w:t>
            </w:r>
          </w:p>
        </w:tc>
      </w:tr>
      <w:tr w14:paraId="0CB82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shd w:val="clear" w:color="auto" w:fill="auto"/>
            <w:vAlign w:val="center"/>
          </w:tcPr>
          <w:p w14:paraId="74D5C547">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敏感F1</w:t>
            </w:r>
          </w:p>
        </w:tc>
        <w:tc>
          <w:tcPr>
            <w:tcW w:w="7178" w:type="dxa"/>
            <w:shd w:val="clear" w:color="auto" w:fill="auto"/>
            <w:vAlign w:val="center"/>
          </w:tcPr>
          <w:p w14:paraId="5A8B9F41">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排放点进入地表水水域环境功能为Ⅱ类及以上，或海水水质分类第一类；</w:t>
            </w:r>
          </w:p>
          <w:p w14:paraId="2C36D63F">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或以事故发生时，危险物质泄漏到水体的排放点算起，排放进入受纳河流最大流速时，24h流经范围内涉跨国界的</w:t>
            </w:r>
          </w:p>
        </w:tc>
      </w:tr>
      <w:tr w14:paraId="2B537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shd w:val="clear" w:color="auto" w:fill="auto"/>
            <w:vAlign w:val="center"/>
          </w:tcPr>
          <w:p w14:paraId="0F1AB86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较敏感F2</w:t>
            </w:r>
          </w:p>
        </w:tc>
        <w:tc>
          <w:tcPr>
            <w:tcW w:w="7178" w:type="dxa"/>
            <w:shd w:val="clear" w:color="auto" w:fill="auto"/>
            <w:vAlign w:val="center"/>
          </w:tcPr>
          <w:p w14:paraId="5EA73867">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排放点进入地表水水域环境功能为Ⅲ类，或海水水质分类第二类；</w:t>
            </w:r>
          </w:p>
          <w:p w14:paraId="2D0A370E">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或以发生事故时，危险物质泄漏到水体的排放点算起，排放进入受纳河流最大流速时，24h流经范围内跨省界的</w:t>
            </w:r>
          </w:p>
        </w:tc>
      </w:tr>
      <w:tr w14:paraId="63F79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shd w:val="clear" w:color="auto" w:fill="auto"/>
            <w:vAlign w:val="center"/>
          </w:tcPr>
          <w:p w14:paraId="61C4607A">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低敏感F3</w:t>
            </w:r>
          </w:p>
        </w:tc>
        <w:tc>
          <w:tcPr>
            <w:tcW w:w="7178" w:type="dxa"/>
            <w:shd w:val="clear" w:color="auto" w:fill="auto"/>
            <w:vAlign w:val="center"/>
          </w:tcPr>
          <w:p w14:paraId="53266290">
            <w:pPr>
              <w:pStyle w:val="83"/>
              <w:keepNext w:val="0"/>
              <w:keepLines w:val="0"/>
              <w:suppressLineNumbers w:val="0"/>
              <w:spacing w:before="0" w:beforeAutospacing="0" w:after="0" w:afterAutospacing="0"/>
              <w:ind w:left="0" w:right="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上述地区之外的其他地区</w:t>
            </w:r>
          </w:p>
        </w:tc>
      </w:tr>
    </w:tbl>
    <w:p w14:paraId="3E72269B">
      <w:pPr>
        <w:pStyle w:val="105"/>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3   地表水环境敏感目标分级</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16"/>
        <w:gridCol w:w="8838"/>
      </w:tblGrid>
      <w:tr w14:paraId="52737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610F69BE">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5F66F51D">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w:t>
            </w:r>
          </w:p>
        </w:tc>
      </w:tr>
      <w:tr w14:paraId="0BA4A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3BC9AC0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8328" w:type="dxa"/>
            <w:shd w:val="clear" w:color="auto" w:fill="auto"/>
            <w:vAlign w:val="center"/>
          </w:tcPr>
          <w:p w14:paraId="0E78846C">
            <w:pPr>
              <w:pStyle w:val="83"/>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rPr>
            </w:pPr>
            <w:r>
              <w:rPr>
                <w:rFonts w:hint="default" w:ascii="Times New Roman" w:hAnsi="Times New Roman" w:eastAsia="宋体" w:cs="Times New Roman"/>
                <w:color w:val="auto"/>
              </w:rPr>
              <w:t>发生事故时，危险物质泄漏到内陆水体的排放点下游（顺水流向）10km范围内、近岸海域一个潮周期水质点可能达到的最大水平距离的两倍范围内，有如下一类或多类环境风险受体的：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592D3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20B493EB">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8328" w:type="dxa"/>
            <w:shd w:val="clear" w:color="auto" w:fill="auto"/>
            <w:vAlign w:val="center"/>
          </w:tcPr>
          <w:p w14:paraId="3B567DE0">
            <w:pPr>
              <w:pStyle w:val="83"/>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rPr>
            </w:pPr>
            <w:r>
              <w:rPr>
                <w:rFonts w:hint="default" w:ascii="Times New Roman" w:hAnsi="Times New Roman" w:eastAsia="宋体" w:cs="Times New Roman"/>
                <w:color w:val="auto"/>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00A71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70C583F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S3</w:t>
            </w:r>
          </w:p>
        </w:tc>
        <w:tc>
          <w:tcPr>
            <w:tcW w:w="8328" w:type="dxa"/>
            <w:shd w:val="clear" w:color="auto" w:fill="auto"/>
            <w:vAlign w:val="center"/>
          </w:tcPr>
          <w:p w14:paraId="5336A896">
            <w:pPr>
              <w:pStyle w:val="83"/>
              <w:keepNext w:val="0"/>
              <w:keepLines w:val="0"/>
              <w:suppressLineNumbers w:val="0"/>
              <w:spacing w:before="0" w:beforeAutospacing="0" w:after="0" w:afterAutospacing="0"/>
              <w:ind w:left="0" w:right="0"/>
              <w:jc w:val="both"/>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排放点下游（顺水流向）10km范围内、近岸海域一个潮周期水质点可能达到的最大水平距离的两倍范围内无上述类型1和类型2包括的敏感保护目标。</w:t>
            </w:r>
          </w:p>
        </w:tc>
      </w:tr>
    </w:tbl>
    <w:p w14:paraId="04FAE587">
      <w:pPr>
        <w:pStyle w:val="105"/>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4   地表水环境敏感程度分级</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977"/>
        <w:gridCol w:w="2803"/>
        <w:gridCol w:w="2556"/>
        <w:gridCol w:w="2518"/>
      </w:tblGrid>
      <w:tr w14:paraId="408C0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667" w:type="dxa"/>
            <w:vMerge w:val="restart"/>
            <w:shd w:val="clear" w:color="auto" w:fill="auto"/>
            <w:vAlign w:val="center"/>
          </w:tcPr>
          <w:p w14:paraId="4E733D0A">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w:t>
            </w:r>
          </w:p>
        </w:tc>
        <w:tc>
          <w:tcPr>
            <w:tcW w:w="6645" w:type="dxa"/>
            <w:gridSpan w:val="3"/>
            <w:shd w:val="clear" w:color="auto" w:fill="auto"/>
            <w:vAlign w:val="center"/>
          </w:tcPr>
          <w:p w14:paraId="338CD957">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地表水环境敏感性</w:t>
            </w:r>
          </w:p>
        </w:tc>
      </w:tr>
      <w:tr w14:paraId="3613A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dxa"/>
            <w:vMerge w:val="continue"/>
            <w:shd w:val="clear" w:color="auto" w:fill="auto"/>
            <w:vAlign w:val="center"/>
          </w:tcPr>
          <w:p w14:paraId="4919D3BE">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p>
        </w:tc>
        <w:tc>
          <w:tcPr>
            <w:tcW w:w="2365" w:type="dxa"/>
            <w:shd w:val="clear" w:color="auto" w:fill="auto"/>
            <w:vAlign w:val="center"/>
          </w:tcPr>
          <w:p w14:paraId="2A4E619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F1</w:t>
            </w:r>
          </w:p>
        </w:tc>
        <w:tc>
          <w:tcPr>
            <w:tcW w:w="2155" w:type="dxa"/>
            <w:shd w:val="clear" w:color="auto" w:fill="auto"/>
            <w:vAlign w:val="center"/>
          </w:tcPr>
          <w:p w14:paraId="3C266D54">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F2</w:t>
            </w:r>
          </w:p>
        </w:tc>
        <w:tc>
          <w:tcPr>
            <w:tcW w:w="2125" w:type="dxa"/>
            <w:shd w:val="clear" w:color="auto" w:fill="auto"/>
            <w:vAlign w:val="center"/>
          </w:tcPr>
          <w:p w14:paraId="4305C980">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F3</w:t>
            </w:r>
          </w:p>
        </w:tc>
      </w:tr>
      <w:tr w14:paraId="3F14C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dxa"/>
            <w:shd w:val="clear" w:color="auto" w:fill="auto"/>
            <w:vAlign w:val="center"/>
          </w:tcPr>
          <w:p w14:paraId="08AB56FA">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2365" w:type="dxa"/>
            <w:shd w:val="clear" w:color="auto" w:fill="auto"/>
            <w:vAlign w:val="center"/>
          </w:tcPr>
          <w:p w14:paraId="1DAF5162">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55" w:type="dxa"/>
            <w:shd w:val="clear" w:color="auto" w:fill="auto"/>
            <w:vAlign w:val="center"/>
          </w:tcPr>
          <w:p w14:paraId="46471AE8">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25" w:type="dxa"/>
            <w:shd w:val="clear" w:color="auto" w:fill="auto"/>
            <w:vAlign w:val="center"/>
          </w:tcPr>
          <w:p w14:paraId="52DA123A">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r>
      <w:tr w14:paraId="304CB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dxa"/>
            <w:shd w:val="clear" w:color="auto" w:fill="auto"/>
            <w:vAlign w:val="center"/>
          </w:tcPr>
          <w:p w14:paraId="4CE57C2E">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2365" w:type="dxa"/>
            <w:shd w:val="clear" w:color="auto" w:fill="auto"/>
            <w:vAlign w:val="center"/>
          </w:tcPr>
          <w:p w14:paraId="0785E5EB">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55" w:type="dxa"/>
            <w:shd w:val="clear" w:color="auto" w:fill="auto"/>
            <w:vAlign w:val="center"/>
          </w:tcPr>
          <w:p w14:paraId="2685E0F7">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125" w:type="dxa"/>
            <w:shd w:val="clear" w:color="auto" w:fill="auto"/>
            <w:vAlign w:val="center"/>
          </w:tcPr>
          <w:p w14:paraId="0815E95E">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3B2E9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dxa"/>
            <w:shd w:val="clear" w:color="auto" w:fill="auto"/>
            <w:vAlign w:val="center"/>
          </w:tcPr>
          <w:p w14:paraId="1CDA85D4">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S3</w:t>
            </w:r>
          </w:p>
        </w:tc>
        <w:tc>
          <w:tcPr>
            <w:tcW w:w="2365" w:type="dxa"/>
            <w:shd w:val="clear" w:color="auto" w:fill="auto"/>
            <w:vAlign w:val="center"/>
          </w:tcPr>
          <w:p w14:paraId="09EF3040">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55" w:type="dxa"/>
            <w:shd w:val="clear" w:color="auto" w:fill="auto"/>
            <w:vAlign w:val="center"/>
          </w:tcPr>
          <w:p w14:paraId="47E224EA">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125" w:type="dxa"/>
            <w:shd w:val="clear" w:color="auto" w:fill="auto"/>
            <w:vAlign w:val="center"/>
          </w:tcPr>
          <w:p w14:paraId="4E84C361">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E3</w:t>
            </w:r>
          </w:p>
        </w:tc>
      </w:tr>
    </w:tbl>
    <w:p w14:paraId="1A776A0F">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项目位于</w:t>
      </w:r>
      <w:r>
        <w:rPr>
          <w:rFonts w:hint="eastAsia" w:cs="Times New Roman"/>
          <w:color w:val="auto"/>
          <w:kern w:val="0"/>
          <w:sz w:val="24"/>
          <w:szCs w:val="24"/>
          <w:lang w:eastAsia="zh-CN"/>
        </w:rPr>
        <w:t>淄博市淄川区双杨镇小庄村沿河路东部现有厂房</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szCs w:val="24"/>
          <w:lang w:val="en-US" w:eastAsia="zh-CN"/>
        </w:rPr>
        <w:t>本项目厂内拟设置</w:t>
      </w:r>
      <w:r>
        <w:rPr>
          <w:rFonts w:hint="default" w:ascii="Times New Roman" w:hAnsi="Times New Roman" w:eastAsia="宋体" w:cs="Times New Roman"/>
          <w:color w:val="auto"/>
          <w:kern w:val="0"/>
          <w:sz w:val="24"/>
          <w:szCs w:val="24"/>
        </w:rPr>
        <w:t>三级防控体系，因此本项目事故废水可以做到控制在本厂界内，且厂区距离</w:t>
      </w:r>
      <w:r>
        <w:rPr>
          <w:rFonts w:hint="eastAsia" w:cs="Times New Roman"/>
          <w:bCs/>
          <w:snapToGrid w:val="0"/>
          <w:color w:val="auto"/>
          <w:kern w:val="0"/>
          <w:sz w:val="24"/>
          <w:szCs w:val="24"/>
          <w:highlight w:val="none"/>
          <w:lang w:val="en-US" w:eastAsia="zh-CN"/>
        </w:rPr>
        <w:t>孝妇河</w:t>
      </w:r>
      <w:r>
        <w:rPr>
          <w:rFonts w:hint="default" w:ascii="Times New Roman" w:hAnsi="Times New Roman" w:eastAsia="宋体" w:cs="Times New Roman"/>
          <w:color w:val="auto"/>
          <w:kern w:val="0"/>
          <w:sz w:val="24"/>
          <w:szCs w:val="24"/>
        </w:rPr>
        <w:t>较远，即便项目发生事故，事故废水也不会汇流至该河流，因此本项目事故状态下事故废水不会对</w:t>
      </w:r>
      <w:r>
        <w:rPr>
          <w:rFonts w:hint="eastAsia" w:cs="Times New Roman"/>
          <w:bCs/>
          <w:snapToGrid w:val="0"/>
          <w:color w:val="auto"/>
          <w:kern w:val="0"/>
          <w:sz w:val="24"/>
          <w:szCs w:val="24"/>
          <w:highlight w:val="none"/>
          <w:lang w:val="en-US" w:eastAsia="zh-CN"/>
        </w:rPr>
        <w:t>孝妇河</w:t>
      </w:r>
      <w:r>
        <w:rPr>
          <w:rFonts w:hint="default" w:ascii="Times New Roman" w:hAnsi="Times New Roman" w:eastAsia="宋体" w:cs="Times New Roman"/>
          <w:color w:val="auto"/>
          <w:kern w:val="0"/>
          <w:sz w:val="24"/>
          <w:szCs w:val="24"/>
        </w:rPr>
        <w:t>水质产生影响。</w:t>
      </w:r>
    </w:p>
    <w:p w14:paraId="292F03C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综上可知，本项目地表水功能敏感性分区为低敏感（F3），环境敏感目标分级为S3。因此根据导则附录D中表D.2，本项目地表水环境敏感程度分级为环境低度敏感区（E3）。</w:t>
      </w:r>
    </w:p>
    <w:p w14:paraId="40405A7A">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3、地下水环境</w:t>
      </w:r>
    </w:p>
    <w:p w14:paraId="7933810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依据地下水环境敏感性与包气带防污性能，共分为三种类型。</w:t>
      </w:r>
    </w:p>
    <w:p w14:paraId="7A0C5FD0">
      <w:pPr>
        <w:pStyle w:val="105"/>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5   地下水功能敏感性分区</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16"/>
        <w:gridCol w:w="8838"/>
      </w:tblGrid>
      <w:tr w14:paraId="75A7B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5DFCF474">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5451A5F8">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地下水环境敏感特征</w:t>
            </w:r>
          </w:p>
        </w:tc>
      </w:tr>
      <w:tr w14:paraId="11B9A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5181E8A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敏感G1</w:t>
            </w:r>
          </w:p>
        </w:tc>
        <w:tc>
          <w:tcPr>
            <w:tcW w:w="8328" w:type="dxa"/>
            <w:shd w:val="clear" w:color="auto" w:fill="auto"/>
            <w:vAlign w:val="center"/>
          </w:tcPr>
          <w:p w14:paraId="35620FF9">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集中式饮用水水源（包括已建成的、备用、应急水源，在建和规划的饮用水水源）准保护区；除了集中式饮用水水源以外的国家或地方政府设定的与地下水环境相关的其他保护区，如热水、矿泉水、温泉等特殊地下水资源保护区</w:t>
            </w:r>
          </w:p>
        </w:tc>
      </w:tr>
      <w:tr w14:paraId="5A390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04673D8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较敏感G2</w:t>
            </w:r>
          </w:p>
        </w:tc>
        <w:tc>
          <w:tcPr>
            <w:tcW w:w="8328" w:type="dxa"/>
            <w:shd w:val="clear" w:color="auto" w:fill="auto"/>
            <w:vAlign w:val="center"/>
          </w:tcPr>
          <w:p w14:paraId="107F42C4">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集中式饮用水水源（包括已建成的、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p>
        </w:tc>
      </w:tr>
      <w:tr w14:paraId="5237A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310C5BCD">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不敏感G3</w:t>
            </w:r>
          </w:p>
        </w:tc>
        <w:tc>
          <w:tcPr>
            <w:tcW w:w="8328" w:type="dxa"/>
            <w:shd w:val="clear" w:color="auto" w:fill="auto"/>
            <w:vAlign w:val="center"/>
          </w:tcPr>
          <w:p w14:paraId="04B94DBC">
            <w:pPr>
              <w:pStyle w:val="83"/>
              <w:keepNext w:val="0"/>
              <w:keepLines w:val="0"/>
              <w:suppressLineNumbers w:val="0"/>
              <w:spacing w:before="0" w:beforeAutospacing="0" w:after="0" w:afterAutospacing="0"/>
              <w:ind w:left="0" w:right="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上述地区之外的其他地区</w:t>
            </w:r>
          </w:p>
        </w:tc>
      </w:tr>
    </w:tbl>
    <w:p w14:paraId="0F468397">
      <w:pPr>
        <w:pStyle w:val="105"/>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6   包气带防污性能分级</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16"/>
        <w:gridCol w:w="8838"/>
      </w:tblGrid>
      <w:tr w14:paraId="1C4BC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373E446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32643C7B">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包气带岩土的渗透性能</w:t>
            </w:r>
          </w:p>
        </w:tc>
      </w:tr>
      <w:tr w14:paraId="75581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55FAD93D">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D3</w:t>
            </w:r>
          </w:p>
        </w:tc>
        <w:tc>
          <w:tcPr>
            <w:tcW w:w="8328" w:type="dxa"/>
            <w:shd w:val="clear" w:color="auto" w:fill="auto"/>
            <w:vAlign w:val="center"/>
          </w:tcPr>
          <w:p w14:paraId="5E3A5493">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Mb≥1.0m，K≤1.0☓10</w:t>
            </w:r>
            <w:r>
              <w:rPr>
                <w:rFonts w:hint="default" w:ascii="Times New Roman" w:hAnsi="Times New Roman" w:eastAsia="宋体" w:cs="Times New Roman"/>
                <w:color w:val="auto"/>
                <w:vertAlign w:val="superscript"/>
              </w:rPr>
              <w:t>-6</w:t>
            </w:r>
            <w:r>
              <w:rPr>
                <w:rFonts w:hint="default" w:ascii="Times New Roman" w:hAnsi="Times New Roman" w:eastAsia="宋体" w:cs="Times New Roman"/>
                <w:color w:val="auto"/>
              </w:rPr>
              <w:t>cm/s，且分布连续、稳定</w:t>
            </w:r>
          </w:p>
        </w:tc>
      </w:tr>
      <w:tr w14:paraId="60758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35DD7853">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D2</w:t>
            </w:r>
          </w:p>
        </w:tc>
        <w:tc>
          <w:tcPr>
            <w:tcW w:w="8328" w:type="dxa"/>
            <w:shd w:val="clear" w:color="auto" w:fill="auto"/>
            <w:vAlign w:val="center"/>
          </w:tcPr>
          <w:p w14:paraId="5F1A9EA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0.5m≤Mb＜1.0m，K≤1.0☓10</w:t>
            </w:r>
            <w:r>
              <w:rPr>
                <w:rFonts w:hint="default" w:ascii="Times New Roman" w:hAnsi="Times New Roman" w:eastAsia="宋体" w:cs="Times New Roman"/>
                <w:b/>
                <w:bCs/>
                <w:color w:val="auto"/>
                <w:vertAlign w:val="superscript"/>
              </w:rPr>
              <w:t>-6</w:t>
            </w:r>
            <w:r>
              <w:rPr>
                <w:rFonts w:hint="default" w:ascii="Times New Roman" w:hAnsi="Times New Roman" w:eastAsia="宋体" w:cs="Times New Roman"/>
                <w:b/>
                <w:bCs/>
                <w:color w:val="auto"/>
              </w:rPr>
              <w:t>cm/s，且分布连续、稳定</w:t>
            </w:r>
          </w:p>
          <w:p w14:paraId="2686A2B5">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Mb≥1.0m，1.0☓10</w:t>
            </w:r>
            <w:r>
              <w:rPr>
                <w:rFonts w:hint="default" w:ascii="Times New Roman" w:hAnsi="Times New Roman" w:eastAsia="宋体" w:cs="Times New Roman"/>
                <w:b/>
                <w:bCs/>
                <w:color w:val="auto"/>
                <w:vertAlign w:val="superscript"/>
              </w:rPr>
              <w:t>-6</w:t>
            </w:r>
            <w:r>
              <w:rPr>
                <w:rFonts w:hint="default" w:ascii="Times New Roman" w:hAnsi="Times New Roman" w:eastAsia="宋体" w:cs="Times New Roman"/>
                <w:b/>
                <w:bCs/>
                <w:color w:val="auto"/>
              </w:rPr>
              <w:t>cm/s＜K≤1.0☓10</w:t>
            </w:r>
            <w:r>
              <w:rPr>
                <w:rFonts w:hint="default" w:ascii="Times New Roman" w:hAnsi="Times New Roman" w:eastAsia="宋体" w:cs="Times New Roman"/>
                <w:b/>
                <w:bCs/>
                <w:color w:val="auto"/>
                <w:vertAlign w:val="superscript"/>
              </w:rPr>
              <w:t>-4</w:t>
            </w:r>
            <w:r>
              <w:rPr>
                <w:rFonts w:hint="default" w:ascii="Times New Roman" w:hAnsi="Times New Roman" w:eastAsia="宋体" w:cs="Times New Roman"/>
                <w:b/>
                <w:bCs/>
                <w:color w:val="auto"/>
              </w:rPr>
              <w:t>cm/s，且分布连续、稳定</w:t>
            </w:r>
          </w:p>
        </w:tc>
      </w:tr>
      <w:tr w14:paraId="4D827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2242035D">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D1</w:t>
            </w:r>
          </w:p>
        </w:tc>
        <w:tc>
          <w:tcPr>
            <w:tcW w:w="8328" w:type="dxa"/>
            <w:shd w:val="clear" w:color="auto" w:fill="auto"/>
            <w:vAlign w:val="center"/>
          </w:tcPr>
          <w:p w14:paraId="5F57313B">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岩土层不满足上述“D2”和“D3”条件</w:t>
            </w:r>
          </w:p>
        </w:tc>
      </w:tr>
      <w:tr w14:paraId="27474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6" w:type="dxa"/>
            <w:gridSpan w:val="2"/>
            <w:shd w:val="clear" w:color="auto" w:fill="auto"/>
            <w:vAlign w:val="center"/>
          </w:tcPr>
          <w:p w14:paraId="627638FC">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Mb：岩土层单层厚度；K：渗透系数。</w:t>
            </w:r>
          </w:p>
        </w:tc>
      </w:tr>
    </w:tbl>
    <w:p w14:paraId="76E444B5">
      <w:pPr>
        <w:pStyle w:val="105"/>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7   地下水环境敏感程度分级</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969"/>
        <w:gridCol w:w="2809"/>
        <w:gridCol w:w="2556"/>
        <w:gridCol w:w="2520"/>
      </w:tblGrid>
      <w:tr w14:paraId="6B54C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55" w:type="dxa"/>
            <w:vMerge w:val="restart"/>
            <w:shd w:val="clear" w:color="auto" w:fill="auto"/>
            <w:vAlign w:val="center"/>
          </w:tcPr>
          <w:p w14:paraId="1EF0CB71">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w:t>
            </w:r>
          </w:p>
        </w:tc>
        <w:tc>
          <w:tcPr>
            <w:tcW w:w="7431" w:type="dxa"/>
            <w:gridSpan w:val="3"/>
            <w:shd w:val="clear" w:color="auto" w:fill="auto"/>
            <w:vAlign w:val="center"/>
          </w:tcPr>
          <w:p w14:paraId="3639BEB5">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地下水功能敏感性</w:t>
            </w:r>
          </w:p>
        </w:tc>
      </w:tr>
      <w:tr w14:paraId="16BC1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vMerge w:val="continue"/>
            <w:shd w:val="clear" w:color="auto" w:fill="auto"/>
            <w:vAlign w:val="center"/>
          </w:tcPr>
          <w:p w14:paraId="6769BFA7">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p>
        </w:tc>
        <w:tc>
          <w:tcPr>
            <w:tcW w:w="2647" w:type="dxa"/>
            <w:shd w:val="clear" w:color="auto" w:fill="auto"/>
            <w:vAlign w:val="center"/>
          </w:tcPr>
          <w:p w14:paraId="3E650EAF">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G1</w:t>
            </w:r>
          </w:p>
        </w:tc>
        <w:tc>
          <w:tcPr>
            <w:tcW w:w="2409" w:type="dxa"/>
            <w:shd w:val="clear" w:color="auto" w:fill="auto"/>
            <w:vAlign w:val="center"/>
          </w:tcPr>
          <w:p w14:paraId="174C9102">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G2</w:t>
            </w:r>
          </w:p>
        </w:tc>
        <w:tc>
          <w:tcPr>
            <w:tcW w:w="2375" w:type="dxa"/>
            <w:shd w:val="clear" w:color="auto" w:fill="auto"/>
            <w:vAlign w:val="center"/>
          </w:tcPr>
          <w:p w14:paraId="7C7BFEF3">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G3</w:t>
            </w:r>
          </w:p>
        </w:tc>
      </w:tr>
      <w:tr w14:paraId="7ECC3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shd w:val="clear" w:color="auto" w:fill="auto"/>
            <w:vAlign w:val="center"/>
          </w:tcPr>
          <w:p w14:paraId="50507FA8">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D1</w:t>
            </w:r>
          </w:p>
        </w:tc>
        <w:tc>
          <w:tcPr>
            <w:tcW w:w="2647" w:type="dxa"/>
            <w:shd w:val="clear" w:color="auto" w:fill="auto"/>
            <w:vAlign w:val="center"/>
          </w:tcPr>
          <w:p w14:paraId="2F5653A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409" w:type="dxa"/>
            <w:shd w:val="clear" w:color="auto" w:fill="auto"/>
            <w:vAlign w:val="center"/>
          </w:tcPr>
          <w:p w14:paraId="6CF3E7AD">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rPr>
            </w:pPr>
            <w:r>
              <w:rPr>
                <w:rFonts w:hint="default" w:ascii="Times New Roman" w:hAnsi="Times New Roman" w:eastAsia="宋体" w:cs="Times New Roman"/>
                <w:color w:val="auto"/>
              </w:rPr>
              <w:t>E1</w:t>
            </w:r>
          </w:p>
        </w:tc>
        <w:tc>
          <w:tcPr>
            <w:tcW w:w="2375" w:type="dxa"/>
            <w:shd w:val="clear" w:color="auto" w:fill="auto"/>
            <w:vAlign w:val="center"/>
          </w:tcPr>
          <w:p w14:paraId="08840837">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r>
      <w:tr w14:paraId="4380A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shd w:val="clear" w:color="auto" w:fill="auto"/>
            <w:vAlign w:val="center"/>
          </w:tcPr>
          <w:p w14:paraId="2185C399">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D2</w:t>
            </w:r>
          </w:p>
        </w:tc>
        <w:tc>
          <w:tcPr>
            <w:tcW w:w="2647" w:type="dxa"/>
            <w:shd w:val="clear" w:color="auto" w:fill="auto"/>
            <w:vAlign w:val="center"/>
          </w:tcPr>
          <w:p w14:paraId="4B8AF660">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409" w:type="dxa"/>
            <w:shd w:val="clear" w:color="auto" w:fill="auto"/>
            <w:vAlign w:val="center"/>
          </w:tcPr>
          <w:p w14:paraId="5646D4AE">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375" w:type="dxa"/>
            <w:shd w:val="clear" w:color="auto" w:fill="auto"/>
            <w:vAlign w:val="center"/>
          </w:tcPr>
          <w:p w14:paraId="4560FFBE">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E3</w:t>
            </w:r>
          </w:p>
        </w:tc>
      </w:tr>
      <w:tr w14:paraId="5F077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shd w:val="clear" w:color="auto" w:fill="auto"/>
            <w:vAlign w:val="center"/>
          </w:tcPr>
          <w:p w14:paraId="7A713BE6">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D3</w:t>
            </w:r>
          </w:p>
        </w:tc>
        <w:tc>
          <w:tcPr>
            <w:tcW w:w="2647" w:type="dxa"/>
            <w:shd w:val="clear" w:color="auto" w:fill="auto"/>
            <w:vAlign w:val="center"/>
          </w:tcPr>
          <w:p w14:paraId="6D5C34F2">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409" w:type="dxa"/>
            <w:shd w:val="clear" w:color="auto" w:fill="auto"/>
            <w:vAlign w:val="center"/>
          </w:tcPr>
          <w:p w14:paraId="5F3E669B">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c>
          <w:tcPr>
            <w:tcW w:w="2375" w:type="dxa"/>
            <w:shd w:val="clear" w:color="auto" w:fill="auto"/>
            <w:vAlign w:val="center"/>
          </w:tcPr>
          <w:p w14:paraId="6C255663">
            <w:pPr>
              <w:pStyle w:val="8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bl>
    <w:p w14:paraId="65FACF8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根据现场勘查及资料分析，本项目位于</w:t>
      </w:r>
      <w:r>
        <w:rPr>
          <w:rFonts w:hint="eastAsia" w:cs="Times New Roman"/>
          <w:color w:val="auto"/>
          <w:kern w:val="0"/>
          <w:sz w:val="24"/>
          <w:lang w:eastAsia="zh-CN"/>
        </w:rPr>
        <w:t>淄博市淄川区双杨镇小庄村沿河路东部现有厂房</w:t>
      </w:r>
      <w:r>
        <w:rPr>
          <w:rFonts w:hint="default" w:ascii="Times New Roman" w:hAnsi="Times New Roman" w:eastAsia="宋体" w:cs="Times New Roman"/>
          <w:color w:val="auto"/>
          <w:kern w:val="0"/>
          <w:sz w:val="24"/>
        </w:rPr>
        <w:t>，周围无</w:t>
      </w:r>
      <w:r>
        <w:rPr>
          <w:rFonts w:hint="default" w:ascii="Times New Roman" w:hAnsi="Times New Roman" w:eastAsia="宋体" w:cs="Times New Roman"/>
          <w:color w:val="auto"/>
          <w:sz w:val="24"/>
        </w:rPr>
        <w:t>环境敏感区。</w:t>
      </w:r>
    </w:p>
    <w:p w14:paraId="721E83B6">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因此，本项目地下水功能敏感性分区为不敏感（G3），包气带防污性能分级为D</w:t>
      </w:r>
      <w:r>
        <w:rPr>
          <w:rFonts w:hint="eastAsia" w:cs="Times New Roman"/>
          <w:color w:val="auto"/>
          <w:kern w:val="0"/>
          <w:sz w:val="24"/>
          <w:lang w:val="en-US" w:eastAsia="zh-CN"/>
        </w:rPr>
        <w:t>2</w:t>
      </w:r>
      <w:r>
        <w:rPr>
          <w:rFonts w:hint="default" w:ascii="Times New Roman" w:hAnsi="Times New Roman" w:eastAsia="宋体" w:cs="Times New Roman"/>
          <w:color w:val="auto"/>
          <w:kern w:val="0"/>
          <w:sz w:val="24"/>
        </w:rPr>
        <w:t>。因此根据导则附录D中表D.5，本项目地下水环境敏感程度分级为环境低度敏感区（E3）。</w:t>
      </w:r>
    </w:p>
    <w:p w14:paraId="5C28C85F">
      <w:pPr>
        <w:keepNext/>
        <w:keepLines/>
        <w:widowControl/>
        <w:spacing w:before="120" w:after="120" w:line="360" w:lineRule="auto"/>
        <w:outlineLvl w:val="2"/>
        <w:rPr>
          <w:rFonts w:hint="default" w:ascii="Times New Roman" w:hAnsi="Times New Roman" w:eastAsia="宋体" w:cs="Times New Roman"/>
          <w:b/>
          <w:bCs/>
          <w:color w:val="auto"/>
          <w:kern w:val="0"/>
          <w:sz w:val="30"/>
          <w:szCs w:val="30"/>
        </w:rPr>
      </w:pPr>
      <w:bookmarkStart w:id="59" w:name="_Toc23046"/>
      <w:r>
        <w:rPr>
          <w:rFonts w:hint="default" w:ascii="Times New Roman" w:hAnsi="Times New Roman" w:eastAsia="宋体" w:cs="Times New Roman"/>
          <w:b/>
          <w:bCs/>
          <w:color w:val="auto"/>
          <w:kern w:val="0"/>
          <w:sz w:val="30"/>
          <w:szCs w:val="30"/>
          <w:lang w:val="en-US" w:eastAsia="zh-CN"/>
        </w:rPr>
        <w:t>3.</w:t>
      </w:r>
      <w:r>
        <w:rPr>
          <w:rFonts w:hint="default" w:ascii="Times New Roman" w:hAnsi="Times New Roman" w:eastAsia="宋体" w:cs="Times New Roman"/>
          <w:b/>
          <w:bCs/>
          <w:color w:val="auto"/>
          <w:kern w:val="0"/>
          <w:sz w:val="30"/>
          <w:szCs w:val="30"/>
        </w:rPr>
        <w:t>2 危险物质及工艺系统危险性（P）的确定</w:t>
      </w:r>
      <w:bookmarkEnd w:id="59"/>
    </w:p>
    <w:p w14:paraId="185372A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1、Q值的确定</w:t>
      </w:r>
    </w:p>
    <w:p w14:paraId="1B8C824D">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计算所涉及的每种环境风险物质在厂界内的最大存在总量与其在《建设项目环境风险评价技术导则》（HJ169-2018）附录 B 中对应的临界量的比值</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Q</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w:t>
      </w:r>
    </w:p>
    <w:p w14:paraId="7A26CDB6">
      <w:pPr>
        <w:spacing w:line="360" w:lineRule="auto"/>
        <w:ind w:firstLine="480" w:firstLineChars="200"/>
        <w:rPr>
          <w:rFonts w:hint="default" w:ascii="Times New Roman" w:hAnsi="Times New Roman" w:eastAsia="宋体" w:cs="Times New Roman"/>
          <w:color w:val="auto"/>
          <w:kern w:val="0"/>
          <w:sz w:val="28"/>
          <w:szCs w:val="28"/>
        </w:rPr>
      </w:pPr>
      <w:r>
        <w:rPr>
          <w:rFonts w:hint="default" w:ascii="Times New Roman" w:hAnsi="Times New Roman" w:eastAsia="宋体" w:cs="Times New Roman"/>
          <w:color w:val="auto"/>
          <w:kern w:val="0"/>
          <w:sz w:val="24"/>
        </w:rPr>
        <w:t>计算公式如下：</w:t>
      </w:r>
    </w:p>
    <w:p w14:paraId="1752E8EA">
      <w:pPr>
        <w:spacing w:line="360" w:lineRule="auto"/>
        <w:ind w:firstLine="56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8"/>
        </w:rPr>
        <mc:AlternateContent>
          <mc:Choice Requires="wps">
            <w:drawing>
              <wp:anchor distT="0" distB="0" distL="114300" distR="114300" simplePos="0" relativeHeight="251696128" behindDoc="0" locked="0" layoutInCell="1" allowOverlap="1">
                <wp:simplePos x="0" y="0"/>
                <wp:positionH relativeFrom="column">
                  <wp:posOffset>1309370</wp:posOffset>
                </wp:positionH>
                <wp:positionV relativeFrom="paragraph">
                  <wp:posOffset>412750</wp:posOffset>
                </wp:positionV>
                <wp:extent cx="2058035" cy="676275"/>
                <wp:effectExtent l="0" t="0" r="18415" b="9525"/>
                <wp:wrapNone/>
                <wp:docPr id="123" name="矩形 123"/>
                <wp:cNvGraphicFramePr/>
                <a:graphic xmlns:a="http://schemas.openxmlformats.org/drawingml/2006/main">
                  <a:graphicData uri="http://schemas.microsoft.com/office/word/2010/wordprocessingShape">
                    <wps:wsp>
                      <wps:cNvSpPr/>
                      <wps:spPr>
                        <a:xfrm>
                          <a:off x="0" y="0"/>
                          <a:ext cx="2058035" cy="676275"/>
                        </a:xfrm>
                        <a:prstGeom prst="rect">
                          <a:avLst/>
                        </a:prstGeom>
                        <a:solidFill>
                          <a:srgbClr val="FFFFFF"/>
                        </a:solidFill>
                        <a:ln w="9525">
                          <a:noFill/>
                        </a:ln>
                      </wps:spPr>
                      <wps:txbx>
                        <w:txbxContent>
                          <w:p w14:paraId="69E5F293">
                            <w:r>
                              <w:drawing>
                                <wp:inline distT="0" distB="0" distL="114300" distR="114300">
                                  <wp:extent cx="1862455" cy="598170"/>
                                  <wp:effectExtent l="0" t="0" r="4445" b="11430"/>
                                  <wp:docPr id="5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5"/>
                                          <pic:cNvPicPr>
                                            <a:picLocks noChangeAspect="1"/>
                                          </pic:cNvPicPr>
                                        </pic:nvPicPr>
                                        <pic:blipFill>
                                          <a:blip r:embed="rId52"/>
                                          <a:stretch>
                                            <a:fillRect/>
                                          </a:stretch>
                                        </pic:blipFill>
                                        <pic:spPr>
                                          <a:xfrm>
                                            <a:off x="0" y="0"/>
                                            <a:ext cx="1862455" cy="598170"/>
                                          </a:xfrm>
                                          <a:prstGeom prst="rect">
                                            <a:avLst/>
                                          </a:prstGeom>
                                          <a:noFill/>
                                          <a:ln w="9525">
                                            <a:noFill/>
                                          </a:ln>
                                        </pic:spPr>
                                      </pic:pic>
                                    </a:graphicData>
                                  </a:graphic>
                                </wp:inline>
                              </w:drawing>
                            </w:r>
                          </w:p>
                        </w:txbxContent>
                      </wps:txbx>
                      <wps:bodyPr upright="1"/>
                    </wps:wsp>
                  </a:graphicData>
                </a:graphic>
              </wp:anchor>
            </w:drawing>
          </mc:Choice>
          <mc:Fallback>
            <w:pict>
              <v:rect id="_x0000_s1026" o:spid="_x0000_s1026" o:spt="1" style="position:absolute;left:0pt;margin-left:103.1pt;margin-top:32.5pt;height:53.25pt;width:162.05pt;z-index:251696128;mso-width-relative:page;mso-height-relative:page;" fillcolor="#FFFFFF" filled="t" stroked="f" coordsize="21600,21600" o:gfxdata="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sRGT9cAAAAKAQAADwAAAAAAAAABACAAAAAiAAAAZHJzL2Rvd25yZXYueG1s&#10;UEsBAhQAFAAAAAgAh07iQHqKbrzAAQAAdwMAAA4AAAAAAAAAAQAgAAAAJgEAAGRycy9lMm9Eb2Mu&#10;eG1sUEsFBgAAAAAGAAYAWQEAAFgFAAAAAA==&#10;">
                <v:fill on="t" focussize="0,0"/>
                <v:stroke on="f"/>
                <v:imagedata o:title=""/>
                <o:lock v:ext="edit" aspectratio="f"/>
                <v:textbox>
                  <w:txbxContent>
                    <w:p w14:paraId="69E5F293">
                      <w:r>
                        <w:drawing>
                          <wp:inline distT="0" distB="0" distL="114300" distR="114300">
                            <wp:extent cx="1862455" cy="598170"/>
                            <wp:effectExtent l="0" t="0" r="4445" b="11430"/>
                            <wp:docPr id="5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5"/>
                                    <pic:cNvPicPr>
                                      <a:picLocks noChangeAspect="1"/>
                                    </pic:cNvPicPr>
                                  </pic:nvPicPr>
                                  <pic:blipFill>
                                    <a:blip r:embed="rId52"/>
                                    <a:stretch>
                                      <a:fillRect/>
                                    </a:stretch>
                                  </pic:blipFill>
                                  <pic:spPr>
                                    <a:xfrm>
                                      <a:off x="0" y="0"/>
                                      <a:ext cx="1862455" cy="598170"/>
                                    </a:xfrm>
                                    <a:prstGeom prst="rect">
                                      <a:avLst/>
                                    </a:prstGeom>
                                    <a:noFill/>
                                    <a:ln w="9525">
                                      <a:noFill/>
                                    </a:ln>
                                  </pic:spPr>
                                </pic:pic>
                              </a:graphicData>
                            </a:graphic>
                          </wp:inline>
                        </w:drawing>
                      </w:r>
                    </w:p>
                  </w:txbxContent>
                </v:textbox>
              </v:rect>
            </w:pict>
          </mc:Fallback>
        </mc:AlternateContent>
      </w:r>
      <w:r>
        <w:rPr>
          <w:rFonts w:hint="default" w:ascii="Times New Roman" w:hAnsi="Times New Roman" w:eastAsia="宋体" w:cs="Times New Roman"/>
          <w:color w:val="auto"/>
          <w:sz w:val="24"/>
        </w:rPr>
        <w:t>单元存在的危险物质为多品种时，则按下式计算，若满足下式，则定为重大危险源。</w:t>
      </w:r>
    </w:p>
    <w:p w14:paraId="7F40E0D9">
      <w:pPr>
        <w:spacing w:line="360" w:lineRule="auto"/>
        <w:ind w:firstLine="480" w:firstLineChars="200"/>
        <w:rPr>
          <w:rFonts w:hint="default" w:ascii="Times New Roman" w:hAnsi="Times New Roman" w:eastAsia="宋体" w:cs="Times New Roman"/>
          <w:color w:val="FF0000"/>
          <w:sz w:val="24"/>
        </w:rPr>
      </w:pPr>
    </w:p>
    <w:p w14:paraId="64E70533">
      <w:pPr>
        <w:pStyle w:val="2"/>
        <w:rPr>
          <w:rFonts w:hint="default" w:ascii="Times New Roman" w:hAnsi="Times New Roman" w:eastAsia="宋体" w:cs="Times New Roman"/>
          <w:color w:val="FF0000"/>
        </w:rPr>
      </w:pPr>
    </w:p>
    <w:p w14:paraId="2259E5F6">
      <w:pPr>
        <w:pStyle w:val="2"/>
        <w:rPr>
          <w:rFonts w:hint="default" w:ascii="Times New Roman" w:hAnsi="Times New Roman" w:eastAsia="宋体" w:cs="Times New Roman"/>
          <w:color w:val="auto"/>
        </w:rPr>
      </w:pPr>
    </w:p>
    <w:p w14:paraId="6108DC46">
      <w:pPr>
        <w:rPr>
          <w:rFonts w:hint="default" w:ascii="Times New Roman" w:hAnsi="Times New Roman" w:eastAsia="宋体" w:cs="Times New Roman"/>
          <w:color w:val="auto"/>
        </w:rPr>
      </w:pPr>
    </w:p>
    <w:p w14:paraId="2C82A5D7">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式中：q</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w:t>
      </w:r>
      <w:r>
        <w:rPr>
          <w:rFonts w:hint="default" w:ascii="Times New Roman" w:hAnsi="Times New Roman" w:eastAsia="宋体" w:cs="Times New Roman"/>
          <w:color w:val="auto"/>
          <w:sz w:val="24"/>
        </w:rPr>
        <w:t>——每种危险物质实际存在量，t；</w:t>
      </w:r>
    </w:p>
    <w:p w14:paraId="085E67C7">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w:t>
      </w:r>
      <w:r>
        <w:rPr>
          <w:rFonts w:hint="default" w:ascii="Times New Roman" w:hAnsi="Times New Roman" w:eastAsia="宋体" w:cs="Times New Roman"/>
          <w:color w:val="auto"/>
          <w:sz w:val="24"/>
        </w:rPr>
        <w:t>——与各危险物质相对应的生产场所或贮存区的临界量，t。</w:t>
      </w:r>
    </w:p>
    <w:p w14:paraId="2C485EE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计算出Q值后，当Q＜1 时，该项目环境风险潜势为I。</w:t>
      </w:r>
    </w:p>
    <w:p w14:paraId="55C58AAF">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当Q≥1时，将Q值划分为：</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1)1≤Q＜10；</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2)10≤Q＜100；</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3)Q≥100，分别以Q</w:t>
      </w:r>
      <w:r>
        <w:rPr>
          <w:rFonts w:hint="default" w:ascii="Times New Roman" w:hAnsi="Times New Roman" w:eastAsia="宋体" w:cs="Times New Roman"/>
          <w:color w:val="auto"/>
          <w:kern w:val="0"/>
          <w:sz w:val="24"/>
          <w:vertAlign w:val="subscript"/>
        </w:rPr>
        <w:t>1</w:t>
      </w:r>
      <w:r>
        <w:rPr>
          <w:rFonts w:hint="default" w:ascii="Times New Roman" w:hAnsi="Times New Roman" w:eastAsia="宋体" w:cs="Times New Roman"/>
          <w:color w:val="auto"/>
          <w:kern w:val="0"/>
          <w:sz w:val="24"/>
        </w:rPr>
        <w:t>、Q</w:t>
      </w:r>
      <w:r>
        <w:rPr>
          <w:rFonts w:hint="default" w:ascii="Times New Roman" w:hAnsi="Times New Roman" w:eastAsia="宋体" w:cs="Times New Roman"/>
          <w:color w:val="auto"/>
          <w:kern w:val="0"/>
          <w:sz w:val="24"/>
          <w:vertAlign w:val="subscript"/>
        </w:rPr>
        <w:t>2</w:t>
      </w:r>
      <w:r>
        <w:rPr>
          <w:rFonts w:hint="default" w:ascii="Times New Roman" w:hAnsi="Times New Roman" w:eastAsia="宋体" w:cs="Times New Roman"/>
          <w:color w:val="auto"/>
          <w:kern w:val="0"/>
          <w:sz w:val="24"/>
        </w:rPr>
        <w:t>和Q</w:t>
      </w:r>
      <w:r>
        <w:rPr>
          <w:rFonts w:hint="default" w:ascii="Times New Roman" w:hAnsi="Times New Roman" w:eastAsia="宋体" w:cs="Times New Roman"/>
          <w:color w:val="auto"/>
          <w:kern w:val="0"/>
          <w:sz w:val="24"/>
          <w:vertAlign w:val="subscript"/>
        </w:rPr>
        <w:t>3</w:t>
      </w:r>
      <w:r>
        <w:rPr>
          <w:rFonts w:hint="default" w:ascii="Times New Roman" w:hAnsi="Times New Roman" w:eastAsia="宋体" w:cs="Times New Roman"/>
          <w:color w:val="auto"/>
          <w:kern w:val="0"/>
          <w:sz w:val="24"/>
        </w:rPr>
        <w:t>表示。</w:t>
      </w:r>
    </w:p>
    <w:p w14:paraId="00E29443">
      <w:pPr>
        <w:spacing w:line="360" w:lineRule="auto"/>
        <w:ind w:firstLine="480" w:firstLineChars="200"/>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eastAsia="zh-CN"/>
        </w:rPr>
        <w:t>根据</w:t>
      </w:r>
      <w:r>
        <w:rPr>
          <w:rFonts w:hint="default" w:ascii="Times New Roman" w:hAnsi="Times New Roman" w:eastAsia="宋体" w:cs="Times New Roman"/>
          <w:color w:val="auto"/>
          <w:kern w:val="0"/>
          <w:sz w:val="24"/>
        </w:rPr>
        <w:t>风险调查结果，本项目风险物质</w:t>
      </w:r>
      <w:r>
        <w:rPr>
          <w:rFonts w:hint="eastAsia" w:cs="Times New Roman"/>
          <w:color w:val="auto"/>
          <w:kern w:val="0"/>
          <w:sz w:val="24"/>
          <w:lang w:val="en-US" w:eastAsia="zh-CN"/>
        </w:rPr>
        <w:t>主要是天然气（甲烷）、盐酸，其中天然气为管道气，不在厂区内储存，只计算管道中燃气量；盐酸浓度为31%~33%，本项目按33%计，33%盐酸最大厂区存储量为30t，则37%盐酸最大厂区存储量为26.76t</w:t>
      </w:r>
    </w:p>
    <w:p w14:paraId="2870449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在厂区内最大存在量和临界量计算的Q值情况见表</w:t>
      </w:r>
      <w:r>
        <w:rPr>
          <w:rFonts w:hint="default" w:ascii="Times New Roman" w:hAnsi="Times New Roman" w:eastAsia="宋体" w:cs="Times New Roman"/>
          <w:color w:val="auto"/>
          <w:kern w:val="0"/>
          <w:sz w:val="24"/>
          <w:lang w:eastAsia="zh-CN"/>
        </w:rPr>
        <w:t>3.</w:t>
      </w:r>
      <w:r>
        <w:rPr>
          <w:rFonts w:hint="default" w:ascii="Times New Roman" w:hAnsi="Times New Roman" w:eastAsia="宋体" w:cs="Times New Roman"/>
          <w:color w:val="auto"/>
          <w:kern w:val="0"/>
          <w:sz w:val="24"/>
          <w:lang w:val="en-US" w:eastAsia="zh-CN"/>
        </w:rPr>
        <w:t>2-1</w:t>
      </w:r>
      <w:r>
        <w:rPr>
          <w:rFonts w:hint="default" w:ascii="Times New Roman" w:hAnsi="Times New Roman" w:eastAsia="宋体" w:cs="Times New Roman"/>
          <w:color w:val="auto"/>
          <w:kern w:val="0"/>
          <w:sz w:val="24"/>
        </w:rPr>
        <w:t>。</w:t>
      </w:r>
    </w:p>
    <w:p w14:paraId="7A6FED5D">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3.</w:t>
      </w:r>
      <w:r>
        <w:rPr>
          <w:rFonts w:hint="default" w:ascii="Times New Roman" w:hAnsi="Times New Roman" w:eastAsia="宋体" w:cs="Times New Roman"/>
          <w:b/>
          <w:bCs/>
          <w:color w:val="auto"/>
          <w:kern w:val="0"/>
          <w:sz w:val="24"/>
          <w:lang w:val="en-US" w:eastAsia="zh-CN"/>
        </w:rPr>
        <w:t>2-1</w:t>
      </w:r>
      <w:r>
        <w:rPr>
          <w:rFonts w:hint="default" w:ascii="Times New Roman" w:hAnsi="Times New Roman" w:eastAsia="宋体" w:cs="Times New Roman"/>
          <w:b/>
          <w:bCs/>
          <w:color w:val="auto"/>
          <w:kern w:val="0"/>
          <w:sz w:val="24"/>
        </w:rPr>
        <w:t xml:space="preserve">  风险物质在厂区内最大存在量和临界量计算的Q值情况表</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56"/>
        <w:gridCol w:w="2460"/>
        <w:gridCol w:w="2253"/>
        <w:gridCol w:w="2677"/>
      </w:tblGrid>
      <w:tr w14:paraId="062A1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247" w:type="pct"/>
            <w:shd w:val="clear" w:color="auto" w:fill="auto"/>
            <w:vAlign w:val="center"/>
          </w:tcPr>
          <w:p w14:paraId="41F9AC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危险物质</w:t>
            </w:r>
          </w:p>
        </w:tc>
        <w:tc>
          <w:tcPr>
            <w:tcW w:w="1249" w:type="pct"/>
            <w:shd w:val="clear" w:color="auto" w:fill="auto"/>
            <w:vAlign w:val="center"/>
          </w:tcPr>
          <w:p w14:paraId="025106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最大存在量/t</w:t>
            </w:r>
          </w:p>
        </w:tc>
        <w:tc>
          <w:tcPr>
            <w:tcW w:w="1143" w:type="pct"/>
            <w:shd w:val="clear" w:color="auto" w:fill="auto"/>
            <w:vAlign w:val="center"/>
          </w:tcPr>
          <w:p w14:paraId="436693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临界量/t</w:t>
            </w:r>
          </w:p>
        </w:tc>
        <w:tc>
          <w:tcPr>
            <w:tcW w:w="1359" w:type="pct"/>
            <w:shd w:val="clear" w:color="auto" w:fill="auto"/>
            <w:vAlign w:val="center"/>
          </w:tcPr>
          <w:p w14:paraId="0D2E1D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该种物质的Q值</w:t>
            </w:r>
          </w:p>
        </w:tc>
      </w:tr>
      <w:tr w14:paraId="5EEC7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247" w:type="pct"/>
            <w:shd w:val="clear" w:color="auto" w:fill="auto"/>
            <w:vAlign w:val="center"/>
          </w:tcPr>
          <w:p w14:paraId="43D5478C">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天然气（管道气）</w:t>
            </w:r>
          </w:p>
        </w:tc>
        <w:tc>
          <w:tcPr>
            <w:tcW w:w="1249" w:type="pct"/>
            <w:shd w:val="clear" w:color="auto" w:fill="auto"/>
            <w:vAlign w:val="center"/>
          </w:tcPr>
          <w:p w14:paraId="315FB6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0.001</w:t>
            </w:r>
          </w:p>
        </w:tc>
        <w:tc>
          <w:tcPr>
            <w:tcW w:w="1143" w:type="pct"/>
            <w:shd w:val="clear" w:color="auto" w:fill="auto"/>
            <w:vAlign w:val="center"/>
          </w:tcPr>
          <w:p w14:paraId="78DC9C4F">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10</w:t>
            </w:r>
          </w:p>
        </w:tc>
        <w:tc>
          <w:tcPr>
            <w:tcW w:w="1359" w:type="pct"/>
            <w:shd w:val="clear" w:color="auto" w:fill="auto"/>
            <w:vAlign w:val="center"/>
          </w:tcPr>
          <w:p w14:paraId="0BD5FE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0.0001</w:t>
            </w:r>
          </w:p>
        </w:tc>
      </w:tr>
      <w:tr w14:paraId="5A364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247" w:type="pct"/>
            <w:shd w:val="clear" w:color="auto" w:fill="auto"/>
            <w:vAlign w:val="center"/>
          </w:tcPr>
          <w:p w14:paraId="6E85AFA9">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37%盐酸</w:t>
            </w:r>
          </w:p>
        </w:tc>
        <w:tc>
          <w:tcPr>
            <w:tcW w:w="1249" w:type="pct"/>
            <w:shd w:val="clear" w:color="auto" w:fill="auto"/>
            <w:vAlign w:val="center"/>
          </w:tcPr>
          <w:p w14:paraId="261FD1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26.76</w:t>
            </w:r>
          </w:p>
        </w:tc>
        <w:tc>
          <w:tcPr>
            <w:tcW w:w="1143" w:type="pct"/>
            <w:shd w:val="clear" w:color="auto" w:fill="auto"/>
            <w:vAlign w:val="center"/>
          </w:tcPr>
          <w:p w14:paraId="0AAA212D">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7.5</w:t>
            </w:r>
          </w:p>
        </w:tc>
        <w:tc>
          <w:tcPr>
            <w:tcW w:w="1359" w:type="pct"/>
            <w:shd w:val="clear" w:color="auto" w:fill="auto"/>
            <w:vAlign w:val="center"/>
          </w:tcPr>
          <w:p w14:paraId="3DDB55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3.568</w:t>
            </w:r>
          </w:p>
        </w:tc>
      </w:tr>
      <w:tr w14:paraId="68F91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exact"/>
        </w:trPr>
        <w:tc>
          <w:tcPr>
            <w:tcW w:w="3640" w:type="pct"/>
            <w:gridSpan w:val="3"/>
            <w:shd w:val="clear" w:color="auto" w:fill="auto"/>
            <w:vAlign w:val="center"/>
          </w:tcPr>
          <w:p w14:paraId="48D902D6">
            <w:pPr>
              <w:pStyle w:val="62"/>
              <w:keepNext w:val="0"/>
              <w:keepLines w:val="0"/>
              <w:suppressLineNumbers w:val="0"/>
              <w:spacing w:before="24" w:beforeAutospacing="0" w:after="24"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1359" w:type="pct"/>
            <w:shd w:val="clear" w:color="auto" w:fill="auto"/>
            <w:vAlign w:val="center"/>
          </w:tcPr>
          <w:p w14:paraId="385F49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3.5681</w:t>
            </w:r>
          </w:p>
        </w:tc>
      </w:tr>
    </w:tbl>
    <w:p w14:paraId="373B9B54">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由上表可以看出，</w:t>
      </w:r>
      <w:r>
        <w:rPr>
          <w:rFonts w:hint="default" w:ascii="Times New Roman" w:hAnsi="Times New Roman" w:eastAsia="宋体" w:cs="Times New Roman"/>
          <w:color w:val="auto"/>
          <w:kern w:val="0"/>
          <w:sz w:val="24"/>
          <w:szCs w:val="24"/>
          <w:lang w:eastAsia="zh-CN"/>
        </w:rPr>
        <w:t>本项目</w:t>
      </w:r>
      <w:r>
        <w:rPr>
          <w:rFonts w:hint="default" w:ascii="Times New Roman" w:hAnsi="Times New Roman" w:eastAsia="宋体" w:cs="Times New Roman"/>
          <w:color w:val="auto"/>
          <w:kern w:val="0"/>
          <w:sz w:val="24"/>
          <w:szCs w:val="24"/>
        </w:rPr>
        <w:t>环境风险物质与临界量的比值Q为</w:t>
      </w:r>
      <w:r>
        <w:rPr>
          <w:rFonts w:hint="eastAsia" w:cs="Times New Roman"/>
          <w:color w:val="auto"/>
          <w:sz w:val="24"/>
          <w:szCs w:val="24"/>
          <w:highlight w:val="none"/>
          <w:lang w:val="en-US" w:eastAsia="zh-CN"/>
        </w:rPr>
        <w:t>3.5681</w:t>
      </w:r>
      <w:r>
        <w:rPr>
          <w:rFonts w:hint="default" w:ascii="Times New Roman" w:hAnsi="Times New Roman" w:eastAsia="宋体" w:cs="Times New Roman"/>
          <w:color w:val="auto"/>
          <w:kern w:val="0"/>
          <w:sz w:val="24"/>
          <w:szCs w:val="24"/>
        </w:rPr>
        <w:t>以Q</w:t>
      </w:r>
      <w:r>
        <w:rPr>
          <w:rFonts w:hint="eastAsia" w:cs="Times New Roman"/>
          <w:color w:val="auto"/>
          <w:kern w:val="0"/>
          <w:sz w:val="24"/>
          <w:szCs w:val="24"/>
          <w:vertAlign w:val="subscript"/>
          <w:lang w:val="en-US" w:eastAsia="zh-CN"/>
        </w:rPr>
        <w:t>2</w:t>
      </w:r>
      <w:r>
        <w:rPr>
          <w:rFonts w:hint="default" w:ascii="Times New Roman" w:hAnsi="Times New Roman" w:eastAsia="宋体" w:cs="Times New Roman"/>
          <w:color w:val="auto"/>
          <w:kern w:val="0"/>
          <w:sz w:val="24"/>
          <w:szCs w:val="24"/>
        </w:rPr>
        <w:t>表示。</w:t>
      </w:r>
    </w:p>
    <w:p w14:paraId="5081EC03">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2、M 值的确定</w:t>
      </w:r>
    </w:p>
    <w:p w14:paraId="0AB59F3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分析项目所属行业及生产工艺特点，按照表C.1评估生产工艺情况，具有多套工艺单元的项目，对每套生产工艺分别评分求和。将M划分为（1）M＞20；（2）10＜M≤20；（3）5＜M≤10；（4）M=5，分别以M1、M2、M3和M4表示。</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所属行业及生产工艺评估指标及分值得分见表</w:t>
      </w:r>
      <w:r>
        <w:rPr>
          <w:rFonts w:hint="default" w:ascii="Times New Roman" w:hAnsi="Times New Roman" w:eastAsia="宋体" w:cs="Times New Roman"/>
          <w:color w:val="auto"/>
          <w:kern w:val="0"/>
          <w:sz w:val="24"/>
          <w:lang w:eastAsia="zh-CN"/>
        </w:rPr>
        <w:t>3.</w:t>
      </w:r>
      <w:r>
        <w:rPr>
          <w:rFonts w:hint="default" w:ascii="Times New Roman" w:hAnsi="Times New Roman" w:eastAsia="宋体" w:cs="Times New Roman"/>
          <w:color w:val="auto"/>
          <w:kern w:val="0"/>
          <w:sz w:val="24"/>
          <w:lang w:val="en-US" w:eastAsia="zh-CN"/>
        </w:rPr>
        <w:t>2-2</w:t>
      </w:r>
      <w:r>
        <w:rPr>
          <w:rFonts w:hint="default" w:ascii="Times New Roman" w:hAnsi="Times New Roman" w:eastAsia="宋体" w:cs="Times New Roman"/>
          <w:color w:val="auto"/>
          <w:kern w:val="0"/>
          <w:sz w:val="24"/>
        </w:rPr>
        <w:t>。</w:t>
      </w:r>
    </w:p>
    <w:p w14:paraId="63721A62">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3.</w:t>
      </w:r>
      <w:r>
        <w:rPr>
          <w:rFonts w:hint="default" w:ascii="Times New Roman" w:hAnsi="Times New Roman" w:eastAsia="宋体" w:cs="Times New Roman"/>
          <w:b/>
          <w:bCs/>
          <w:color w:val="auto"/>
          <w:kern w:val="0"/>
          <w:sz w:val="24"/>
          <w:lang w:val="en-US" w:eastAsia="zh-CN"/>
        </w:rPr>
        <w:t>2-2</w:t>
      </w:r>
      <w:r>
        <w:rPr>
          <w:rFonts w:hint="default" w:ascii="Times New Roman" w:hAnsi="Times New Roman" w:eastAsia="宋体" w:cs="Times New Roman"/>
          <w:b/>
          <w:bCs/>
          <w:color w:val="auto"/>
          <w:kern w:val="0"/>
          <w:sz w:val="24"/>
        </w:rPr>
        <w:t xml:space="preserve"> </w:t>
      </w:r>
      <w:r>
        <w:rPr>
          <w:rFonts w:hint="default" w:ascii="Times New Roman" w:hAnsi="Times New Roman" w:eastAsia="宋体" w:cs="Times New Roman"/>
          <w:b/>
          <w:bCs/>
          <w:color w:val="auto"/>
          <w:kern w:val="0"/>
          <w:sz w:val="24"/>
          <w:lang w:eastAsia="zh-CN"/>
        </w:rPr>
        <w:t>本项目</w:t>
      </w:r>
      <w:r>
        <w:rPr>
          <w:rFonts w:hint="default" w:ascii="Times New Roman" w:hAnsi="Times New Roman" w:eastAsia="宋体" w:cs="Times New Roman"/>
          <w:b/>
          <w:bCs/>
          <w:color w:val="auto"/>
          <w:kern w:val="0"/>
          <w:sz w:val="24"/>
        </w:rPr>
        <w:t>所属行业及生产工艺评估指标M分值确定</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970"/>
        <w:gridCol w:w="3784"/>
        <w:gridCol w:w="971"/>
        <w:gridCol w:w="2451"/>
        <w:gridCol w:w="678"/>
      </w:tblGrid>
      <w:tr w14:paraId="2411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857" w:type="dxa"/>
            <w:shd w:val="clear" w:color="auto" w:fill="auto"/>
            <w:vAlign w:val="center"/>
          </w:tcPr>
          <w:p w14:paraId="301A7E99">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行业</w:t>
            </w:r>
          </w:p>
        </w:tc>
        <w:tc>
          <w:tcPr>
            <w:tcW w:w="3566" w:type="dxa"/>
            <w:shd w:val="clear" w:color="auto" w:fill="auto"/>
            <w:vAlign w:val="center"/>
          </w:tcPr>
          <w:p w14:paraId="0021C8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评 估 依 据</w:t>
            </w:r>
          </w:p>
        </w:tc>
        <w:tc>
          <w:tcPr>
            <w:tcW w:w="915" w:type="dxa"/>
            <w:shd w:val="clear" w:color="auto" w:fill="auto"/>
            <w:vAlign w:val="center"/>
          </w:tcPr>
          <w:p w14:paraId="1D5990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分值</w:t>
            </w:r>
          </w:p>
        </w:tc>
        <w:tc>
          <w:tcPr>
            <w:tcW w:w="2310" w:type="dxa"/>
            <w:shd w:val="clear" w:color="auto" w:fill="auto"/>
            <w:vAlign w:val="center"/>
          </w:tcPr>
          <w:p w14:paraId="386B19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w:t>
            </w:r>
          </w:p>
        </w:tc>
        <w:tc>
          <w:tcPr>
            <w:tcW w:w="639" w:type="dxa"/>
            <w:shd w:val="clear" w:color="auto" w:fill="auto"/>
            <w:vAlign w:val="center"/>
          </w:tcPr>
          <w:p w14:paraId="2E5144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M值</w:t>
            </w:r>
          </w:p>
        </w:tc>
      </w:tr>
      <w:tr w14:paraId="13700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vMerge w:val="restart"/>
            <w:shd w:val="clear" w:color="auto" w:fill="auto"/>
            <w:vAlign w:val="center"/>
          </w:tcPr>
          <w:p w14:paraId="5E8DA021">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石化、化工、医药、轻工、化纤、有色冶炼等</w:t>
            </w:r>
          </w:p>
        </w:tc>
        <w:tc>
          <w:tcPr>
            <w:tcW w:w="3566" w:type="dxa"/>
            <w:shd w:val="clear" w:color="auto" w:fill="auto"/>
            <w:vAlign w:val="center"/>
          </w:tcPr>
          <w:p w14:paraId="70A5BACC">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15" w:type="dxa"/>
            <w:shd w:val="clear" w:color="auto" w:fill="auto"/>
            <w:vAlign w:val="center"/>
          </w:tcPr>
          <w:p w14:paraId="2FC2F6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10/套</w:t>
            </w:r>
          </w:p>
        </w:tc>
        <w:tc>
          <w:tcPr>
            <w:tcW w:w="2310" w:type="dxa"/>
            <w:shd w:val="clear" w:color="auto" w:fill="auto"/>
            <w:vAlign w:val="center"/>
          </w:tcPr>
          <w:p w14:paraId="0FF9B9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39" w:type="dxa"/>
            <w:shd w:val="clear" w:color="auto" w:fill="auto"/>
            <w:vAlign w:val="center"/>
          </w:tcPr>
          <w:p w14:paraId="4C0066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r w14:paraId="526BF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vMerge w:val="continue"/>
            <w:shd w:val="clear" w:color="auto" w:fill="auto"/>
            <w:vAlign w:val="center"/>
          </w:tcPr>
          <w:p w14:paraId="37F60DF1">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p>
        </w:tc>
        <w:tc>
          <w:tcPr>
            <w:tcW w:w="3566" w:type="dxa"/>
            <w:shd w:val="clear" w:color="auto" w:fill="auto"/>
            <w:vAlign w:val="center"/>
          </w:tcPr>
          <w:p w14:paraId="54ED4E21">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无机酸制酸工艺、焦化工艺</w:t>
            </w:r>
          </w:p>
        </w:tc>
        <w:tc>
          <w:tcPr>
            <w:tcW w:w="915" w:type="dxa"/>
            <w:shd w:val="clear" w:color="auto" w:fill="auto"/>
            <w:vAlign w:val="center"/>
          </w:tcPr>
          <w:p w14:paraId="21910A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5/套</w:t>
            </w:r>
          </w:p>
        </w:tc>
        <w:tc>
          <w:tcPr>
            <w:tcW w:w="2310" w:type="dxa"/>
            <w:shd w:val="clear" w:color="auto" w:fill="auto"/>
            <w:vAlign w:val="center"/>
          </w:tcPr>
          <w:p w14:paraId="393B7F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39" w:type="dxa"/>
            <w:shd w:val="clear" w:color="auto" w:fill="auto"/>
            <w:vAlign w:val="center"/>
          </w:tcPr>
          <w:p w14:paraId="6653D4C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r w14:paraId="74A8A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vMerge w:val="continue"/>
            <w:shd w:val="clear" w:color="auto" w:fill="auto"/>
            <w:vAlign w:val="center"/>
          </w:tcPr>
          <w:p w14:paraId="1399C2B6">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p>
        </w:tc>
        <w:tc>
          <w:tcPr>
            <w:tcW w:w="3566" w:type="dxa"/>
            <w:shd w:val="clear" w:color="auto" w:fill="auto"/>
            <w:vAlign w:val="center"/>
          </w:tcPr>
          <w:p w14:paraId="6E02A641">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其他高温或高压，且涉及危险物质的工艺过程</w:t>
            </w:r>
            <w:r>
              <w:rPr>
                <w:rFonts w:hint="default" w:ascii="Times New Roman" w:hAnsi="Times New Roman" w:eastAsia="宋体" w:cs="Times New Roman"/>
                <w:color w:val="auto"/>
                <w:kern w:val="0"/>
                <w:sz w:val="21"/>
                <w:szCs w:val="21"/>
                <w:vertAlign w:val="superscript"/>
              </w:rPr>
              <w:t>a</w:t>
            </w:r>
            <w:r>
              <w:rPr>
                <w:rFonts w:hint="default" w:ascii="Times New Roman" w:hAnsi="Times New Roman" w:eastAsia="宋体" w:cs="Times New Roman"/>
                <w:color w:val="auto"/>
                <w:kern w:val="0"/>
                <w:sz w:val="21"/>
                <w:szCs w:val="21"/>
              </w:rPr>
              <w:t>、危险物质贮存罐区</w:t>
            </w:r>
          </w:p>
        </w:tc>
        <w:tc>
          <w:tcPr>
            <w:tcW w:w="915" w:type="dxa"/>
            <w:shd w:val="clear" w:color="auto" w:fill="auto"/>
            <w:vAlign w:val="center"/>
          </w:tcPr>
          <w:p w14:paraId="013BB12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5/套</w:t>
            </w:r>
          </w:p>
        </w:tc>
        <w:tc>
          <w:tcPr>
            <w:tcW w:w="2310" w:type="dxa"/>
            <w:shd w:val="clear" w:color="auto" w:fill="auto"/>
            <w:vAlign w:val="center"/>
          </w:tcPr>
          <w:p w14:paraId="5A47F6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烘干工序、盐酸储存区、1#酸洗搅拌罐、2#酸洗搅拌罐、盐酸配制罐、盐酸循环储罐</w:t>
            </w:r>
          </w:p>
        </w:tc>
        <w:tc>
          <w:tcPr>
            <w:tcW w:w="639" w:type="dxa"/>
            <w:shd w:val="clear" w:color="auto" w:fill="auto"/>
            <w:vAlign w:val="center"/>
          </w:tcPr>
          <w:p w14:paraId="794E07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30</w:t>
            </w:r>
          </w:p>
        </w:tc>
      </w:tr>
      <w:tr w14:paraId="63365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shd w:val="clear" w:color="auto" w:fill="auto"/>
            <w:vAlign w:val="center"/>
          </w:tcPr>
          <w:p w14:paraId="4A73DF82">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管道、港口/码头等</w:t>
            </w:r>
          </w:p>
        </w:tc>
        <w:tc>
          <w:tcPr>
            <w:tcW w:w="3566" w:type="dxa"/>
            <w:shd w:val="clear" w:color="auto" w:fill="auto"/>
            <w:vAlign w:val="center"/>
          </w:tcPr>
          <w:p w14:paraId="1159745C">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涉及危险物质管道运输项目、港口/码头等</w:t>
            </w:r>
          </w:p>
        </w:tc>
        <w:tc>
          <w:tcPr>
            <w:tcW w:w="915" w:type="dxa"/>
            <w:shd w:val="clear" w:color="auto" w:fill="auto"/>
            <w:vAlign w:val="center"/>
          </w:tcPr>
          <w:p w14:paraId="3CDFE6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10/套</w:t>
            </w:r>
          </w:p>
        </w:tc>
        <w:tc>
          <w:tcPr>
            <w:tcW w:w="2310" w:type="dxa"/>
            <w:shd w:val="clear" w:color="auto" w:fill="auto"/>
            <w:vAlign w:val="center"/>
          </w:tcPr>
          <w:p w14:paraId="5B4A6C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39" w:type="dxa"/>
            <w:shd w:val="clear" w:color="auto" w:fill="auto"/>
            <w:vAlign w:val="center"/>
          </w:tcPr>
          <w:p w14:paraId="1D94B2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r w14:paraId="34F55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shd w:val="clear" w:color="auto" w:fill="auto"/>
            <w:vAlign w:val="center"/>
          </w:tcPr>
          <w:p w14:paraId="5E8E19D4">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石油天然气</w:t>
            </w:r>
          </w:p>
        </w:tc>
        <w:tc>
          <w:tcPr>
            <w:tcW w:w="3566" w:type="dxa"/>
            <w:shd w:val="clear" w:color="auto" w:fill="auto"/>
            <w:vAlign w:val="center"/>
          </w:tcPr>
          <w:p w14:paraId="1C5AFDB7">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 xml:space="preserve">石油、天然气、页岩气开采（含净化），气库（不含加气站的气库），油库（不含加气站的油库）、油气管线 b（不含城镇燃气管线） </w:t>
            </w:r>
          </w:p>
        </w:tc>
        <w:tc>
          <w:tcPr>
            <w:tcW w:w="915" w:type="dxa"/>
            <w:shd w:val="clear" w:color="auto" w:fill="auto"/>
            <w:vAlign w:val="center"/>
          </w:tcPr>
          <w:p w14:paraId="040171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10/套</w:t>
            </w:r>
          </w:p>
        </w:tc>
        <w:tc>
          <w:tcPr>
            <w:tcW w:w="2310" w:type="dxa"/>
            <w:shd w:val="clear" w:color="auto" w:fill="auto"/>
            <w:vAlign w:val="center"/>
          </w:tcPr>
          <w:p w14:paraId="3A8A51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39" w:type="dxa"/>
            <w:shd w:val="clear" w:color="auto" w:fill="auto"/>
            <w:vAlign w:val="center"/>
          </w:tcPr>
          <w:p w14:paraId="739551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r w14:paraId="0753A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shd w:val="clear" w:color="auto" w:fill="auto"/>
            <w:vAlign w:val="center"/>
          </w:tcPr>
          <w:p w14:paraId="425BE5B9">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其它</w:t>
            </w:r>
          </w:p>
        </w:tc>
        <w:tc>
          <w:tcPr>
            <w:tcW w:w="3566" w:type="dxa"/>
            <w:shd w:val="clear" w:color="auto" w:fill="auto"/>
            <w:vAlign w:val="center"/>
          </w:tcPr>
          <w:p w14:paraId="6C77B828">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涉及危险物质使用、贮存的项目</w:t>
            </w:r>
          </w:p>
        </w:tc>
        <w:tc>
          <w:tcPr>
            <w:tcW w:w="915" w:type="dxa"/>
            <w:shd w:val="clear" w:color="auto" w:fill="auto"/>
            <w:vAlign w:val="center"/>
          </w:tcPr>
          <w:p w14:paraId="6124AB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5/套</w:t>
            </w:r>
          </w:p>
        </w:tc>
        <w:tc>
          <w:tcPr>
            <w:tcW w:w="2310" w:type="dxa"/>
            <w:shd w:val="clear" w:color="auto" w:fill="auto"/>
            <w:vAlign w:val="center"/>
          </w:tcPr>
          <w:p w14:paraId="1EDFF3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p>
        </w:tc>
        <w:tc>
          <w:tcPr>
            <w:tcW w:w="639" w:type="dxa"/>
            <w:shd w:val="clear" w:color="auto" w:fill="auto"/>
            <w:vAlign w:val="center"/>
          </w:tcPr>
          <w:p w14:paraId="1F86EB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0</w:t>
            </w:r>
          </w:p>
        </w:tc>
      </w:tr>
      <w:tr w14:paraId="1D6C9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8" w:type="dxa"/>
            <w:gridSpan w:val="4"/>
            <w:shd w:val="clear" w:color="auto" w:fill="auto"/>
            <w:vAlign w:val="center"/>
          </w:tcPr>
          <w:p w14:paraId="706346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合计M</w:t>
            </w:r>
          </w:p>
        </w:tc>
        <w:tc>
          <w:tcPr>
            <w:tcW w:w="639" w:type="dxa"/>
            <w:shd w:val="clear" w:color="auto" w:fill="auto"/>
            <w:vAlign w:val="center"/>
          </w:tcPr>
          <w:p w14:paraId="5ADAA0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r>
    </w:tbl>
    <w:p w14:paraId="04831687">
      <w:pPr>
        <w:spacing w:line="360" w:lineRule="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注：a 高温指工艺温度≥300 ℃，高压指压力容器的设计压力（P）≥10.0 MPa；</w:t>
      </w:r>
    </w:p>
    <w:p w14:paraId="4A387AFC">
      <w:pPr>
        <w:spacing w:line="360" w:lineRule="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 xml:space="preserve">    b 长输管道运输项目应按站场、管线分段进行评价。</w:t>
      </w:r>
    </w:p>
    <w:p w14:paraId="78451E44">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根据《建设项目环境风险评价技术导则》（HJ169-2018）附录C划分依据，</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行业及生产工艺M值为M</w:t>
      </w:r>
      <w:r>
        <w:rPr>
          <w:rFonts w:hint="eastAsia" w:cs="Times New Roman"/>
          <w:color w:val="auto"/>
          <w:kern w:val="0"/>
          <w:sz w:val="24"/>
          <w:lang w:val="en-US" w:eastAsia="zh-CN"/>
        </w:rPr>
        <w:t>1</w:t>
      </w:r>
      <w:r>
        <w:rPr>
          <w:rFonts w:hint="default" w:ascii="Times New Roman" w:hAnsi="Times New Roman" w:eastAsia="宋体" w:cs="Times New Roman"/>
          <w:color w:val="auto"/>
          <w:kern w:val="0"/>
          <w:sz w:val="24"/>
        </w:rPr>
        <w:t>。</w:t>
      </w:r>
    </w:p>
    <w:p w14:paraId="68DEBDC5">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3</w:t>
      </w:r>
      <w:r>
        <w:rPr>
          <w:rFonts w:hint="default" w:ascii="Times New Roman" w:hAnsi="Times New Roman" w:eastAsia="宋体" w:cs="Times New Roman"/>
          <w:color w:val="auto"/>
          <w:kern w:val="0"/>
          <w:sz w:val="24"/>
        </w:rPr>
        <w:t>、P值的确定</w:t>
      </w:r>
    </w:p>
    <w:p w14:paraId="7811EBB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根据上述危险物质数量与临界量比值Q和行业及生产工艺M确定的值，按照《建设项目环境风险评价技术导则》（HJ169-2018）附录C中表C.2划分依据确定P值，具体确定过程见表</w:t>
      </w:r>
      <w:r>
        <w:rPr>
          <w:rFonts w:hint="default" w:ascii="Times New Roman" w:hAnsi="Times New Roman" w:eastAsia="宋体" w:cs="Times New Roman"/>
          <w:color w:val="auto"/>
          <w:kern w:val="0"/>
          <w:sz w:val="24"/>
          <w:lang w:eastAsia="zh-CN"/>
        </w:rPr>
        <w:t>3.</w:t>
      </w:r>
      <w:r>
        <w:rPr>
          <w:rFonts w:hint="default" w:ascii="Times New Roman" w:hAnsi="Times New Roman" w:eastAsia="宋体" w:cs="Times New Roman"/>
          <w:color w:val="auto"/>
          <w:kern w:val="0"/>
          <w:sz w:val="24"/>
          <w:lang w:val="en-US" w:eastAsia="zh-CN"/>
        </w:rPr>
        <w:t>2-3</w:t>
      </w:r>
      <w:r>
        <w:rPr>
          <w:rFonts w:hint="default" w:ascii="Times New Roman" w:hAnsi="Times New Roman" w:eastAsia="宋体" w:cs="Times New Roman"/>
          <w:color w:val="auto"/>
          <w:kern w:val="0"/>
          <w:sz w:val="24"/>
        </w:rPr>
        <w:t>。</w:t>
      </w:r>
    </w:p>
    <w:p w14:paraId="187D3DD8">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3.</w:t>
      </w:r>
      <w:r>
        <w:rPr>
          <w:rFonts w:hint="default" w:ascii="Times New Roman" w:hAnsi="Times New Roman" w:eastAsia="宋体" w:cs="Times New Roman"/>
          <w:b/>
          <w:bCs/>
          <w:color w:val="auto"/>
          <w:kern w:val="0"/>
          <w:sz w:val="24"/>
          <w:lang w:val="en-US" w:eastAsia="zh-CN"/>
        </w:rPr>
        <w:t>2-3</w:t>
      </w:r>
      <w:r>
        <w:rPr>
          <w:rFonts w:hint="default" w:ascii="Times New Roman" w:hAnsi="Times New Roman" w:eastAsia="宋体" w:cs="Times New Roman"/>
          <w:b/>
          <w:bCs/>
          <w:color w:val="auto"/>
          <w:kern w:val="0"/>
          <w:sz w:val="24"/>
        </w:rPr>
        <w:t xml:space="preserve">  </w:t>
      </w:r>
      <w:bookmarkStart w:id="60" w:name="_Hlk31978808"/>
      <w:r>
        <w:rPr>
          <w:rFonts w:hint="default" w:ascii="Times New Roman" w:hAnsi="Times New Roman" w:eastAsia="宋体" w:cs="Times New Roman"/>
          <w:b/>
          <w:bCs/>
          <w:color w:val="auto"/>
          <w:kern w:val="0"/>
          <w:sz w:val="24"/>
          <w:lang w:eastAsia="zh-CN"/>
        </w:rPr>
        <w:t>本项目</w:t>
      </w:r>
      <w:r>
        <w:rPr>
          <w:rFonts w:hint="default" w:ascii="Times New Roman" w:hAnsi="Times New Roman" w:eastAsia="宋体" w:cs="Times New Roman"/>
          <w:b/>
          <w:bCs/>
          <w:color w:val="auto"/>
          <w:kern w:val="0"/>
          <w:sz w:val="24"/>
        </w:rPr>
        <w:t>危险物质及工艺系统危害性等级</w:t>
      </w:r>
      <w:bookmarkEnd w:id="60"/>
      <w:r>
        <w:rPr>
          <w:rFonts w:hint="default" w:ascii="Times New Roman" w:hAnsi="Times New Roman" w:eastAsia="宋体" w:cs="Times New Roman"/>
          <w:b/>
          <w:bCs/>
          <w:color w:val="auto"/>
          <w:kern w:val="0"/>
          <w:sz w:val="24"/>
        </w:rPr>
        <w:t>判断 P 的确定</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970"/>
        <w:gridCol w:w="1970"/>
        <w:gridCol w:w="1970"/>
        <w:gridCol w:w="1970"/>
        <w:gridCol w:w="1970"/>
      </w:tblGrid>
      <w:tr w14:paraId="7A8F5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925" w:type="dxa"/>
            <w:vMerge w:val="restart"/>
            <w:shd w:val="clear" w:color="auto" w:fill="auto"/>
            <w:vAlign w:val="center"/>
          </w:tcPr>
          <w:p w14:paraId="17D6D8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危险物质数量与临界量比值（Q）</w:t>
            </w:r>
          </w:p>
        </w:tc>
        <w:tc>
          <w:tcPr>
            <w:tcW w:w="7702" w:type="dxa"/>
            <w:gridSpan w:val="4"/>
            <w:shd w:val="clear" w:color="auto" w:fill="auto"/>
            <w:vAlign w:val="center"/>
          </w:tcPr>
          <w:p w14:paraId="544D06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行业及生产工艺（M）</w:t>
            </w:r>
          </w:p>
        </w:tc>
      </w:tr>
      <w:tr w14:paraId="49C8D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vMerge w:val="continue"/>
            <w:shd w:val="clear" w:color="auto" w:fill="auto"/>
            <w:vAlign w:val="center"/>
          </w:tcPr>
          <w:p w14:paraId="3A2CD5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p>
        </w:tc>
        <w:tc>
          <w:tcPr>
            <w:tcW w:w="1925" w:type="dxa"/>
            <w:shd w:val="clear" w:color="auto" w:fill="auto"/>
            <w:vAlign w:val="center"/>
          </w:tcPr>
          <w:p w14:paraId="2B5288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M1</w:t>
            </w:r>
          </w:p>
        </w:tc>
        <w:tc>
          <w:tcPr>
            <w:tcW w:w="1925" w:type="dxa"/>
            <w:shd w:val="clear" w:color="auto" w:fill="auto"/>
            <w:vAlign w:val="center"/>
          </w:tcPr>
          <w:p w14:paraId="1C72D9AE">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kern w:val="0"/>
                <w:szCs w:val="21"/>
              </w:rPr>
              <w:t>M2</w:t>
            </w:r>
          </w:p>
        </w:tc>
        <w:tc>
          <w:tcPr>
            <w:tcW w:w="1926" w:type="dxa"/>
            <w:shd w:val="clear" w:color="auto" w:fill="auto"/>
            <w:vAlign w:val="center"/>
          </w:tcPr>
          <w:p w14:paraId="562FAB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M3</w:t>
            </w:r>
          </w:p>
        </w:tc>
        <w:tc>
          <w:tcPr>
            <w:tcW w:w="1926" w:type="dxa"/>
            <w:shd w:val="clear" w:color="auto" w:fill="auto"/>
            <w:vAlign w:val="center"/>
          </w:tcPr>
          <w:p w14:paraId="31A267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M4</w:t>
            </w:r>
          </w:p>
        </w:tc>
      </w:tr>
      <w:tr w14:paraId="5ADBC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shd w:val="clear" w:color="auto" w:fill="auto"/>
            <w:vAlign w:val="center"/>
          </w:tcPr>
          <w:p w14:paraId="7F8DD5E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kern w:val="0"/>
                <w:szCs w:val="21"/>
              </w:rPr>
              <w:t>Q≥100</w:t>
            </w:r>
          </w:p>
        </w:tc>
        <w:tc>
          <w:tcPr>
            <w:tcW w:w="1925" w:type="dxa"/>
            <w:shd w:val="clear" w:color="auto" w:fill="auto"/>
            <w:vAlign w:val="center"/>
          </w:tcPr>
          <w:p w14:paraId="2E9A38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P1</w:t>
            </w:r>
          </w:p>
        </w:tc>
        <w:tc>
          <w:tcPr>
            <w:tcW w:w="1925" w:type="dxa"/>
            <w:shd w:val="clear" w:color="auto" w:fill="auto"/>
            <w:vAlign w:val="center"/>
          </w:tcPr>
          <w:p w14:paraId="0B22AA0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kern w:val="0"/>
                <w:szCs w:val="21"/>
              </w:rPr>
              <w:t>P1</w:t>
            </w:r>
          </w:p>
        </w:tc>
        <w:tc>
          <w:tcPr>
            <w:tcW w:w="1926" w:type="dxa"/>
            <w:shd w:val="clear" w:color="auto" w:fill="auto"/>
            <w:vAlign w:val="center"/>
          </w:tcPr>
          <w:p w14:paraId="28FF53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P2</w:t>
            </w:r>
          </w:p>
        </w:tc>
        <w:tc>
          <w:tcPr>
            <w:tcW w:w="1926" w:type="dxa"/>
            <w:shd w:val="clear" w:color="auto" w:fill="auto"/>
            <w:vAlign w:val="center"/>
          </w:tcPr>
          <w:p w14:paraId="6429C1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P3</w:t>
            </w:r>
          </w:p>
        </w:tc>
      </w:tr>
      <w:tr w14:paraId="5C88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shd w:val="clear" w:color="auto" w:fill="auto"/>
            <w:vAlign w:val="center"/>
          </w:tcPr>
          <w:p w14:paraId="68C235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10≤Q&lt;100</w:t>
            </w:r>
          </w:p>
        </w:tc>
        <w:tc>
          <w:tcPr>
            <w:tcW w:w="1925" w:type="dxa"/>
            <w:shd w:val="clear" w:color="auto" w:fill="auto"/>
            <w:vAlign w:val="center"/>
          </w:tcPr>
          <w:p w14:paraId="35A3DD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P1</w:t>
            </w:r>
          </w:p>
        </w:tc>
        <w:tc>
          <w:tcPr>
            <w:tcW w:w="1925" w:type="dxa"/>
            <w:shd w:val="clear" w:color="auto" w:fill="auto"/>
            <w:vAlign w:val="center"/>
          </w:tcPr>
          <w:p w14:paraId="1BCE79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P2</w:t>
            </w:r>
          </w:p>
        </w:tc>
        <w:tc>
          <w:tcPr>
            <w:tcW w:w="1926" w:type="dxa"/>
            <w:shd w:val="clear" w:color="auto" w:fill="auto"/>
            <w:vAlign w:val="center"/>
          </w:tcPr>
          <w:p w14:paraId="31854B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P3</w:t>
            </w:r>
          </w:p>
        </w:tc>
        <w:tc>
          <w:tcPr>
            <w:tcW w:w="1926" w:type="dxa"/>
            <w:shd w:val="clear" w:color="auto" w:fill="auto"/>
            <w:vAlign w:val="center"/>
          </w:tcPr>
          <w:p w14:paraId="16EA3A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P4</w:t>
            </w:r>
          </w:p>
        </w:tc>
      </w:tr>
      <w:tr w14:paraId="3BEE1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shd w:val="clear" w:color="auto" w:fill="auto"/>
            <w:vAlign w:val="center"/>
          </w:tcPr>
          <w:p w14:paraId="5598FF8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1≤Q&lt;10</w:t>
            </w:r>
          </w:p>
        </w:tc>
        <w:tc>
          <w:tcPr>
            <w:tcW w:w="1925" w:type="dxa"/>
            <w:shd w:val="clear" w:color="auto" w:fill="auto"/>
            <w:vAlign w:val="center"/>
          </w:tcPr>
          <w:p w14:paraId="410FC9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bCs/>
                <w:color w:val="auto"/>
                <w:kern w:val="0"/>
                <w:szCs w:val="21"/>
              </w:rPr>
              <w:t>P2</w:t>
            </w:r>
          </w:p>
        </w:tc>
        <w:tc>
          <w:tcPr>
            <w:tcW w:w="1925" w:type="dxa"/>
            <w:shd w:val="clear" w:color="auto" w:fill="auto"/>
            <w:vAlign w:val="center"/>
          </w:tcPr>
          <w:p w14:paraId="0CEF68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P3</w:t>
            </w:r>
          </w:p>
        </w:tc>
        <w:tc>
          <w:tcPr>
            <w:tcW w:w="1926" w:type="dxa"/>
            <w:shd w:val="clear" w:color="auto" w:fill="auto"/>
            <w:vAlign w:val="center"/>
          </w:tcPr>
          <w:p w14:paraId="1CD960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P4</w:t>
            </w:r>
          </w:p>
        </w:tc>
        <w:tc>
          <w:tcPr>
            <w:tcW w:w="1926" w:type="dxa"/>
            <w:shd w:val="clear" w:color="auto" w:fill="auto"/>
            <w:vAlign w:val="center"/>
          </w:tcPr>
          <w:p w14:paraId="774C4B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P4</w:t>
            </w:r>
          </w:p>
        </w:tc>
      </w:tr>
    </w:tbl>
    <w:p w14:paraId="0799AF8F">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根据《建设项目环境风险评价技术导则》（HJ169-2018）附录C中表C.2划分依据确定P值为P</w:t>
      </w:r>
      <w:r>
        <w:rPr>
          <w:rFonts w:hint="eastAsia" w:cs="Times New Roman"/>
          <w:color w:val="auto"/>
          <w:kern w:val="0"/>
          <w:sz w:val="24"/>
          <w:lang w:val="en-US" w:eastAsia="zh-CN"/>
        </w:rPr>
        <w:t>2</w:t>
      </w:r>
      <w:r>
        <w:rPr>
          <w:rFonts w:hint="default" w:ascii="Times New Roman" w:hAnsi="Times New Roman" w:eastAsia="宋体" w:cs="Times New Roman"/>
          <w:color w:val="auto"/>
          <w:kern w:val="0"/>
          <w:sz w:val="24"/>
        </w:rPr>
        <w:t>。</w:t>
      </w:r>
    </w:p>
    <w:p w14:paraId="2CF65E98">
      <w:pPr>
        <w:rPr>
          <w:rFonts w:hint="default" w:ascii="Times New Roman" w:hAnsi="Times New Roman" w:eastAsia="宋体" w:cs="Times New Roman"/>
          <w:b/>
          <w:bCs/>
          <w:color w:val="auto"/>
          <w:kern w:val="0"/>
          <w:sz w:val="32"/>
          <w:szCs w:val="32"/>
          <w:highlight w:val="none"/>
          <w:lang w:val="en-US" w:eastAsia="zh-CN"/>
        </w:rPr>
      </w:pPr>
      <w:bookmarkStart w:id="61" w:name="_Toc33691323"/>
      <w:bookmarkStart w:id="62" w:name="_Toc12470"/>
      <w:r>
        <w:rPr>
          <w:rFonts w:hint="default" w:ascii="Times New Roman" w:hAnsi="Times New Roman" w:eastAsia="宋体" w:cs="Times New Roman"/>
          <w:b/>
          <w:bCs/>
          <w:color w:val="auto"/>
          <w:kern w:val="0"/>
          <w:sz w:val="32"/>
          <w:szCs w:val="32"/>
          <w:highlight w:val="none"/>
          <w:lang w:val="en-US" w:eastAsia="zh-CN"/>
        </w:rPr>
        <w:br w:type="page"/>
      </w:r>
    </w:p>
    <w:p w14:paraId="2AB69A8C">
      <w:pPr>
        <w:keepNext/>
        <w:keepLines/>
        <w:widowControl/>
        <w:adjustRightInd w:val="0"/>
        <w:snapToGrid w:val="0"/>
        <w:spacing w:before="0" w:after="0" w:line="360" w:lineRule="auto"/>
        <w:outlineLvl w:val="1"/>
        <w:rPr>
          <w:rFonts w:hint="default" w:ascii="Times New Roman" w:hAnsi="Times New Roman" w:eastAsia="宋体" w:cs="Times New Roman"/>
          <w:b/>
          <w:bCs/>
          <w:color w:val="auto"/>
          <w:kern w:val="0"/>
          <w:sz w:val="32"/>
          <w:szCs w:val="32"/>
          <w:highlight w:val="none"/>
        </w:rPr>
      </w:pPr>
      <w:r>
        <w:rPr>
          <w:rFonts w:hint="default" w:ascii="Times New Roman" w:hAnsi="Times New Roman" w:eastAsia="宋体" w:cs="Times New Roman"/>
          <w:b/>
          <w:bCs/>
          <w:color w:val="auto"/>
          <w:kern w:val="0"/>
          <w:sz w:val="32"/>
          <w:szCs w:val="32"/>
          <w:highlight w:val="none"/>
          <w:lang w:val="en-US" w:eastAsia="zh-CN"/>
        </w:rPr>
        <w:t xml:space="preserve">4 </w:t>
      </w:r>
      <w:r>
        <w:rPr>
          <w:rFonts w:hint="default" w:ascii="Times New Roman" w:hAnsi="Times New Roman" w:eastAsia="宋体" w:cs="Times New Roman"/>
          <w:b/>
          <w:bCs/>
          <w:color w:val="auto"/>
          <w:kern w:val="0"/>
          <w:sz w:val="32"/>
          <w:szCs w:val="32"/>
          <w:highlight w:val="none"/>
        </w:rPr>
        <w:t>环境风险评价等级及评价范围</w:t>
      </w:r>
      <w:bookmarkEnd w:id="61"/>
      <w:bookmarkEnd w:id="62"/>
    </w:p>
    <w:p w14:paraId="294F8F90">
      <w:pPr>
        <w:keepNext/>
        <w:keepLines/>
        <w:widowControl/>
        <w:adjustRightInd w:val="0"/>
        <w:snapToGrid w:val="0"/>
        <w:spacing w:before="0" w:after="0" w:line="360" w:lineRule="auto"/>
        <w:outlineLvl w:val="2"/>
        <w:rPr>
          <w:rFonts w:hint="default" w:ascii="Times New Roman" w:hAnsi="Times New Roman" w:eastAsia="宋体" w:cs="Times New Roman"/>
          <w:b/>
          <w:bCs/>
          <w:color w:val="auto"/>
          <w:kern w:val="0"/>
          <w:sz w:val="30"/>
          <w:szCs w:val="30"/>
          <w:highlight w:val="none"/>
        </w:rPr>
      </w:pPr>
      <w:bookmarkStart w:id="63" w:name="_Toc18027"/>
      <w:r>
        <w:rPr>
          <w:rFonts w:hint="default" w:ascii="Times New Roman" w:hAnsi="Times New Roman" w:eastAsia="宋体" w:cs="Times New Roman"/>
          <w:b/>
          <w:bCs/>
          <w:color w:val="auto"/>
          <w:kern w:val="0"/>
          <w:sz w:val="30"/>
          <w:szCs w:val="30"/>
          <w:highlight w:val="none"/>
          <w:lang w:eastAsia="zh-CN"/>
        </w:rPr>
        <w:t>4.</w:t>
      </w:r>
      <w:r>
        <w:rPr>
          <w:rFonts w:hint="default" w:ascii="Times New Roman" w:hAnsi="Times New Roman" w:eastAsia="宋体" w:cs="Times New Roman"/>
          <w:b/>
          <w:bCs/>
          <w:color w:val="auto"/>
          <w:kern w:val="0"/>
          <w:sz w:val="30"/>
          <w:szCs w:val="30"/>
          <w:highlight w:val="none"/>
        </w:rPr>
        <w:t>1 环境风险评价等级</w:t>
      </w:r>
      <w:bookmarkEnd w:id="63"/>
    </w:p>
    <w:p w14:paraId="3F61350C">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1、环境风险潜势划分</w:t>
      </w:r>
    </w:p>
    <w:p w14:paraId="3FE9145F">
      <w:pPr>
        <w:adjustRightInd w:val="0"/>
        <w:snapToGrid w:val="0"/>
        <w:spacing w:line="360" w:lineRule="auto"/>
        <w:ind w:firstLine="480" w:firstLineChars="200"/>
        <w:rPr>
          <w:rFonts w:hint="default" w:ascii="Times New Roman" w:hAnsi="Times New Roman" w:eastAsia="宋体" w:cs="Times New Roman"/>
          <w:color w:val="auto"/>
          <w:kern w:val="0"/>
          <w:sz w:val="24"/>
          <w:highlight w:val="yellow"/>
        </w:rPr>
      </w:pPr>
      <w:r>
        <w:rPr>
          <w:rFonts w:hint="default" w:ascii="Times New Roman" w:hAnsi="Times New Roman" w:eastAsia="宋体" w:cs="Times New Roman"/>
          <w:color w:val="auto"/>
          <w:kern w:val="0"/>
          <w:sz w:val="24"/>
        </w:rPr>
        <w:t>根据《建设项目环境风险评价技术导则》（HJ169-2018）附录B及附录C，本项目危险物质与工艺系统危害性（P）的等级为</w:t>
      </w:r>
      <w:r>
        <w:rPr>
          <w:rFonts w:hint="eastAsia" w:cs="Times New Roman"/>
          <w:color w:val="auto"/>
          <w:kern w:val="0"/>
          <w:sz w:val="24"/>
          <w:lang w:val="en-US" w:eastAsia="zh-CN"/>
        </w:rPr>
        <w:t>中</w:t>
      </w:r>
      <w:r>
        <w:rPr>
          <w:rFonts w:hint="default" w:ascii="Times New Roman" w:hAnsi="Times New Roman" w:eastAsia="宋体" w:cs="Times New Roman"/>
          <w:color w:val="auto"/>
          <w:kern w:val="0"/>
          <w:sz w:val="24"/>
        </w:rPr>
        <w:t>度危害（P</w:t>
      </w:r>
      <w:r>
        <w:rPr>
          <w:rFonts w:hint="eastAsia" w:cs="Times New Roman"/>
          <w:color w:val="auto"/>
          <w:kern w:val="0"/>
          <w:sz w:val="24"/>
          <w:lang w:val="en-US" w:eastAsia="zh-CN"/>
        </w:rPr>
        <w:t>2</w:t>
      </w:r>
      <w:r>
        <w:rPr>
          <w:rFonts w:hint="default" w:ascii="Times New Roman" w:hAnsi="Times New Roman" w:eastAsia="宋体" w:cs="Times New Roman"/>
          <w:color w:val="auto"/>
          <w:kern w:val="0"/>
          <w:sz w:val="24"/>
        </w:rPr>
        <w:t>）</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根据《建设项目环境风险评价技术导则》（HJ169-2018）附录D，项目大气环境敏感程度为环境</w:t>
      </w:r>
      <w:r>
        <w:rPr>
          <w:rFonts w:hint="eastAsia" w:cs="Times New Roman"/>
          <w:color w:val="auto"/>
          <w:kern w:val="0"/>
          <w:sz w:val="24"/>
          <w:lang w:val="en-US" w:eastAsia="zh-CN"/>
        </w:rPr>
        <w:t>中度</w:t>
      </w:r>
      <w:r>
        <w:rPr>
          <w:rFonts w:hint="default" w:ascii="Times New Roman" w:hAnsi="Times New Roman" w:eastAsia="宋体" w:cs="Times New Roman"/>
          <w:color w:val="auto"/>
          <w:kern w:val="0"/>
          <w:sz w:val="24"/>
        </w:rPr>
        <w:t>敏感区（E</w:t>
      </w:r>
      <w:r>
        <w:rPr>
          <w:rFonts w:hint="eastAsia" w:cs="Times New Roman"/>
          <w:color w:val="auto"/>
          <w:kern w:val="0"/>
          <w:sz w:val="24"/>
          <w:lang w:val="en-US" w:eastAsia="zh-CN"/>
        </w:rPr>
        <w:t>2</w:t>
      </w:r>
      <w:r>
        <w:rPr>
          <w:rFonts w:hint="default" w:ascii="Times New Roman" w:hAnsi="Times New Roman" w:eastAsia="宋体" w:cs="Times New Roman"/>
          <w:color w:val="auto"/>
          <w:kern w:val="0"/>
          <w:sz w:val="24"/>
        </w:rPr>
        <w:t>），项目地表水环境敏感程度为环境低度敏感区（E3），项目地下水环境敏感程度为环境</w:t>
      </w:r>
      <w:r>
        <w:rPr>
          <w:rFonts w:hint="default" w:ascii="Times New Roman" w:hAnsi="Times New Roman" w:eastAsia="宋体" w:cs="Times New Roman"/>
          <w:color w:val="auto"/>
          <w:kern w:val="0"/>
          <w:sz w:val="24"/>
          <w:lang w:eastAsia="zh-CN"/>
        </w:rPr>
        <w:t>低</w:t>
      </w:r>
      <w:r>
        <w:rPr>
          <w:rFonts w:hint="default" w:ascii="Times New Roman" w:hAnsi="Times New Roman" w:eastAsia="宋体" w:cs="Times New Roman"/>
          <w:color w:val="auto"/>
          <w:kern w:val="0"/>
          <w:sz w:val="24"/>
        </w:rPr>
        <w:t>度敏感区（E</w:t>
      </w:r>
      <w:r>
        <w:rPr>
          <w:rFonts w:hint="default" w:ascii="Times New Roman" w:hAnsi="Times New Roman" w:eastAsia="宋体" w:cs="Times New Roman"/>
          <w:color w:val="auto"/>
          <w:kern w:val="0"/>
          <w:sz w:val="24"/>
          <w:lang w:val="en-US" w:eastAsia="zh-CN"/>
        </w:rPr>
        <w:t>3</w:t>
      </w:r>
      <w:r>
        <w:rPr>
          <w:rFonts w:hint="default" w:ascii="Times New Roman" w:hAnsi="Times New Roman" w:eastAsia="宋体" w:cs="Times New Roman"/>
          <w:color w:val="auto"/>
          <w:kern w:val="0"/>
          <w:sz w:val="24"/>
        </w:rPr>
        <w:t>）。</w:t>
      </w:r>
    </w:p>
    <w:p w14:paraId="0FFFFDD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根据《建设项目环境风险评价技术导则》（HJ169－2018）表2划分依据，环境风险潜势划分依据见表</w:t>
      </w:r>
      <w:r>
        <w:rPr>
          <w:rFonts w:hint="default" w:ascii="Times New Roman" w:hAnsi="Times New Roman" w:eastAsia="宋体" w:cs="Times New Roman"/>
          <w:color w:val="auto"/>
          <w:kern w:val="0"/>
          <w:sz w:val="24"/>
          <w:lang w:eastAsia="zh-CN"/>
        </w:rPr>
        <w:t>4.1-</w:t>
      </w:r>
      <w:r>
        <w:rPr>
          <w:rFonts w:hint="default" w:ascii="Times New Roman" w:hAnsi="Times New Roman" w:eastAsia="宋体" w:cs="Times New Roman"/>
          <w:color w:val="auto"/>
          <w:kern w:val="0"/>
          <w:sz w:val="24"/>
        </w:rPr>
        <w:t>1。</w:t>
      </w:r>
    </w:p>
    <w:p w14:paraId="7E987C01">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4.1-</w:t>
      </w:r>
      <w:r>
        <w:rPr>
          <w:rFonts w:hint="default" w:ascii="Times New Roman" w:hAnsi="Times New Roman" w:eastAsia="宋体" w:cs="Times New Roman"/>
          <w:b/>
          <w:bCs/>
          <w:color w:val="auto"/>
          <w:kern w:val="0"/>
          <w:sz w:val="24"/>
        </w:rPr>
        <w:t xml:space="preserve">1  </w:t>
      </w:r>
      <w:r>
        <w:rPr>
          <w:rFonts w:hint="default" w:ascii="Times New Roman" w:hAnsi="Times New Roman" w:eastAsia="宋体" w:cs="Times New Roman"/>
          <w:b/>
          <w:bCs/>
          <w:color w:val="auto"/>
          <w:kern w:val="0"/>
          <w:sz w:val="24"/>
          <w:lang w:eastAsia="zh-CN"/>
        </w:rPr>
        <w:t>本项目</w:t>
      </w:r>
      <w:r>
        <w:rPr>
          <w:rFonts w:hint="default" w:ascii="Times New Roman" w:hAnsi="Times New Roman" w:eastAsia="宋体" w:cs="Times New Roman"/>
          <w:b/>
          <w:bCs/>
          <w:color w:val="auto"/>
          <w:kern w:val="0"/>
          <w:sz w:val="24"/>
        </w:rPr>
        <w:t>环境风险潜势划分表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047"/>
        <w:gridCol w:w="1459"/>
        <w:gridCol w:w="1850"/>
        <w:gridCol w:w="1732"/>
        <w:gridCol w:w="1766"/>
      </w:tblGrid>
      <w:tr w14:paraId="776F9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694" w:type="dxa"/>
            <w:vMerge w:val="restart"/>
            <w:shd w:val="clear" w:color="auto" w:fill="auto"/>
            <w:vAlign w:val="center"/>
          </w:tcPr>
          <w:p w14:paraId="3F1EED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环境敏感程度（E）</w:t>
            </w:r>
          </w:p>
        </w:tc>
        <w:tc>
          <w:tcPr>
            <w:tcW w:w="6014" w:type="dxa"/>
            <w:gridSpan w:val="4"/>
            <w:shd w:val="clear" w:color="auto" w:fill="auto"/>
            <w:vAlign w:val="center"/>
          </w:tcPr>
          <w:p w14:paraId="02830C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危险物质及工艺系统危害性（P）</w:t>
            </w:r>
          </w:p>
        </w:tc>
      </w:tr>
      <w:tr w14:paraId="07019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continue"/>
            <w:shd w:val="clear" w:color="auto" w:fill="auto"/>
            <w:vAlign w:val="center"/>
          </w:tcPr>
          <w:p w14:paraId="55FA67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p>
        </w:tc>
        <w:tc>
          <w:tcPr>
            <w:tcW w:w="1289" w:type="dxa"/>
            <w:shd w:val="clear" w:color="auto" w:fill="auto"/>
            <w:vAlign w:val="center"/>
          </w:tcPr>
          <w:p w14:paraId="641572C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val="0"/>
                <w:bCs w:val="0"/>
                <w:color w:val="auto"/>
                <w:szCs w:val="21"/>
              </w:rPr>
              <w:t>极度危害（P1）</w:t>
            </w:r>
          </w:p>
        </w:tc>
        <w:tc>
          <w:tcPr>
            <w:tcW w:w="1635" w:type="dxa"/>
            <w:shd w:val="clear" w:color="auto" w:fill="auto"/>
            <w:vAlign w:val="center"/>
          </w:tcPr>
          <w:p w14:paraId="37C14A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高度危害（P2）</w:t>
            </w:r>
          </w:p>
        </w:tc>
        <w:tc>
          <w:tcPr>
            <w:tcW w:w="1530" w:type="dxa"/>
            <w:shd w:val="clear" w:color="auto" w:fill="auto"/>
            <w:vAlign w:val="center"/>
          </w:tcPr>
          <w:p w14:paraId="6A8E98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中度危害（P3）</w:t>
            </w:r>
          </w:p>
        </w:tc>
        <w:tc>
          <w:tcPr>
            <w:tcW w:w="1560" w:type="dxa"/>
            <w:shd w:val="clear" w:color="auto" w:fill="auto"/>
            <w:vAlign w:val="center"/>
          </w:tcPr>
          <w:p w14:paraId="1AF4A4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轻度危害（P4）</w:t>
            </w:r>
          </w:p>
        </w:tc>
      </w:tr>
      <w:tr w14:paraId="52726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vAlign w:val="center"/>
          </w:tcPr>
          <w:p w14:paraId="51E5980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环境高度敏感区（E1）</w:t>
            </w:r>
          </w:p>
        </w:tc>
        <w:tc>
          <w:tcPr>
            <w:tcW w:w="1289" w:type="dxa"/>
            <w:shd w:val="clear" w:color="auto" w:fill="auto"/>
            <w:vAlign w:val="center"/>
          </w:tcPr>
          <w:p w14:paraId="42A253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r>
              <w:rPr>
                <w:rFonts w:hint="default" w:ascii="Times New Roman" w:hAnsi="Times New Roman" w:eastAsia="宋体" w:cs="Times New Roman"/>
                <w:color w:val="auto"/>
                <w:szCs w:val="21"/>
                <w:vertAlign w:val="superscript"/>
              </w:rPr>
              <w:t>+</w:t>
            </w:r>
          </w:p>
        </w:tc>
        <w:tc>
          <w:tcPr>
            <w:tcW w:w="1635" w:type="dxa"/>
            <w:shd w:val="clear" w:color="auto" w:fill="auto"/>
            <w:vAlign w:val="center"/>
          </w:tcPr>
          <w:p w14:paraId="27F79D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p>
        </w:tc>
        <w:tc>
          <w:tcPr>
            <w:tcW w:w="1530" w:type="dxa"/>
            <w:shd w:val="clear" w:color="auto" w:fill="auto"/>
            <w:vAlign w:val="center"/>
          </w:tcPr>
          <w:p w14:paraId="4BB82A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3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III</w:t>
            </w:r>
            <w:r>
              <w:rPr>
                <w:rFonts w:hint="default" w:ascii="Times New Roman" w:hAnsi="Times New Roman" w:eastAsia="宋体" w:cs="Times New Roman"/>
                <w:color w:val="auto"/>
                <w:szCs w:val="21"/>
              </w:rPr>
              <w:fldChar w:fldCharType="end"/>
            </w:r>
          </w:p>
        </w:tc>
        <w:tc>
          <w:tcPr>
            <w:tcW w:w="1560" w:type="dxa"/>
            <w:shd w:val="clear" w:color="auto" w:fill="auto"/>
            <w:vAlign w:val="center"/>
          </w:tcPr>
          <w:p w14:paraId="4FB4EFB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r>
      <w:tr w14:paraId="434D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94" w:type="dxa"/>
            <w:shd w:val="clear" w:color="auto" w:fill="auto"/>
            <w:vAlign w:val="center"/>
          </w:tcPr>
          <w:p w14:paraId="48C0BDB7">
            <w:pPr>
              <w:keepNext w:val="0"/>
              <w:keepLines w:val="0"/>
              <w:suppressLineNumbers w:val="0"/>
              <w:spacing w:before="0" w:beforeAutospacing="0" w:after="0" w:afterAutospacing="0"/>
              <w:ind w:left="-105" w:leftChars="-50" w:right="-90" w:rightChars="-43"/>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环境中度敏感程度（E2）</w:t>
            </w:r>
          </w:p>
        </w:tc>
        <w:tc>
          <w:tcPr>
            <w:tcW w:w="1289" w:type="dxa"/>
            <w:shd w:val="clear" w:color="auto" w:fill="auto"/>
            <w:vAlign w:val="center"/>
          </w:tcPr>
          <w:p w14:paraId="543F7E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p>
        </w:tc>
        <w:tc>
          <w:tcPr>
            <w:tcW w:w="1635" w:type="dxa"/>
            <w:shd w:val="clear" w:color="auto" w:fill="auto"/>
            <w:vAlign w:val="center"/>
          </w:tcPr>
          <w:p w14:paraId="4933DEA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c>
          <w:tcPr>
            <w:tcW w:w="1530" w:type="dxa"/>
            <w:shd w:val="clear" w:color="auto" w:fill="auto"/>
            <w:vAlign w:val="center"/>
          </w:tcPr>
          <w:p w14:paraId="7652EF7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c>
          <w:tcPr>
            <w:tcW w:w="1560" w:type="dxa"/>
            <w:shd w:val="clear" w:color="auto" w:fill="auto"/>
            <w:vAlign w:val="center"/>
          </w:tcPr>
          <w:p w14:paraId="67F9F6F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2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w:t>
            </w:r>
            <w:r>
              <w:rPr>
                <w:rFonts w:hint="default" w:ascii="Times New Roman" w:hAnsi="Times New Roman" w:eastAsia="宋体" w:cs="Times New Roman"/>
                <w:b w:val="0"/>
                <w:bCs w:val="0"/>
                <w:color w:val="auto"/>
                <w:szCs w:val="21"/>
              </w:rPr>
              <w:fldChar w:fldCharType="end"/>
            </w:r>
          </w:p>
        </w:tc>
      </w:tr>
      <w:tr w14:paraId="11B48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vAlign w:val="center"/>
          </w:tcPr>
          <w:p w14:paraId="313995F8">
            <w:pPr>
              <w:keepNext w:val="0"/>
              <w:keepLines w:val="0"/>
              <w:suppressLineNumbers w:val="0"/>
              <w:spacing w:before="0" w:beforeAutospacing="0" w:after="0" w:afterAutospacing="0"/>
              <w:ind w:left="-105" w:leftChars="-50" w:right="-90" w:rightChars="-43"/>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环境低度敏感程度（E3）</w:t>
            </w:r>
          </w:p>
        </w:tc>
        <w:tc>
          <w:tcPr>
            <w:tcW w:w="1289" w:type="dxa"/>
            <w:shd w:val="clear" w:color="auto" w:fill="auto"/>
            <w:vAlign w:val="center"/>
          </w:tcPr>
          <w:p w14:paraId="23163C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3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III</w:t>
            </w:r>
            <w:r>
              <w:rPr>
                <w:rFonts w:hint="default" w:ascii="Times New Roman" w:hAnsi="Times New Roman" w:eastAsia="宋体" w:cs="Times New Roman"/>
                <w:color w:val="auto"/>
                <w:szCs w:val="21"/>
              </w:rPr>
              <w:fldChar w:fldCharType="end"/>
            </w:r>
          </w:p>
        </w:tc>
        <w:tc>
          <w:tcPr>
            <w:tcW w:w="1635" w:type="dxa"/>
            <w:shd w:val="clear" w:color="auto" w:fill="auto"/>
            <w:vAlign w:val="center"/>
          </w:tcPr>
          <w:p w14:paraId="5863052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c>
          <w:tcPr>
            <w:tcW w:w="1530" w:type="dxa"/>
            <w:shd w:val="clear" w:color="auto" w:fill="auto"/>
            <w:vAlign w:val="center"/>
          </w:tcPr>
          <w:p w14:paraId="3E47CED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2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w:t>
            </w:r>
            <w:r>
              <w:rPr>
                <w:rFonts w:hint="default" w:ascii="Times New Roman" w:hAnsi="Times New Roman" w:eastAsia="宋体" w:cs="Times New Roman"/>
                <w:b w:val="0"/>
                <w:bCs w:val="0"/>
                <w:color w:val="auto"/>
                <w:szCs w:val="21"/>
              </w:rPr>
              <w:fldChar w:fldCharType="end"/>
            </w:r>
          </w:p>
        </w:tc>
        <w:tc>
          <w:tcPr>
            <w:tcW w:w="1560" w:type="dxa"/>
            <w:shd w:val="clear" w:color="auto" w:fill="auto"/>
            <w:vAlign w:val="center"/>
          </w:tcPr>
          <w:p w14:paraId="1EAB9C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1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w:t>
            </w:r>
            <w:r>
              <w:rPr>
                <w:rFonts w:hint="default" w:ascii="Times New Roman" w:hAnsi="Times New Roman" w:eastAsia="宋体" w:cs="Times New Roman"/>
                <w:b w:val="0"/>
                <w:bCs w:val="0"/>
                <w:color w:val="auto"/>
                <w:szCs w:val="21"/>
              </w:rPr>
              <w:fldChar w:fldCharType="end"/>
            </w:r>
          </w:p>
        </w:tc>
      </w:tr>
      <w:tr w14:paraId="1659D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8" w:type="dxa"/>
            <w:gridSpan w:val="5"/>
            <w:shd w:val="clear" w:color="auto" w:fill="auto"/>
            <w:vAlign w:val="center"/>
          </w:tcPr>
          <w:p w14:paraId="191F3E18">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注：</w:t>
            </w: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r>
              <w:rPr>
                <w:rFonts w:hint="default" w:ascii="Times New Roman" w:hAnsi="Times New Roman" w:eastAsia="宋体" w:cs="Times New Roman"/>
                <w:color w:val="auto"/>
                <w:szCs w:val="21"/>
                <w:vertAlign w:val="superscript"/>
              </w:rPr>
              <w:t>+</w:t>
            </w:r>
            <w:r>
              <w:rPr>
                <w:rFonts w:hint="default" w:ascii="Times New Roman" w:hAnsi="Times New Roman" w:eastAsia="宋体" w:cs="Times New Roman"/>
                <w:color w:val="auto"/>
                <w:szCs w:val="21"/>
              </w:rPr>
              <w:t>为极高环境风险</w:t>
            </w:r>
          </w:p>
        </w:tc>
      </w:tr>
    </w:tbl>
    <w:p w14:paraId="67DC3905">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根据《建设项</w:t>
      </w:r>
      <w:r>
        <w:rPr>
          <w:rFonts w:hint="default" w:ascii="Times New Roman" w:hAnsi="Times New Roman" w:eastAsia="宋体" w:cs="Times New Roman"/>
          <w:color w:val="auto"/>
          <w:kern w:val="0"/>
          <w:sz w:val="24"/>
          <w:szCs w:val="24"/>
          <w:highlight w:val="none"/>
        </w:rPr>
        <w:t>目环境风险评价技术导则》（HJ169－2018）表2划分依据，本项目大气环境风险潜势为</w:t>
      </w: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3 \* ROMAN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eastAsia="宋体" w:cs="Times New Roman"/>
          <w:color w:val="auto"/>
          <w:kern w:val="0"/>
          <w:sz w:val="24"/>
          <w:szCs w:val="24"/>
          <w:highlight w:val="none"/>
        </w:rPr>
        <w:t>III</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rPr>
        <w:t>，地表水环境风险潜势为</w:t>
      </w: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3 \* ROMAN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eastAsia="宋体" w:cs="Times New Roman"/>
          <w:color w:val="auto"/>
          <w:kern w:val="0"/>
          <w:sz w:val="24"/>
          <w:szCs w:val="24"/>
          <w:highlight w:val="none"/>
        </w:rPr>
        <w:t>III</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rPr>
        <w:t>，地下水环境风险潜势为</w:t>
      </w: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3 \* ROMAN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eastAsia="宋体" w:cs="Times New Roman"/>
          <w:color w:val="auto"/>
          <w:kern w:val="0"/>
          <w:sz w:val="24"/>
          <w:szCs w:val="24"/>
          <w:highlight w:val="none"/>
        </w:rPr>
        <w:t>III</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rPr>
        <w:t>。</w:t>
      </w:r>
    </w:p>
    <w:p w14:paraId="56349A28">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2、环境风险评价等级的确定</w:t>
      </w:r>
    </w:p>
    <w:p w14:paraId="7322109F">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《建设项目环境风险评价技术导则》（HJ169-2018）给出的评价工作等级确定原则见表</w:t>
      </w:r>
      <w:r>
        <w:rPr>
          <w:rFonts w:hint="default" w:ascii="Times New Roman" w:hAnsi="Times New Roman" w:eastAsia="宋体" w:cs="Times New Roman"/>
          <w:color w:val="auto"/>
          <w:kern w:val="0"/>
          <w:sz w:val="24"/>
          <w:lang w:eastAsia="zh-CN"/>
        </w:rPr>
        <w:t>4.1-</w:t>
      </w:r>
      <w:r>
        <w:rPr>
          <w:rFonts w:hint="default" w:ascii="Times New Roman" w:hAnsi="Times New Roman" w:eastAsia="宋体" w:cs="Times New Roman"/>
          <w:color w:val="auto"/>
          <w:kern w:val="0"/>
          <w:sz w:val="24"/>
        </w:rPr>
        <w:t>2。</w:t>
      </w:r>
    </w:p>
    <w:p w14:paraId="17E5480D">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4.1-</w:t>
      </w:r>
      <w:r>
        <w:rPr>
          <w:rFonts w:hint="default" w:ascii="Times New Roman" w:hAnsi="Times New Roman" w:eastAsia="宋体" w:cs="Times New Roman"/>
          <w:b/>
          <w:bCs/>
          <w:color w:val="auto"/>
          <w:kern w:val="0"/>
          <w:sz w:val="24"/>
        </w:rPr>
        <w:t>2  环境风险评价工作等级的划分</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971"/>
        <w:gridCol w:w="1971"/>
        <w:gridCol w:w="1970"/>
        <w:gridCol w:w="1970"/>
        <w:gridCol w:w="1970"/>
      </w:tblGrid>
      <w:tr w14:paraId="5DB19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705" w:type="dxa"/>
            <w:shd w:val="clear" w:color="auto" w:fill="auto"/>
            <w:vAlign w:val="center"/>
          </w:tcPr>
          <w:p w14:paraId="3F8648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环境风险潜势</w:t>
            </w:r>
          </w:p>
        </w:tc>
        <w:tc>
          <w:tcPr>
            <w:tcW w:w="1705" w:type="dxa"/>
            <w:shd w:val="clear" w:color="auto" w:fill="auto"/>
            <w:vAlign w:val="center"/>
          </w:tcPr>
          <w:p w14:paraId="2BFD9F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IV</w:t>
            </w:r>
            <w:r>
              <w:rPr>
                <w:rFonts w:hint="default" w:ascii="Times New Roman" w:hAnsi="Times New Roman" w:eastAsia="宋体" w:cs="Times New Roman"/>
                <w:color w:val="auto"/>
                <w:kern w:val="0"/>
                <w:szCs w:val="21"/>
                <w:vertAlign w:val="superscript"/>
              </w:rPr>
              <w:t>+</w:t>
            </w:r>
            <w:r>
              <w:rPr>
                <w:rFonts w:hint="default" w:ascii="Times New Roman" w:hAnsi="Times New Roman" w:eastAsia="宋体" w:cs="Times New Roman"/>
                <w:color w:val="auto"/>
                <w:kern w:val="0"/>
                <w:szCs w:val="21"/>
              </w:rPr>
              <w:t>，IV</w:t>
            </w:r>
          </w:p>
        </w:tc>
        <w:tc>
          <w:tcPr>
            <w:tcW w:w="1705" w:type="dxa"/>
            <w:shd w:val="clear" w:color="auto" w:fill="auto"/>
            <w:vAlign w:val="center"/>
          </w:tcPr>
          <w:p w14:paraId="23807D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III</w:t>
            </w:r>
          </w:p>
        </w:tc>
        <w:tc>
          <w:tcPr>
            <w:tcW w:w="1705" w:type="dxa"/>
            <w:shd w:val="clear" w:color="auto" w:fill="auto"/>
            <w:vAlign w:val="center"/>
          </w:tcPr>
          <w:p w14:paraId="4C8505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II</w:t>
            </w:r>
          </w:p>
        </w:tc>
        <w:tc>
          <w:tcPr>
            <w:tcW w:w="1705" w:type="dxa"/>
            <w:shd w:val="clear" w:color="auto" w:fill="auto"/>
            <w:vAlign w:val="center"/>
          </w:tcPr>
          <w:p w14:paraId="6C444B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I</w:t>
            </w:r>
          </w:p>
        </w:tc>
      </w:tr>
      <w:tr w14:paraId="33C8B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705" w:type="dxa"/>
            <w:shd w:val="clear" w:color="auto" w:fill="auto"/>
            <w:vAlign w:val="center"/>
          </w:tcPr>
          <w:p w14:paraId="1FA19E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评价工作等级</w:t>
            </w:r>
          </w:p>
        </w:tc>
        <w:tc>
          <w:tcPr>
            <w:tcW w:w="1705" w:type="dxa"/>
            <w:shd w:val="clear" w:color="auto" w:fill="auto"/>
            <w:vAlign w:val="center"/>
          </w:tcPr>
          <w:p w14:paraId="7B6667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w:t>
            </w:r>
          </w:p>
        </w:tc>
        <w:tc>
          <w:tcPr>
            <w:tcW w:w="1705" w:type="dxa"/>
            <w:shd w:val="clear" w:color="auto" w:fill="auto"/>
            <w:vAlign w:val="center"/>
          </w:tcPr>
          <w:p w14:paraId="324E002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二</w:t>
            </w:r>
          </w:p>
        </w:tc>
        <w:tc>
          <w:tcPr>
            <w:tcW w:w="1705" w:type="dxa"/>
            <w:shd w:val="clear" w:color="auto" w:fill="auto"/>
            <w:vAlign w:val="center"/>
          </w:tcPr>
          <w:p w14:paraId="3782C99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highlight w:val="none"/>
              </w:rPr>
              <w:t>三</w:t>
            </w:r>
          </w:p>
        </w:tc>
        <w:tc>
          <w:tcPr>
            <w:tcW w:w="1705" w:type="dxa"/>
            <w:shd w:val="clear" w:color="auto" w:fill="auto"/>
            <w:vAlign w:val="center"/>
          </w:tcPr>
          <w:p w14:paraId="04046A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简单分析</w:t>
            </w:r>
          </w:p>
        </w:tc>
      </w:tr>
    </w:tbl>
    <w:p w14:paraId="18BA2D4C">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rPr>
        <w:t>根据《建设项目环境</w:t>
      </w:r>
      <w:r>
        <w:rPr>
          <w:rFonts w:hint="default" w:ascii="Times New Roman" w:hAnsi="Times New Roman" w:eastAsia="宋体" w:cs="Times New Roman"/>
          <w:color w:val="auto"/>
          <w:kern w:val="0"/>
          <w:sz w:val="24"/>
          <w:highlight w:val="none"/>
        </w:rPr>
        <w:t>风险评价技术导则》（HJ169-2018）的规定，确定本项目大气环境风险评价等级为</w:t>
      </w:r>
      <w:r>
        <w:rPr>
          <w:rFonts w:hint="default" w:ascii="Times New Roman" w:hAnsi="Times New Roman" w:eastAsia="宋体" w:cs="Times New Roman"/>
          <w:color w:val="auto"/>
          <w:kern w:val="0"/>
          <w:sz w:val="24"/>
          <w:highlight w:val="none"/>
          <w:lang w:val="en-US" w:eastAsia="zh-CN"/>
        </w:rPr>
        <w:t>二</w:t>
      </w:r>
      <w:r>
        <w:rPr>
          <w:rFonts w:hint="default" w:ascii="Times New Roman" w:hAnsi="Times New Roman" w:eastAsia="宋体" w:cs="Times New Roman"/>
          <w:color w:val="auto"/>
          <w:kern w:val="0"/>
          <w:sz w:val="24"/>
          <w:highlight w:val="none"/>
        </w:rPr>
        <w:t>级，地表水环境风险评价等级为</w:t>
      </w:r>
      <w:r>
        <w:rPr>
          <w:rFonts w:hint="default" w:ascii="Times New Roman" w:hAnsi="Times New Roman" w:eastAsia="宋体" w:cs="Times New Roman"/>
          <w:color w:val="auto"/>
          <w:kern w:val="0"/>
          <w:sz w:val="24"/>
          <w:highlight w:val="none"/>
          <w:lang w:val="en-US" w:eastAsia="zh-CN"/>
        </w:rPr>
        <w:t>二</w:t>
      </w:r>
      <w:r>
        <w:rPr>
          <w:rFonts w:hint="default" w:ascii="Times New Roman" w:hAnsi="Times New Roman" w:eastAsia="宋体" w:cs="Times New Roman"/>
          <w:color w:val="auto"/>
          <w:kern w:val="0"/>
          <w:sz w:val="24"/>
          <w:highlight w:val="none"/>
        </w:rPr>
        <w:t>级，地下水环境风险评价等级为</w:t>
      </w:r>
      <w:r>
        <w:rPr>
          <w:rFonts w:hint="default" w:ascii="Times New Roman" w:hAnsi="Times New Roman" w:eastAsia="宋体" w:cs="Times New Roman"/>
          <w:color w:val="auto"/>
          <w:kern w:val="0"/>
          <w:sz w:val="24"/>
          <w:highlight w:val="none"/>
          <w:lang w:val="en-US" w:eastAsia="zh-CN"/>
        </w:rPr>
        <w:t>二</w:t>
      </w:r>
      <w:r>
        <w:rPr>
          <w:rFonts w:hint="default" w:ascii="Times New Roman" w:hAnsi="Times New Roman" w:eastAsia="宋体" w:cs="Times New Roman"/>
          <w:color w:val="auto"/>
          <w:kern w:val="0"/>
          <w:sz w:val="24"/>
          <w:highlight w:val="none"/>
        </w:rPr>
        <w:t>级。</w:t>
      </w:r>
    </w:p>
    <w:p w14:paraId="20A8E73F">
      <w:pPr>
        <w:keepNext/>
        <w:keepLines/>
        <w:widowControl/>
        <w:spacing w:before="120" w:after="120" w:line="360" w:lineRule="auto"/>
        <w:outlineLvl w:val="2"/>
        <w:rPr>
          <w:rFonts w:hint="default" w:ascii="Times New Roman" w:hAnsi="Times New Roman" w:eastAsia="宋体" w:cs="Times New Roman"/>
          <w:b/>
          <w:bCs/>
          <w:color w:val="auto"/>
          <w:kern w:val="0"/>
          <w:sz w:val="30"/>
          <w:szCs w:val="30"/>
        </w:rPr>
      </w:pPr>
      <w:bookmarkStart w:id="64" w:name="_Toc19117"/>
      <w:r>
        <w:rPr>
          <w:rFonts w:hint="default" w:ascii="Times New Roman" w:hAnsi="Times New Roman" w:eastAsia="宋体" w:cs="Times New Roman"/>
          <w:b/>
          <w:bCs/>
          <w:color w:val="auto"/>
          <w:kern w:val="0"/>
          <w:sz w:val="30"/>
          <w:szCs w:val="30"/>
          <w:lang w:eastAsia="zh-CN"/>
        </w:rPr>
        <w:t>4.</w:t>
      </w:r>
      <w:r>
        <w:rPr>
          <w:rFonts w:hint="default" w:ascii="Times New Roman" w:hAnsi="Times New Roman" w:eastAsia="宋体" w:cs="Times New Roman"/>
          <w:b/>
          <w:bCs/>
          <w:color w:val="auto"/>
          <w:kern w:val="0"/>
          <w:sz w:val="30"/>
          <w:szCs w:val="30"/>
        </w:rPr>
        <w:t>2 环境风险评价范围</w:t>
      </w:r>
      <w:bookmarkEnd w:id="64"/>
    </w:p>
    <w:p w14:paraId="2EA69084">
      <w:pPr>
        <w:spacing w:line="360" w:lineRule="auto"/>
        <w:ind w:firstLine="480" w:firstLineChars="200"/>
        <w:rPr>
          <w:rFonts w:hint="eastAsia" w:cs="Times New Roman"/>
          <w:color w:val="auto"/>
          <w:kern w:val="0"/>
          <w:sz w:val="24"/>
          <w:lang w:eastAsia="zh-CN"/>
        </w:rPr>
      </w:pPr>
      <w:r>
        <w:rPr>
          <w:rFonts w:hint="default" w:ascii="Times New Roman" w:hAnsi="Times New Roman" w:eastAsia="宋体" w:cs="Times New Roman"/>
          <w:color w:val="auto"/>
          <w:kern w:val="0"/>
          <w:sz w:val="24"/>
        </w:rPr>
        <w:t>根据建设项目环境风险评价技术导则，大气环境风险评价范围：以厂界为边界，外延</w:t>
      </w:r>
      <w:r>
        <w:rPr>
          <w:rFonts w:hint="eastAsia" w:cs="Times New Roman"/>
          <w:color w:val="auto"/>
          <w:kern w:val="0"/>
          <w:sz w:val="24"/>
          <w:lang w:val="en-US" w:eastAsia="zh-CN"/>
        </w:rPr>
        <w:t>3</w:t>
      </w:r>
      <w:r>
        <w:rPr>
          <w:rFonts w:hint="default" w:ascii="Times New Roman" w:hAnsi="Times New Roman" w:eastAsia="宋体" w:cs="Times New Roman"/>
          <w:color w:val="auto"/>
          <w:kern w:val="0"/>
          <w:sz w:val="24"/>
        </w:rPr>
        <w:t>km的区域</w:t>
      </w:r>
      <w:r>
        <w:rPr>
          <w:rFonts w:hint="eastAsia" w:cs="Times New Roman"/>
          <w:color w:val="auto"/>
          <w:kern w:val="0"/>
          <w:sz w:val="24"/>
          <w:lang w:eastAsia="zh-CN"/>
        </w:rPr>
        <w:t>。</w:t>
      </w:r>
    </w:p>
    <w:p w14:paraId="2609CBDC">
      <w:pPr>
        <w:spacing w:line="360" w:lineRule="auto"/>
        <w:ind w:firstLine="480" w:firstLineChars="200"/>
        <w:rPr>
          <w:rFonts w:hint="eastAsia" w:cs="Times New Roman"/>
          <w:color w:val="auto"/>
          <w:kern w:val="0"/>
          <w:sz w:val="24"/>
          <w:lang w:val="en-US" w:eastAsia="zh-CN"/>
        </w:rPr>
      </w:pPr>
      <w:r>
        <w:rPr>
          <w:rFonts w:hint="eastAsia" w:cs="Times New Roman"/>
          <w:color w:val="auto"/>
          <w:kern w:val="0"/>
          <w:sz w:val="24"/>
          <w:lang w:val="en-US" w:eastAsia="zh-CN"/>
        </w:rPr>
        <w:t>地表水环境风险评价范围参照《环境影响评价技术导则 地表水环境》（HJ2.3-2018）：厂区范围内，事故废水不得排出厂区，评价事故废水场内收集可行性。</w:t>
      </w:r>
    </w:p>
    <w:p w14:paraId="4C954B7A">
      <w:pPr>
        <w:spacing w:line="360" w:lineRule="auto"/>
        <w:ind w:firstLine="480" w:firstLineChars="200"/>
        <w:rPr>
          <w:rFonts w:hint="default" w:cs="Times New Roman"/>
          <w:color w:val="auto"/>
          <w:kern w:val="0"/>
          <w:sz w:val="24"/>
          <w:lang w:val="en-US" w:eastAsia="zh-CN"/>
        </w:rPr>
      </w:pPr>
      <w:r>
        <w:rPr>
          <w:rFonts w:hint="eastAsia" w:cs="Times New Roman"/>
          <w:color w:val="auto"/>
          <w:kern w:val="0"/>
          <w:sz w:val="24"/>
          <w:lang w:val="en-US" w:eastAsia="zh-CN"/>
        </w:rPr>
        <w:t>地下水环境风险评价范围参照《环境影响评价技术导则 地下水环境》（HJ610-2016），依据《环境影响评价技术导则 地下水环境》（HJ 610-2016）的要求，地下水环境现状调查评价范围应包括与建设项目相关的地下水环境保护目标，以能够说明地下水环境基本现状，反映调查评价区地下水基本流场特征，满足地下水环境影响预测和评价为基本原则。根据本项目场地实际环境情况以及地下水流向确定本项目调查评价的范围为包含场区范围的面积约20km</w:t>
      </w:r>
      <w:r>
        <w:rPr>
          <w:rFonts w:hint="eastAsia" w:cs="Times New Roman"/>
          <w:color w:val="auto"/>
          <w:kern w:val="0"/>
          <w:sz w:val="24"/>
          <w:vertAlign w:val="superscript"/>
          <w:lang w:val="en-US" w:eastAsia="zh-CN"/>
        </w:rPr>
        <w:t>2</w:t>
      </w:r>
      <w:r>
        <w:rPr>
          <w:rFonts w:hint="eastAsia" w:cs="Times New Roman"/>
          <w:color w:val="auto"/>
          <w:kern w:val="0"/>
          <w:sz w:val="24"/>
          <w:lang w:val="en-US" w:eastAsia="zh-CN"/>
        </w:rPr>
        <w:t>的水文地质单元。</w:t>
      </w:r>
    </w:p>
    <w:p w14:paraId="15A887A0">
      <w:pPr>
        <w:keepNext/>
        <w:keepLines/>
        <w:widowControl/>
        <w:spacing w:before="120" w:after="120" w:line="360" w:lineRule="auto"/>
        <w:jc w:val="left"/>
        <w:outlineLvl w:val="1"/>
        <w:rPr>
          <w:rFonts w:hint="default" w:ascii="Times New Roman" w:hAnsi="Times New Roman" w:eastAsia="宋体" w:cs="Times New Roman"/>
          <w:b/>
          <w:bCs/>
          <w:color w:val="auto"/>
          <w:kern w:val="0"/>
          <w:sz w:val="32"/>
          <w:szCs w:val="32"/>
          <w:highlight w:val="none"/>
        </w:rPr>
      </w:pPr>
      <w:bookmarkStart w:id="65" w:name="_Toc33691324"/>
      <w:bookmarkStart w:id="66" w:name="_Toc30131"/>
      <w:r>
        <w:rPr>
          <w:rFonts w:hint="default" w:ascii="Times New Roman" w:hAnsi="Times New Roman" w:eastAsia="宋体" w:cs="Times New Roman"/>
          <w:b/>
          <w:bCs/>
          <w:color w:val="auto"/>
          <w:kern w:val="0"/>
          <w:sz w:val="32"/>
          <w:szCs w:val="32"/>
          <w:highlight w:val="none"/>
          <w:lang w:val="en-US" w:eastAsia="zh-CN"/>
        </w:rPr>
        <w:t xml:space="preserve">5 </w:t>
      </w:r>
      <w:r>
        <w:rPr>
          <w:rFonts w:hint="default" w:ascii="Times New Roman" w:hAnsi="Times New Roman" w:eastAsia="宋体" w:cs="Times New Roman"/>
          <w:b/>
          <w:bCs/>
          <w:color w:val="auto"/>
          <w:kern w:val="0"/>
          <w:sz w:val="32"/>
          <w:szCs w:val="32"/>
          <w:highlight w:val="none"/>
        </w:rPr>
        <w:t>环境风险识别</w:t>
      </w:r>
      <w:bookmarkEnd w:id="65"/>
      <w:bookmarkEnd w:id="66"/>
    </w:p>
    <w:p w14:paraId="7013170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风险识别对象包括生产设施、所涉及物质、受影响的环境要素和环境保护目标。</w:t>
      </w:r>
    </w:p>
    <w:p w14:paraId="7F027F78">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 xml:space="preserve">（1）物质风险识别包括主要原材料及辅助材料、燃料、中间产品、最终产品、“三废”污染物、火灾和爆炸等伴生/次生的危险物质。 </w:t>
      </w:r>
    </w:p>
    <w:p w14:paraId="6C45E28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 xml:space="preserve">（2）生产设施风险识别包括主要生产装置、贮运系统、公用工程系统、辅助生产设施及环境保护设施等。 </w:t>
      </w:r>
    </w:p>
    <w:p w14:paraId="4BDABBE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（3）受影响的环境要素识别应当根据有毒有害物质排放途径确定，如大气环境、水环境、土壤、生态环境等，明确受影响的环境保护目标。</w:t>
      </w:r>
    </w:p>
    <w:p w14:paraId="1AFC1AA3">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（4）风险类型：根据有毒有害物质放散起因，分为火灾、爆炸和泄漏三种类型。</w:t>
      </w:r>
    </w:p>
    <w:p w14:paraId="0DFD58F8">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（5）危险源区域分布分析：按生产和储运系统，确定危险源点的范围和危险源区域的分布。按危险源潜在危险性、存在条件和触发因素进行危险性分析。</w:t>
      </w:r>
    </w:p>
    <w:p w14:paraId="7D802867">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67" w:name="_Toc30060"/>
      <w:r>
        <w:rPr>
          <w:rFonts w:hint="default" w:ascii="Times New Roman" w:hAnsi="Times New Roman" w:eastAsia="宋体" w:cs="Times New Roman"/>
          <w:b/>
          <w:bCs w:val="0"/>
          <w:color w:val="auto"/>
          <w:kern w:val="2"/>
          <w:sz w:val="30"/>
          <w:szCs w:val="30"/>
          <w:lang w:val="en-US" w:eastAsia="zh-CN"/>
        </w:rPr>
        <w:t>5.1 风险识别内容</w:t>
      </w:r>
      <w:bookmarkEnd w:id="67"/>
    </w:p>
    <w:p w14:paraId="13EDFA05">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 xml:space="preserve">（1）物质危险性识别，包括主要原辅材料、燃料、中间产品、副产品、最终产品、污染物、火灾和爆炸伴生/次生物等。 </w:t>
      </w:r>
    </w:p>
    <w:p w14:paraId="6931070C">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 xml:space="preserve">（2）生产系统危险性识别，包括主要生产装置、储运设施、公用工程和辅助生产设施，以及环境保护设施等。 </w:t>
      </w:r>
    </w:p>
    <w:p w14:paraId="34284B50">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 xml:space="preserve">（3）危险物质向环境转移的途径识别，包括分析危险物质特性及可能的环境风险类型，识别危险物质影响环境的途径，分析可能影响的环境敏感目标。 </w:t>
      </w:r>
    </w:p>
    <w:p w14:paraId="4A5E9270">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68" w:name="_Toc15185"/>
      <w:r>
        <w:rPr>
          <w:rFonts w:hint="default" w:ascii="Times New Roman" w:hAnsi="Times New Roman" w:eastAsia="宋体" w:cs="Times New Roman"/>
          <w:b/>
          <w:bCs w:val="0"/>
          <w:color w:val="auto"/>
          <w:kern w:val="2"/>
          <w:sz w:val="30"/>
          <w:szCs w:val="30"/>
          <w:lang w:val="en-US" w:eastAsia="zh-CN"/>
        </w:rPr>
        <w:t>5.2物质危险性识别</w:t>
      </w:r>
      <w:bookmarkEnd w:id="68"/>
    </w:p>
    <w:p w14:paraId="7E143FBC">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对本项目主要原辅材料、燃料、中间产品、副产品、最终产品、污染物、火灾和爆炸伴/次生物的危险物质进行分析，根据《建设项目环境风险评价技术导则》（HJ169-2018）附录B识别出本项目相关的有毒有害危险物质危险特性详见表</w:t>
      </w:r>
      <w:r>
        <w:rPr>
          <w:rFonts w:hint="eastAsia" w:cs="Times New Roman"/>
          <w:color w:val="auto"/>
          <w:kern w:val="0"/>
          <w:sz w:val="24"/>
          <w:lang w:val="en-US" w:eastAsia="zh-CN"/>
        </w:rPr>
        <w:t>5.2-1</w:t>
      </w:r>
      <w:r>
        <w:rPr>
          <w:rFonts w:hint="default" w:ascii="Times New Roman" w:hAnsi="Times New Roman" w:eastAsia="宋体" w:cs="Times New Roman"/>
          <w:color w:val="auto"/>
          <w:kern w:val="0"/>
          <w:sz w:val="24"/>
          <w:lang w:eastAsia="zh-CN"/>
        </w:rPr>
        <w:t>。</w:t>
      </w:r>
    </w:p>
    <w:p w14:paraId="19BC0B8E">
      <w:pPr>
        <w:ind w:firstLine="480"/>
        <w:jc w:val="center"/>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表</w:t>
      </w:r>
      <w:r>
        <w:rPr>
          <w:rFonts w:hint="default" w:ascii="Times New Roman" w:hAnsi="Times New Roman" w:eastAsia="宋体" w:cs="Times New Roman"/>
          <w:b/>
          <w:color w:val="auto"/>
          <w:kern w:val="0"/>
          <w:sz w:val="24"/>
          <w:szCs w:val="24"/>
          <w:lang w:val="en-US" w:eastAsia="zh-CN"/>
        </w:rPr>
        <w:t>5.2-1</w:t>
      </w:r>
      <w:r>
        <w:rPr>
          <w:rFonts w:hint="default" w:ascii="Times New Roman" w:hAnsi="Times New Roman" w:eastAsia="宋体" w:cs="Times New Roman"/>
          <w:b/>
          <w:color w:val="auto"/>
          <w:kern w:val="0"/>
          <w:sz w:val="24"/>
          <w:szCs w:val="24"/>
        </w:rPr>
        <w:t xml:space="preserve"> 本项目危险物质有毒有害危险特性一览表</w:t>
      </w:r>
    </w:p>
    <w:tbl>
      <w:tblPr>
        <w:tblStyle w:val="32"/>
        <w:tblW w:w="50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22"/>
        <w:gridCol w:w="2887"/>
        <w:gridCol w:w="5510"/>
      </w:tblGrid>
      <w:tr w14:paraId="09654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584DB37F">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714" w:type="dxa"/>
            <w:shd w:val="clear" w:color="auto" w:fill="auto"/>
            <w:noWrap w:val="0"/>
            <w:vAlign w:val="center"/>
          </w:tcPr>
          <w:p w14:paraId="5526D948">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分类</w:t>
            </w:r>
          </w:p>
        </w:tc>
        <w:tc>
          <w:tcPr>
            <w:tcW w:w="5182" w:type="dxa"/>
            <w:shd w:val="clear" w:color="auto" w:fill="auto"/>
            <w:noWrap w:val="0"/>
            <w:vAlign w:val="center"/>
          </w:tcPr>
          <w:p w14:paraId="43C05AB6">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危险物质</w:t>
            </w:r>
          </w:p>
        </w:tc>
      </w:tr>
      <w:tr w14:paraId="7F6B3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5FB085D0">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714" w:type="dxa"/>
            <w:shd w:val="clear" w:color="auto" w:fill="auto"/>
            <w:noWrap w:val="0"/>
            <w:vAlign w:val="center"/>
          </w:tcPr>
          <w:p w14:paraId="369A7D47">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原辅材料</w:t>
            </w:r>
          </w:p>
        </w:tc>
        <w:tc>
          <w:tcPr>
            <w:tcW w:w="5182" w:type="dxa"/>
            <w:shd w:val="clear" w:color="auto" w:fill="auto"/>
            <w:noWrap w:val="0"/>
            <w:vAlign w:val="center"/>
          </w:tcPr>
          <w:p w14:paraId="2BEBCEFD">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盐酸</w:t>
            </w:r>
          </w:p>
        </w:tc>
      </w:tr>
      <w:tr w14:paraId="358FE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35D75AE6">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714" w:type="dxa"/>
            <w:shd w:val="clear" w:color="auto" w:fill="auto"/>
            <w:noWrap w:val="0"/>
            <w:vAlign w:val="center"/>
          </w:tcPr>
          <w:p w14:paraId="09834B17">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燃料</w:t>
            </w:r>
          </w:p>
        </w:tc>
        <w:tc>
          <w:tcPr>
            <w:tcW w:w="5182" w:type="dxa"/>
            <w:shd w:val="clear" w:color="auto" w:fill="auto"/>
            <w:noWrap w:val="0"/>
            <w:vAlign w:val="center"/>
          </w:tcPr>
          <w:p w14:paraId="6D76CD45">
            <w:pPr>
              <w:keepNext w:val="0"/>
              <w:keepLines w:val="0"/>
              <w:suppressLineNumbers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天然气</w:t>
            </w:r>
          </w:p>
        </w:tc>
      </w:tr>
      <w:tr w14:paraId="24BD4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799C7FC3">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714" w:type="dxa"/>
            <w:shd w:val="clear" w:color="auto" w:fill="auto"/>
            <w:noWrap w:val="0"/>
            <w:vAlign w:val="center"/>
          </w:tcPr>
          <w:p w14:paraId="1EBA1E5A">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副产品</w:t>
            </w:r>
          </w:p>
        </w:tc>
        <w:tc>
          <w:tcPr>
            <w:tcW w:w="5182" w:type="dxa"/>
            <w:shd w:val="clear" w:color="auto" w:fill="auto"/>
            <w:noWrap w:val="0"/>
            <w:vAlign w:val="center"/>
          </w:tcPr>
          <w:p w14:paraId="0CCF9D02">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856D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700E0C64">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714" w:type="dxa"/>
            <w:shd w:val="clear" w:color="auto" w:fill="auto"/>
            <w:noWrap w:val="0"/>
            <w:vAlign w:val="center"/>
          </w:tcPr>
          <w:p w14:paraId="6D4C67B2">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中间产品</w:t>
            </w:r>
          </w:p>
        </w:tc>
        <w:tc>
          <w:tcPr>
            <w:tcW w:w="5182" w:type="dxa"/>
            <w:shd w:val="clear" w:color="auto" w:fill="auto"/>
            <w:noWrap w:val="0"/>
            <w:vAlign w:val="center"/>
          </w:tcPr>
          <w:p w14:paraId="22BD25FC">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8131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018EC65A">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714" w:type="dxa"/>
            <w:shd w:val="clear" w:color="auto" w:fill="auto"/>
            <w:noWrap w:val="0"/>
            <w:vAlign w:val="center"/>
          </w:tcPr>
          <w:p w14:paraId="2170C82A">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最终产品</w:t>
            </w:r>
          </w:p>
        </w:tc>
        <w:tc>
          <w:tcPr>
            <w:tcW w:w="5182" w:type="dxa"/>
            <w:shd w:val="clear" w:color="auto" w:fill="auto"/>
            <w:noWrap w:val="0"/>
            <w:vAlign w:val="center"/>
          </w:tcPr>
          <w:p w14:paraId="1D1F9BC1">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B232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0AE36F1C">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714" w:type="dxa"/>
            <w:shd w:val="clear" w:color="auto" w:fill="auto"/>
            <w:noWrap w:val="0"/>
            <w:vAlign w:val="center"/>
          </w:tcPr>
          <w:p w14:paraId="3A4A19ED">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5182" w:type="dxa"/>
            <w:shd w:val="clear" w:color="auto" w:fill="auto"/>
            <w:noWrap w:val="0"/>
            <w:vAlign w:val="center"/>
          </w:tcPr>
          <w:p w14:paraId="3273E877">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14:paraId="56AA9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243" w:type="dxa"/>
            <w:shd w:val="clear" w:color="auto" w:fill="auto"/>
            <w:noWrap w:val="0"/>
            <w:vAlign w:val="center"/>
          </w:tcPr>
          <w:p w14:paraId="50F28093">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714" w:type="dxa"/>
            <w:shd w:val="clear" w:color="auto" w:fill="auto"/>
            <w:noWrap w:val="0"/>
            <w:vAlign w:val="center"/>
          </w:tcPr>
          <w:p w14:paraId="18938CB5">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火灾和爆炸伴生/次生物等</w:t>
            </w:r>
          </w:p>
        </w:tc>
        <w:tc>
          <w:tcPr>
            <w:tcW w:w="5182" w:type="dxa"/>
            <w:shd w:val="clear" w:color="auto" w:fill="auto"/>
            <w:noWrap w:val="0"/>
            <w:vAlign w:val="center"/>
          </w:tcPr>
          <w:p w14:paraId="0403C66F">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w:t>
            </w:r>
          </w:p>
        </w:tc>
      </w:tr>
      <w:tr w14:paraId="07A00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1243" w:type="dxa"/>
            <w:shd w:val="clear" w:color="auto" w:fill="auto"/>
            <w:noWrap w:val="0"/>
            <w:vAlign w:val="center"/>
          </w:tcPr>
          <w:p w14:paraId="7CF8ACCE">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714" w:type="dxa"/>
            <w:shd w:val="clear" w:color="auto" w:fill="auto"/>
            <w:noWrap w:val="0"/>
            <w:vAlign w:val="center"/>
          </w:tcPr>
          <w:p w14:paraId="56CCBF76">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5182" w:type="dxa"/>
            <w:shd w:val="clear" w:color="auto" w:fill="auto"/>
            <w:noWrap w:val="0"/>
            <w:vAlign w:val="center"/>
          </w:tcPr>
          <w:p w14:paraId="5A9F8965">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r>
    </w:tbl>
    <w:p w14:paraId="2E19D68E">
      <w:pPr>
        <w:pStyle w:val="31"/>
        <w:keepNext w:val="0"/>
        <w:keepLines w:val="0"/>
        <w:pageBreakBefore w:val="0"/>
        <w:widowControl w:val="0"/>
        <w:kinsoku/>
        <w:wordWrap/>
        <w:overflowPunct/>
        <w:topLinePunct w:val="0"/>
        <w:autoSpaceDE/>
        <w:autoSpaceDN/>
        <w:bidi w:val="0"/>
        <w:adjustRightInd w:val="0"/>
        <w:snapToGrid w:val="0"/>
        <w:spacing w:beforeAutospacing="0" w:after="0" w:line="360" w:lineRule="auto"/>
        <w:ind w:left="0" w:leftChars="0" w:firstLine="0" w:firstLineChars="0"/>
        <w:jc w:val="center"/>
        <w:textAlignment w:val="auto"/>
        <w:outlineLvl w:val="9"/>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kern w:val="0"/>
          <w:sz w:val="24"/>
          <w:szCs w:val="24"/>
          <w:lang w:val="en-US" w:eastAsia="zh-CN"/>
        </w:rPr>
        <w:t>表5.2-2 原料主要</w:t>
      </w:r>
      <w:r>
        <w:rPr>
          <w:rFonts w:hint="eastAsia" w:cs="Times New Roman"/>
          <w:b/>
          <w:bCs w:val="0"/>
          <w:color w:val="auto"/>
          <w:kern w:val="0"/>
          <w:sz w:val="24"/>
          <w:szCs w:val="24"/>
          <w:lang w:val="en-US" w:eastAsia="zh-CN"/>
        </w:rPr>
        <w:t>风险物质</w:t>
      </w:r>
      <w:r>
        <w:rPr>
          <w:rFonts w:hint="default" w:ascii="Times New Roman" w:hAnsi="Times New Roman" w:eastAsia="宋体" w:cs="Times New Roman"/>
          <w:b/>
          <w:bCs w:val="0"/>
          <w:color w:val="auto"/>
          <w:kern w:val="0"/>
          <w:sz w:val="24"/>
          <w:szCs w:val="24"/>
          <w:lang w:val="en-US" w:eastAsia="zh-CN"/>
        </w:rPr>
        <w:t>性质和毒理性</w:t>
      </w:r>
    </w:p>
    <w:tbl>
      <w:tblPr>
        <w:tblStyle w:val="32"/>
        <w:tblW w:w="94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4"/>
        <w:gridCol w:w="1559"/>
        <w:gridCol w:w="2977"/>
        <w:gridCol w:w="1134"/>
        <w:gridCol w:w="1276"/>
        <w:gridCol w:w="1762"/>
      </w:tblGrid>
      <w:tr w14:paraId="70FEA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vAlign w:val="center"/>
          </w:tcPr>
          <w:p w14:paraId="648DE982">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序号</w:t>
            </w:r>
          </w:p>
        </w:tc>
        <w:tc>
          <w:tcPr>
            <w:tcW w:w="1559" w:type="dxa"/>
            <w:vAlign w:val="center"/>
          </w:tcPr>
          <w:p w14:paraId="462E953E">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危险物质名称</w:t>
            </w:r>
          </w:p>
        </w:tc>
        <w:tc>
          <w:tcPr>
            <w:tcW w:w="2977" w:type="dxa"/>
            <w:vAlign w:val="center"/>
          </w:tcPr>
          <w:p w14:paraId="728FF05C">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危险特性</w:t>
            </w:r>
          </w:p>
        </w:tc>
        <w:tc>
          <w:tcPr>
            <w:tcW w:w="1134" w:type="dxa"/>
            <w:vAlign w:val="center"/>
          </w:tcPr>
          <w:p w14:paraId="58C397E6">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燃烧性</w:t>
            </w:r>
          </w:p>
        </w:tc>
        <w:tc>
          <w:tcPr>
            <w:tcW w:w="1276" w:type="dxa"/>
            <w:tcBorders>
              <w:right w:val="single" w:color="auto" w:sz="2" w:space="0"/>
            </w:tcBorders>
            <w:vAlign w:val="center"/>
          </w:tcPr>
          <w:p w14:paraId="75F92826">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燃烧产物</w:t>
            </w:r>
          </w:p>
        </w:tc>
        <w:tc>
          <w:tcPr>
            <w:tcW w:w="1762" w:type="dxa"/>
            <w:tcBorders>
              <w:left w:val="single" w:color="auto" w:sz="2" w:space="0"/>
            </w:tcBorders>
            <w:vAlign w:val="center"/>
          </w:tcPr>
          <w:p w14:paraId="2683ED5C">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急性毒性</w:t>
            </w:r>
          </w:p>
        </w:tc>
      </w:tr>
      <w:tr w14:paraId="7B029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vAlign w:val="center"/>
          </w:tcPr>
          <w:p w14:paraId="248D2D4D">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1</w:t>
            </w:r>
          </w:p>
        </w:tc>
        <w:tc>
          <w:tcPr>
            <w:tcW w:w="1559" w:type="dxa"/>
            <w:vAlign w:val="center"/>
          </w:tcPr>
          <w:p w14:paraId="65767359">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天然气</w:t>
            </w:r>
          </w:p>
        </w:tc>
        <w:tc>
          <w:tcPr>
            <w:tcW w:w="2977" w:type="dxa"/>
            <w:vAlign w:val="center"/>
          </w:tcPr>
          <w:p w14:paraId="30AA52E3">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易燃，与空气混合能形成爆炸性混合物，遇热源和明火有燃烧爆炸的危险。与五氧化溴、氯气、次氯酸、三氟化氮、液氧、二氟化氧及其他强氧化剂接触剧烈反应</w:t>
            </w:r>
          </w:p>
        </w:tc>
        <w:tc>
          <w:tcPr>
            <w:tcW w:w="1134" w:type="dxa"/>
            <w:vAlign w:val="center"/>
          </w:tcPr>
          <w:p w14:paraId="49FD255E">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易燃</w:t>
            </w:r>
          </w:p>
        </w:tc>
        <w:tc>
          <w:tcPr>
            <w:tcW w:w="1276" w:type="dxa"/>
            <w:tcBorders>
              <w:right w:val="single" w:color="auto" w:sz="2" w:space="0"/>
            </w:tcBorders>
            <w:vAlign w:val="center"/>
          </w:tcPr>
          <w:p w14:paraId="171A5039">
            <w:pPr>
              <w:keepNext w:val="0"/>
              <w:keepLines w:val="0"/>
              <w:suppressLineNumbers w:val="0"/>
              <w:snapToGrid w:val="0"/>
              <w:spacing w:before="0" w:beforeAutospacing="0" w:after="0" w:afterAutospacing="0"/>
              <w:ind w:left="0" w:right="0"/>
              <w:jc w:val="center"/>
              <w:rPr>
                <w:rFonts w:hint="default"/>
                <w:color w:val="auto"/>
                <w:szCs w:val="21"/>
              </w:rPr>
            </w:pPr>
            <w:r>
              <w:rPr>
                <w:rFonts w:hint="default"/>
                <w:color w:val="auto"/>
                <w:szCs w:val="21"/>
              </w:rPr>
              <w:t>一氧化碳、二氧化碳、氮氧化物</w:t>
            </w:r>
          </w:p>
        </w:tc>
        <w:tc>
          <w:tcPr>
            <w:tcW w:w="1762" w:type="dxa"/>
            <w:tcBorders>
              <w:left w:val="single" w:color="auto" w:sz="2" w:space="0"/>
            </w:tcBorders>
            <w:vAlign w:val="center"/>
          </w:tcPr>
          <w:p w14:paraId="2DDA5961">
            <w:pPr>
              <w:keepNext w:val="0"/>
              <w:keepLines w:val="0"/>
              <w:suppressLineNumbers w:val="0"/>
              <w:snapToGrid w:val="0"/>
              <w:spacing w:before="0" w:beforeAutospacing="0" w:after="0" w:afterAutospacing="0"/>
              <w:ind w:left="0" w:right="0"/>
              <w:jc w:val="both"/>
              <w:rPr>
                <w:rFonts w:hint="default"/>
                <w:color w:val="auto"/>
                <w:szCs w:val="21"/>
              </w:rPr>
            </w:pPr>
            <w:r>
              <w:rPr>
                <w:rFonts w:hint="default"/>
                <w:color w:val="auto"/>
                <w:kern w:val="0"/>
                <w:szCs w:val="21"/>
              </w:rPr>
              <w:t>LD50：无资料，LC50：无资料</w:t>
            </w:r>
          </w:p>
        </w:tc>
      </w:tr>
      <w:tr w14:paraId="126A2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vAlign w:val="center"/>
          </w:tcPr>
          <w:p w14:paraId="399F24C4">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2</w:t>
            </w:r>
          </w:p>
        </w:tc>
        <w:tc>
          <w:tcPr>
            <w:tcW w:w="1559" w:type="dxa"/>
            <w:vAlign w:val="center"/>
          </w:tcPr>
          <w:p w14:paraId="35A3F7AF">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盐酸</w:t>
            </w:r>
          </w:p>
        </w:tc>
        <w:tc>
          <w:tcPr>
            <w:tcW w:w="2977" w:type="dxa"/>
            <w:vAlign w:val="center"/>
          </w:tcPr>
          <w:p w14:paraId="2FC4A36E">
            <w:pPr>
              <w:keepNext w:val="0"/>
              <w:keepLines w:val="0"/>
              <w:suppressLineNumbers w:val="0"/>
              <w:snapToGrid w:val="0"/>
              <w:spacing w:before="0" w:beforeAutospacing="0" w:after="0" w:afterAutospacing="0"/>
              <w:ind w:left="0" w:right="0"/>
              <w:jc w:val="center"/>
              <w:rPr>
                <w:rFonts w:hint="default"/>
                <w:color w:val="auto"/>
                <w:szCs w:val="21"/>
              </w:rPr>
            </w:pPr>
            <w:r>
              <w:rPr>
                <w:rFonts w:hint="eastAsia"/>
                <w:color w:val="auto"/>
                <w:szCs w:val="21"/>
              </w:rPr>
              <w:t>能与一些活性金属粉末发生反应</w:t>
            </w:r>
            <w:r>
              <w:rPr>
                <w:rFonts w:hint="eastAsia"/>
                <w:color w:val="auto"/>
                <w:szCs w:val="21"/>
                <w:lang w:eastAsia="zh-CN"/>
              </w:rPr>
              <w:t>，</w:t>
            </w:r>
            <w:r>
              <w:rPr>
                <w:rFonts w:hint="eastAsia"/>
                <w:color w:val="auto"/>
                <w:szCs w:val="21"/>
              </w:rPr>
              <w:t>放出氢气。遇氰化物能产生剧毒的氰化氢气体。与碱发生中合反应，并放出大量的热。具有较强的腐蚀性</w:t>
            </w:r>
          </w:p>
        </w:tc>
        <w:tc>
          <w:tcPr>
            <w:tcW w:w="1134" w:type="dxa"/>
            <w:vAlign w:val="center"/>
          </w:tcPr>
          <w:p w14:paraId="742D395C">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w:t>
            </w:r>
          </w:p>
        </w:tc>
        <w:tc>
          <w:tcPr>
            <w:tcW w:w="1276" w:type="dxa"/>
            <w:tcBorders>
              <w:right w:val="single" w:color="auto" w:sz="2" w:space="0"/>
            </w:tcBorders>
            <w:vAlign w:val="center"/>
          </w:tcPr>
          <w:p w14:paraId="680B5A2B">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w:t>
            </w:r>
          </w:p>
        </w:tc>
        <w:tc>
          <w:tcPr>
            <w:tcW w:w="1762" w:type="dxa"/>
            <w:tcBorders>
              <w:left w:val="single" w:color="auto" w:sz="2" w:space="0"/>
            </w:tcBorders>
            <w:vAlign w:val="center"/>
          </w:tcPr>
          <w:p w14:paraId="266E4DB5">
            <w:pPr>
              <w:keepNext w:val="0"/>
              <w:keepLines w:val="0"/>
              <w:suppressLineNumbers w:val="0"/>
              <w:snapToGrid w:val="0"/>
              <w:spacing w:before="0" w:beforeAutospacing="0" w:after="0" w:afterAutospacing="0"/>
              <w:ind w:left="0" w:right="0"/>
              <w:jc w:val="both"/>
              <w:rPr>
                <w:rFonts w:hint="default"/>
                <w:color w:val="auto"/>
                <w:kern w:val="0"/>
                <w:szCs w:val="21"/>
              </w:rPr>
            </w:pPr>
            <w:r>
              <w:rPr>
                <w:rFonts w:hint="default"/>
                <w:color w:val="auto"/>
                <w:kern w:val="0"/>
                <w:szCs w:val="21"/>
              </w:rPr>
              <w:t>LD50：无资料，LC50：无资料</w:t>
            </w:r>
          </w:p>
        </w:tc>
      </w:tr>
    </w:tbl>
    <w:p w14:paraId="19BDA2CE">
      <w:pPr>
        <w:pStyle w:val="25"/>
        <w:ind w:left="0" w:leftChars="0" w:firstLine="0" w:firstLineChars="0"/>
        <w:outlineLvl w:val="9"/>
        <w:rPr>
          <w:rFonts w:hint="default" w:ascii="Times New Roman" w:hAnsi="Times New Roman" w:eastAsia="宋体" w:cs="Times New Roman"/>
          <w:color w:val="FF0000"/>
          <w:highlight w:val="none"/>
          <w:lang w:val="en-US" w:eastAsia="zh-CN"/>
        </w:rPr>
      </w:pPr>
    </w:p>
    <w:p w14:paraId="1C87F4D2">
      <w:pPr>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highlight w:val="none"/>
        </w:rPr>
      </w:pPr>
      <w:r>
        <w:rPr>
          <w:rFonts w:hint="eastAsia" w:cs="Times New Roman"/>
          <w:color w:val="auto"/>
          <w:kern w:val="0"/>
          <w:sz w:val="24"/>
          <w:highlight w:val="none"/>
          <w:lang w:val="en-US" w:eastAsia="zh-CN"/>
        </w:rPr>
        <w:t>本</w:t>
      </w:r>
      <w:r>
        <w:rPr>
          <w:rFonts w:hint="default" w:ascii="Times New Roman" w:hAnsi="Times New Roman" w:eastAsia="宋体" w:cs="Times New Roman"/>
          <w:color w:val="auto"/>
          <w:kern w:val="0"/>
          <w:sz w:val="24"/>
          <w:highlight w:val="none"/>
          <w:lang w:val="en-US" w:eastAsia="zh-CN"/>
        </w:rPr>
        <w:t>项目的泄漏风险较大。</w:t>
      </w:r>
    </w:p>
    <w:p w14:paraId="01D04714">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69" w:name="_Toc1063"/>
      <w:r>
        <w:rPr>
          <w:rFonts w:hint="default" w:ascii="Times New Roman" w:hAnsi="Times New Roman" w:eastAsia="宋体" w:cs="Times New Roman"/>
          <w:b/>
          <w:bCs w:val="0"/>
          <w:color w:val="auto"/>
          <w:kern w:val="2"/>
          <w:sz w:val="30"/>
          <w:szCs w:val="30"/>
          <w:lang w:val="en-US" w:eastAsia="zh-CN"/>
        </w:rPr>
        <w:t>5.3生产系统风险识别</w:t>
      </w:r>
      <w:bookmarkEnd w:id="69"/>
    </w:p>
    <w:p w14:paraId="0176BD27">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1、危险单元划分</w:t>
      </w:r>
    </w:p>
    <w:p w14:paraId="43E878C3">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根据导则定义，危险单元是指由一个或者多个风险源构成的具有相对独立功能的单元，事故状态下应可实现与其他功能单元的分割。根据以上定义，项目危险单元划分情况具体见下表：危险单元分布图见图2.1-1。</w:t>
      </w:r>
    </w:p>
    <w:p w14:paraId="4DCCCC1B">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表5.3-1本项目涉及危险单元划分情况</w:t>
      </w:r>
    </w:p>
    <w:tbl>
      <w:tblPr>
        <w:tblStyle w:val="32"/>
        <w:tblW w:w="50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7"/>
        <w:gridCol w:w="1306"/>
        <w:gridCol w:w="1349"/>
        <w:gridCol w:w="1823"/>
        <w:gridCol w:w="1506"/>
        <w:gridCol w:w="3051"/>
      </w:tblGrid>
      <w:tr w14:paraId="77BA6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9" w:type="pct"/>
            <w:noWrap w:val="0"/>
            <w:vAlign w:val="center"/>
          </w:tcPr>
          <w:p w14:paraId="09836A47">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672" w:type="pct"/>
            <w:noWrap w:val="0"/>
            <w:vAlign w:val="center"/>
          </w:tcPr>
          <w:p w14:paraId="3E00E324">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单元名称</w:t>
            </w:r>
          </w:p>
        </w:tc>
        <w:tc>
          <w:tcPr>
            <w:tcW w:w="694" w:type="pct"/>
            <w:noWrap w:val="0"/>
            <w:vAlign w:val="center"/>
          </w:tcPr>
          <w:p w14:paraId="462AB8E3">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单元功能</w:t>
            </w:r>
          </w:p>
        </w:tc>
        <w:tc>
          <w:tcPr>
            <w:tcW w:w="938" w:type="pct"/>
            <w:noWrap w:val="0"/>
            <w:vAlign w:val="center"/>
          </w:tcPr>
          <w:p w14:paraId="304B18D1">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主要危险物质</w:t>
            </w:r>
          </w:p>
        </w:tc>
        <w:tc>
          <w:tcPr>
            <w:tcW w:w="775" w:type="pct"/>
            <w:noWrap w:val="0"/>
            <w:vAlign w:val="center"/>
          </w:tcPr>
          <w:p w14:paraId="2EB452AC">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环境风险类型</w:t>
            </w:r>
          </w:p>
        </w:tc>
        <w:tc>
          <w:tcPr>
            <w:tcW w:w="1570" w:type="pct"/>
            <w:noWrap w:val="0"/>
            <w:vAlign w:val="center"/>
          </w:tcPr>
          <w:p w14:paraId="6064580B">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可能受影响的环境敏感目标</w:t>
            </w:r>
          </w:p>
        </w:tc>
      </w:tr>
      <w:tr w14:paraId="7C068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49" w:type="pct"/>
            <w:noWrap w:val="0"/>
            <w:vAlign w:val="center"/>
          </w:tcPr>
          <w:p w14:paraId="57995617">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672" w:type="pct"/>
            <w:shd w:val="clear" w:color="auto" w:fill="auto"/>
            <w:noWrap w:val="0"/>
            <w:vAlign w:val="center"/>
          </w:tcPr>
          <w:p w14:paraId="1B56A690">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盐酸储存区</w:t>
            </w:r>
          </w:p>
        </w:tc>
        <w:tc>
          <w:tcPr>
            <w:tcW w:w="694" w:type="pct"/>
            <w:shd w:val="clear" w:color="auto" w:fill="auto"/>
            <w:noWrap w:val="0"/>
            <w:vAlign w:val="center"/>
          </w:tcPr>
          <w:p w14:paraId="2A718E31">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储存</w:t>
            </w:r>
          </w:p>
        </w:tc>
        <w:tc>
          <w:tcPr>
            <w:tcW w:w="938" w:type="pct"/>
            <w:shd w:val="clear" w:color="auto" w:fill="auto"/>
            <w:noWrap w:val="0"/>
            <w:vAlign w:val="center"/>
          </w:tcPr>
          <w:p w14:paraId="5EAE2A2F">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盐酸</w:t>
            </w:r>
          </w:p>
        </w:tc>
        <w:tc>
          <w:tcPr>
            <w:tcW w:w="775" w:type="pct"/>
            <w:shd w:val="clear" w:color="auto" w:fill="auto"/>
            <w:noWrap w:val="0"/>
            <w:vAlign w:val="center"/>
          </w:tcPr>
          <w:p w14:paraId="08304D19">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泄漏</w:t>
            </w:r>
          </w:p>
        </w:tc>
        <w:tc>
          <w:tcPr>
            <w:tcW w:w="1570" w:type="pct"/>
            <w:shd w:val="clear" w:color="auto" w:fill="auto"/>
            <w:noWrap w:val="0"/>
            <w:vAlign w:val="center"/>
          </w:tcPr>
          <w:p w14:paraId="1467A42A">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周</w:t>
            </w:r>
            <w:r>
              <w:rPr>
                <w:rFonts w:hint="eastAsia" w:cs="Times New Roman"/>
                <w:color w:val="000000" w:themeColor="text1"/>
                <w:sz w:val="21"/>
                <w:szCs w:val="21"/>
                <w:lang w:val="en-US" w:eastAsia="zh-CN"/>
                <w14:textFill>
                  <w14:solidFill>
                    <w14:schemeClr w14:val="tx1"/>
                  </w14:solidFill>
                </w14:textFill>
              </w:rPr>
              <w:t>边</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村民、地表水、地下水、土壤</w:t>
            </w:r>
          </w:p>
        </w:tc>
      </w:tr>
      <w:tr w14:paraId="0D874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49" w:type="pct"/>
            <w:noWrap w:val="0"/>
            <w:vAlign w:val="center"/>
          </w:tcPr>
          <w:p w14:paraId="77CF9932">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672" w:type="pct"/>
            <w:shd w:val="clear" w:color="auto" w:fill="auto"/>
            <w:noWrap w:val="0"/>
            <w:vAlign w:val="center"/>
          </w:tcPr>
          <w:p w14:paraId="1913B7E4">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烘干工序</w:t>
            </w:r>
          </w:p>
        </w:tc>
        <w:tc>
          <w:tcPr>
            <w:tcW w:w="694" w:type="pct"/>
            <w:shd w:val="clear" w:color="auto" w:fill="auto"/>
            <w:noWrap w:val="0"/>
            <w:vAlign w:val="center"/>
          </w:tcPr>
          <w:p w14:paraId="211B7B41">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938" w:type="pct"/>
            <w:shd w:val="clear" w:color="auto" w:fill="auto"/>
            <w:noWrap w:val="0"/>
            <w:vAlign w:val="center"/>
          </w:tcPr>
          <w:p w14:paraId="6CB5E496">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天然气</w:t>
            </w:r>
          </w:p>
        </w:tc>
        <w:tc>
          <w:tcPr>
            <w:tcW w:w="775" w:type="pct"/>
            <w:shd w:val="clear" w:color="auto" w:fill="auto"/>
            <w:noWrap w:val="0"/>
            <w:vAlign w:val="center"/>
          </w:tcPr>
          <w:p w14:paraId="7C4881B9">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泄漏、</w:t>
            </w:r>
            <w:r>
              <w:rPr>
                <w:rFonts w:hint="default" w:ascii="Times New Roman" w:hAnsi="Times New Roman" w:eastAsia="宋体" w:cs="Times New Roman"/>
                <w:color w:val="000000" w:themeColor="text1"/>
                <w:sz w:val="21"/>
                <w:szCs w:val="21"/>
                <w14:textFill>
                  <w14:solidFill>
                    <w14:schemeClr w14:val="tx1"/>
                  </w14:solidFill>
                </w14:textFill>
              </w:rPr>
              <w:t>火灾</w:t>
            </w:r>
          </w:p>
        </w:tc>
        <w:tc>
          <w:tcPr>
            <w:tcW w:w="1570" w:type="pct"/>
            <w:shd w:val="clear" w:color="auto" w:fill="auto"/>
            <w:noWrap w:val="0"/>
            <w:vAlign w:val="center"/>
          </w:tcPr>
          <w:p w14:paraId="25C452C8">
            <w:pPr>
              <w:keepNext w:val="0"/>
              <w:keepLines w:val="0"/>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周</w:t>
            </w:r>
            <w:r>
              <w:rPr>
                <w:rFonts w:hint="eastAsia" w:cs="Times New Roman"/>
                <w:color w:val="000000" w:themeColor="text1"/>
                <w:sz w:val="21"/>
                <w:szCs w:val="21"/>
                <w:lang w:val="en-US" w:eastAsia="zh-CN"/>
                <w14:textFill>
                  <w14:solidFill>
                    <w14:schemeClr w14:val="tx1"/>
                  </w14:solidFill>
                </w14:textFill>
              </w:rPr>
              <w:t>边</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村民、地表水、地下水、土壤</w:t>
            </w:r>
          </w:p>
        </w:tc>
      </w:tr>
    </w:tbl>
    <w:p w14:paraId="0E4FF35A">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2、生产系统危险性识别范围 </w:t>
      </w:r>
    </w:p>
    <w:p w14:paraId="6C1222E1">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生产系统危险性识别范围主要生产装置、贮运系统、公用工程系统、工程环保设施及辅助生产设施等。 </w:t>
      </w:r>
    </w:p>
    <w:p w14:paraId="4A41B548">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（1）生产装置 </w:t>
      </w:r>
    </w:p>
    <w:p w14:paraId="1EE9018B">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生产装置风险主要来源于酸洗搅拌罐</w:t>
      </w:r>
      <w:r>
        <w:rPr>
          <w:rFonts w:hint="eastAsia" w:cs="Times New Roman"/>
          <w:color w:val="auto"/>
          <w:kern w:val="0"/>
          <w:sz w:val="24"/>
          <w:szCs w:val="24"/>
          <w:lang w:val="en-US" w:eastAsia="zh-CN" w:bidi="ar"/>
        </w:rPr>
        <w:t>、盐酸配制罐、盐酸循环储罐、烘干窑等</w:t>
      </w:r>
      <w:r>
        <w:rPr>
          <w:rFonts w:hint="default" w:ascii="Times New Roman" w:hAnsi="Times New Roman" w:eastAsia="宋体" w:cs="Times New Roman"/>
          <w:color w:val="auto"/>
          <w:kern w:val="0"/>
          <w:sz w:val="24"/>
          <w:szCs w:val="24"/>
          <w:lang w:val="en-US" w:eastAsia="zh-CN" w:bidi="ar"/>
        </w:rPr>
        <w:t xml:space="preserve">。 </w:t>
      </w:r>
    </w:p>
    <w:p w14:paraId="1F359360">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（2）储运设施 </w:t>
      </w:r>
    </w:p>
    <w:p w14:paraId="30EF1745">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储运设施风险主要来源于</w:t>
      </w:r>
      <w:r>
        <w:rPr>
          <w:rFonts w:hint="eastAsia" w:cs="Times New Roman"/>
          <w:color w:val="auto"/>
          <w:kern w:val="0"/>
          <w:sz w:val="24"/>
          <w:szCs w:val="24"/>
          <w:lang w:val="en-US" w:eastAsia="zh-CN" w:bidi="ar"/>
        </w:rPr>
        <w:t>盐酸仓库、燃气管道等</w:t>
      </w:r>
      <w:r>
        <w:rPr>
          <w:rFonts w:hint="default" w:ascii="Times New Roman" w:hAnsi="Times New Roman" w:eastAsia="宋体" w:cs="Times New Roman"/>
          <w:color w:val="auto"/>
          <w:kern w:val="0"/>
          <w:sz w:val="24"/>
          <w:szCs w:val="24"/>
          <w:lang w:val="en-US" w:eastAsia="zh-CN" w:bidi="ar"/>
        </w:rPr>
        <w:t xml:space="preserve">。 </w:t>
      </w:r>
    </w:p>
    <w:p w14:paraId="2D6C2F5C">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（3）工程环保设施及辅助生产设施 </w:t>
      </w:r>
    </w:p>
    <w:p w14:paraId="0E8149ED">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工程环保设施及辅助生产设施风险主要来源于废气处理设施，当废气处理设施发生故障或者操作失误，导致废气处理系统失效，引起废气的事故性排放，将对周边大气环境带来一定影响。</w:t>
      </w:r>
    </w:p>
    <w:p w14:paraId="37F856A3">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本项目生产系统危险性识别，详见表5.3-2。 </w:t>
      </w:r>
    </w:p>
    <w:p w14:paraId="61CFEA98">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2" w:firstLineChars="200"/>
        <w:jc w:val="center"/>
        <w:textAlignment w:val="auto"/>
        <w:outlineLvl w:val="9"/>
        <w:rPr>
          <w:rFonts w:hint="default" w:ascii="Times New Roman" w:hAnsi="Times New Roman" w:eastAsia="宋体" w:cs="Times New Roman"/>
          <w:b/>
          <w:bCs w:val="0"/>
          <w:color w:val="auto"/>
          <w:kern w:val="0"/>
          <w:sz w:val="24"/>
          <w:szCs w:val="24"/>
        </w:rPr>
      </w:pPr>
      <w:r>
        <w:rPr>
          <w:rFonts w:hint="default" w:ascii="Times New Roman" w:hAnsi="Times New Roman" w:eastAsia="宋体" w:cs="Times New Roman"/>
          <w:b/>
          <w:bCs w:val="0"/>
          <w:color w:val="auto"/>
          <w:kern w:val="0"/>
          <w:sz w:val="24"/>
          <w:szCs w:val="24"/>
          <w:lang w:val="en-US" w:eastAsia="zh-CN"/>
        </w:rPr>
        <w:t>表5.3-2 生产系统的环境风险事故类型一览表</w:t>
      </w:r>
    </w:p>
    <w:tbl>
      <w:tblPr>
        <w:tblStyle w:val="32"/>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1930"/>
        <w:gridCol w:w="1253"/>
        <w:gridCol w:w="1690"/>
        <w:gridCol w:w="1928"/>
        <w:gridCol w:w="2086"/>
      </w:tblGrid>
      <w:tr w14:paraId="00E75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bottom w:val="single" w:color="auto" w:sz="4" w:space="0"/>
            </w:tcBorders>
            <w:noWrap w:val="0"/>
            <w:vAlign w:val="center"/>
          </w:tcPr>
          <w:p w14:paraId="343970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980" w:type="pct"/>
            <w:tcBorders>
              <w:bottom w:val="single" w:color="auto" w:sz="4" w:space="0"/>
            </w:tcBorders>
            <w:noWrap w:val="0"/>
            <w:vAlign w:val="center"/>
          </w:tcPr>
          <w:p w14:paraId="37D850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名称</w:t>
            </w:r>
          </w:p>
        </w:tc>
        <w:tc>
          <w:tcPr>
            <w:tcW w:w="636" w:type="pct"/>
            <w:tcBorders>
              <w:bottom w:val="single" w:color="auto" w:sz="4" w:space="0"/>
            </w:tcBorders>
            <w:noWrap w:val="0"/>
            <w:vAlign w:val="center"/>
          </w:tcPr>
          <w:p w14:paraId="3C9F1F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生产区</w:t>
            </w:r>
          </w:p>
        </w:tc>
        <w:tc>
          <w:tcPr>
            <w:tcW w:w="858" w:type="pct"/>
            <w:tcBorders>
              <w:bottom w:val="single" w:color="auto" w:sz="4" w:space="0"/>
            </w:tcBorders>
            <w:noWrap w:val="0"/>
            <w:vAlign w:val="center"/>
          </w:tcPr>
          <w:p w14:paraId="2F3628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储运区</w:t>
            </w:r>
          </w:p>
        </w:tc>
        <w:tc>
          <w:tcPr>
            <w:tcW w:w="979" w:type="pct"/>
            <w:tcBorders>
              <w:bottom w:val="single" w:color="auto" w:sz="4" w:space="0"/>
            </w:tcBorders>
            <w:noWrap w:val="0"/>
            <w:vAlign w:val="center"/>
          </w:tcPr>
          <w:p w14:paraId="1796C2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公用工程区</w:t>
            </w:r>
          </w:p>
        </w:tc>
        <w:tc>
          <w:tcPr>
            <w:tcW w:w="1059" w:type="pct"/>
            <w:tcBorders>
              <w:bottom w:val="single" w:color="auto" w:sz="4" w:space="0"/>
            </w:tcBorders>
            <w:noWrap w:val="0"/>
            <w:vAlign w:val="center"/>
          </w:tcPr>
          <w:p w14:paraId="73854B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工程环保设施区</w:t>
            </w:r>
          </w:p>
        </w:tc>
      </w:tr>
      <w:tr w14:paraId="0B63D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bottom w:val="single" w:color="auto" w:sz="4" w:space="0"/>
            </w:tcBorders>
            <w:noWrap w:val="0"/>
            <w:vAlign w:val="center"/>
          </w:tcPr>
          <w:p w14:paraId="6C7B16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80" w:type="pct"/>
            <w:tcBorders>
              <w:top w:val="single" w:color="auto" w:sz="4" w:space="0"/>
              <w:bottom w:val="single" w:color="auto" w:sz="4" w:space="0"/>
            </w:tcBorders>
            <w:noWrap w:val="0"/>
            <w:vAlign w:val="center"/>
          </w:tcPr>
          <w:p w14:paraId="60A4E0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火灾</w:t>
            </w:r>
          </w:p>
        </w:tc>
        <w:tc>
          <w:tcPr>
            <w:tcW w:w="636" w:type="pct"/>
            <w:tcBorders>
              <w:top w:val="single" w:color="auto" w:sz="4" w:space="0"/>
              <w:bottom w:val="single" w:color="auto" w:sz="4" w:space="0"/>
            </w:tcBorders>
            <w:noWrap w:val="0"/>
            <w:vAlign w:val="center"/>
          </w:tcPr>
          <w:p w14:paraId="11E179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bottom w:val="single" w:color="auto" w:sz="4" w:space="0"/>
            </w:tcBorders>
            <w:noWrap w:val="0"/>
            <w:vAlign w:val="center"/>
          </w:tcPr>
          <w:p w14:paraId="144FB2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979" w:type="pct"/>
            <w:tcBorders>
              <w:top w:val="single" w:color="auto" w:sz="4" w:space="0"/>
              <w:bottom w:val="single" w:color="auto" w:sz="4" w:space="0"/>
            </w:tcBorders>
            <w:noWrap w:val="0"/>
            <w:vAlign w:val="center"/>
          </w:tcPr>
          <w:p w14:paraId="52F40C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bottom w:val="single" w:color="auto" w:sz="4" w:space="0"/>
            </w:tcBorders>
            <w:noWrap w:val="0"/>
            <w:vAlign w:val="center"/>
          </w:tcPr>
          <w:p w14:paraId="3DD3AB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r>
      <w:tr w14:paraId="2B284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bottom w:val="single" w:color="auto" w:sz="4" w:space="0"/>
            </w:tcBorders>
            <w:noWrap w:val="0"/>
            <w:vAlign w:val="center"/>
          </w:tcPr>
          <w:p w14:paraId="61D9C5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980" w:type="pct"/>
            <w:tcBorders>
              <w:top w:val="single" w:color="auto" w:sz="4" w:space="0"/>
              <w:bottom w:val="single" w:color="auto" w:sz="4" w:space="0"/>
            </w:tcBorders>
            <w:noWrap w:val="0"/>
            <w:vAlign w:val="center"/>
          </w:tcPr>
          <w:p w14:paraId="68BABE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泄漏</w:t>
            </w:r>
          </w:p>
        </w:tc>
        <w:tc>
          <w:tcPr>
            <w:tcW w:w="636" w:type="pct"/>
            <w:tcBorders>
              <w:top w:val="single" w:color="auto" w:sz="4" w:space="0"/>
              <w:bottom w:val="single" w:color="auto" w:sz="4" w:space="0"/>
            </w:tcBorders>
            <w:noWrap w:val="0"/>
            <w:vAlign w:val="center"/>
          </w:tcPr>
          <w:p w14:paraId="44D73F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bottom w:val="single" w:color="auto" w:sz="4" w:space="0"/>
            </w:tcBorders>
            <w:noWrap w:val="0"/>
            <w:vAlign w:val="center"/>
          </w:tcPr>
          <w:p w14:paraId="1940F0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979" w:type="pct"/>
            <w:tcBorders>
              <w:top w:val="single" w:color="auto" w:sz="4" w:space="0"/>
              <w:bottom w:val="single" w:color="auto" w:sz="4" w:space="0"/>
            </w:tcBorders>
            <w:noWrap w:val="0"/>
            <w:vAlign w:val="center"/>
          </w:tcPr>
          <w:p w14:paraId="13D4C6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bottom w:val="single" w:color="auto" w:sz="4" w:space="0"/>
            </w:tcBorders>
            <w:noWrap w:val="0"/>
            <w:vAlign w:val="center"/>
          </w:tcPr>
          <w:p w14:paraId="201182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r>
      <w:tr w14:paraId="4C224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bottom w:val="single" w:color="auto" w:sz="4" w:space="0"/>
            </w:tcBorders>
            <w:noWrap w:val="0"/>
            <w:vAlign w:val="center"/>
          </w:tcPr>
          <w:p w14:paraId="48AD9A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980" w:type="pct"/>
            <w:tcBorders>
              <w:top w:val="single" w:color="auto" w:sz="4" w:space="0"/>
              <w:bottom w:val="single" w:color="auto" w:sz="4" w:space="0"/>
            </w:tcBorders>
            <w:noWrap w:val="0"/>
            <w:vAlign w:val="center"/>
          </w:tcPr>
          <w:p w14:paraId="32DB1E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中毒和窒息</w:t>
            </w:r>
          </w:p>
        </w:tc>
        <w:tc>
          <w:tcPr>
            <w:tcW w:w="636" w:type="pct"/>
            <w:tcBorders>
              <w:top w:val="single" w:color="auto" w:sz="4" w:space="0"/>
              <w:bottom w:val="single" w:color="auto" w:sz="4" w:space="0"/>
            </w:tcBorders>
            <w:noWrap w:val="0"/>
            <w:vAlign w:val="center"/>
          </w:tcPr>
          <w:p w14:paraId="191D8E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bottom w:val="single" w:color="auto" w:sz="4" w:space="0"/>
            </w:tcBorders>
            <w:noWrap w:val="0"/>
            <w:vAlign w:val="center"/>
          </w:tcPr>
          <w:p w14:paraId="646CED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979" w:type="pct"/>
            <w:tcBorders>
              <w:top w:val="single" w:color="auto" w:sz="4" w:space="0"/>
              <w:bottom w:val="single" w:color="auto" w:sz="4" w:space="0"/>
            </w:tcBorders>
            <w:noWrap w:val="0"/>
            <w:vAlign w:val="center"/>
          </w:tcPr>
          <w:p w14:paraId="1C6065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bottom w:val="single" w:color="auto" w:sz="4" w:space="0"/>
            </w:tcBorders>
            <w:noWrap w:val="0"/>
            <w:vAlign w:val="center"/>
          </w:tcPr>
          <w:p w14:paraId="218F5C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r>
      <w:tr w14:paraId="5D6C5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tcBorders>
            <w:noWrap w:val="0"/>
            <w:vAlign w:val="center"/>
          </w:tcPr>
          <w:p w14:paraId="518878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80" w:type="pct"/>
            <w:tcBorders>
              <w:top w:val="single" w:color="auto" w:sz="4" w:space="0"/>
            </w:tcBorders>
            <w:noWrap w:val="0"/>
            <w:vAlign w:val="center"/>
          </w:tcPr>
          <w:p w14:paraId="406D69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废气超标排放</w:t>
            </w:r>
          </w:p>
        </w:tc>
        <w:tc>
          <w:tcPr>
            <w:tcW w:w="636" w:type="pct"/>
            <w:tcBorders>
              <w:top w:val="single" w:color="auto" w:sz="4" w:space="0"/>
            </w:tcBorders>
            <w:noWrap w:val="0"/>
            <w:vAlign w:val="center"/>
          </w:tcPr>
          <w:p w14:paraId="6C7A63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858" w:type="pct"/>
            <w:tcBorders>
              <w:top w:val="single" w:color="auto" w:sz="4" w:space="0"/>
            </w:tcBorders>
            <w:noWrap w:val="0"/>
            <w:vAlign w:val="center"/>
          </w:tcPr>
          <w:p w14:paraId="1CF243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不存在</w:t>
            </w:r>
          </w:p>
        </w:tc>
        <w:tc>
          <w:tcPr>
            <w:tcW w:w="979" w:type="pct"/>
            <w:tcBorders>
              <w:top w:val="single" w:color="auto" w:sz="4" w:space="0"/>
            </w:tcBorders>
            <w:noWrap w:val="0"/>
            <w:vAlign w:val="center"/>
          </w:tcPr>
          <w:p w14:paraId="557104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tcBorders>
            <w:noWrap w:val="0"/>
            <w:vAlign w:val="center"/>
          </w:tcPr>
          <w:p w14:paraId="0FFDB6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r>
    </w:tbl>
    <w:p w14:paraId="0E603307">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3</w:t>
      </w:r>
      <w:r>
        <w:rPr>
          <w:rFonts w:hint="default" w:ascii="Times New Roman" w:hAnsi="Times New Roman" w:eastAsia="宋体" w:cs="Times New Roman"/>
          <w:color w:val="auto"/>
          <w:kern w:val="0"/>
          <w:sz w:val="24"/>
          <w:szCs w:val="24"/>
        </w:rPr>
        <w:t>、生产区风险识别</w:t>
      </w:r>
    </w:p>
    <w:p w14:paraId="4EAF1E93">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具体如下：</w:t>
      </w:r>
    </w:p>
    <w:p w14:paraId="6E8D558E">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（1）本项目</w:t>
      </w:r>
      <w:r>
        <w:rPr>
          <w:rFonts w:hint="default" w:ascii="Times New Roman" w:hAnsi="Times New Roman" w:eastAsia="宋体" w:cs="Times New Roman"/>
          <w:color w:val="auto"/>
          <w:kern w:val="0"/>
          <w:sz w:val="24"/>
          <w:szCs w:val="24"/>
          <w:lang w:val="en-US" w:eastAsia="zh-CN"/>
        </w:rPr>
        <w:t>设备</w:t>
      </w:r>
      <w:r>
        <w:rPr>
          <w:rFonts w:hint="default" w:ascii="Times New Roman" w:hAnsi="Times New Roman" w:eastAsia="宋体" w:cs="Times New Roman"/>
          <w:color w:val="auto"/>
          <w:kern w:val="0"/>
          <w:sz w:val="24"/>
          <w:szCs w:val="24"/>
        </w:rPr>
        <w:t>操作不当，机器故障都有可能导致火灾</w:t>
      </w:r>
      <w:r>
        <w:rPr>
          <w:rFonts w:hint="eastAsia" w:cs="Times New Roman"/>
          <w:color w:val="auto"/>
          <w:kern w:val="0"/>
          <w:sz w:val="24"/>
          <w:szCs w:val="24"/>
          <w:lang w:eastAsia="zh-CN"/>
        </w:rPr>
        <w:t>、</w:t>
      </w:r>
      <w:r>
        <w:rPr>
          <w:rFonts w:hint="default" w:ascii="Times New Roman" w:hAnsi="Times New Roman" w:eastAsia="宋体" w:cs="Times New Roman"/>
          <w:color w:val="auto"/>
          <w:kern w:val="0"/>
          <w:sz w:val="24"/>
          <w:szCs w:val="24"/>
        </w:rPr>
        <w:t>泄漏。</w:t>
      </w:r>
    </w:p>
    <w:p w14:paraId="311E955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w:t>
      </w:r>
      <w:r>
        <w:rPr>
          <w:rFonts w:hint="default" w:ascii="Times New Roman" w:hAnsi="Times New Roman" w:eastAsia="宋体" w:cs="Times New Roman"/>
          <w:color w:val="auto"/>
          <w:sz w:val="24"/>
          <w:szCs w:val="22"/>
        </w:rPr>
        <w:t>项</w:t>
      </w:r>
      <w:r>
        <w:rPr>
          <w:rFonts w:hint="default" w:ascii="Times New Roman" w:hAnsi="Times New Roman" w:eastAsia="宋体" w:cs="Times New Roman"/>
          <w:color w:val="auto"/>
          <w:sz w:val="24"/>
          <w:szCs w:val="22"/>
          <w:highlight w:val="none"/>
        </w:rPr>
        <w:t>目</w:t>
      </w:r>
      <w:r>
        <w:rPr>
          <w:rFonts w:hint="eastAsia" w:cs="Times New Roman"/>
          <w:color w:val="auto"/>
          <w:sz w:val="24"/>
          <w:szCs w:val="22"/>
          <w:highlight w:val="none"/>
          <w:lang w:val="en-US" w:eastAsia="zh-CN"/>
        </w:rPr>
        <w:t>盐酸、天然气（甲烷）</w:t>
      </w:r>
      <w:r>
        <w:rPr>
          <w:rFonts w:hint="default" w:ascii="Times New Roman" w:hAnsi="Times New Roman" w:eastAsia="宋体" w:cs="Times New Roman"/>
          <w:color w:val="auto"/>
          <w:kern w:val="0"/>
          <w:sz w:val="24"/>
          <w:szCs w:val="24"/>
          <w:lang w:eastAsia="zh-CN"/>
        </w:rPr>
        <w:t>危险物质</w:t>
      </w:r>
      <w:r>
        <w:rPr>
          <w:rFonts w:hint="default" w:ascii="Times New Roman" w:hAnsi="Times New Roman" w:eastAsia="宋体" w:cs="Times New Roman"/>
          <w:color w:val="auto"/>
          <w:kern w:val="0"/>
          <w:sz w:val="24"/>
          <w:szCs w:val="24"/>
        </w:rPr>
        <w:t>，可能导致泄漏风险。</w:t>
      </w:r>
    </w:p>
    <w:p w14:paraId="0B247824">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（3）生产设备发生泄漏，会导</w:t>
      </w:r>
      <w:r>
        <w:rPr>
          <w:rFonts w:hint="default" w:ascii="Times New Roman" w:hAnsi="Times New Roman" w:eastAsia="宋体" w:cs="Times New Roman"/>
          <w:color w:val="auto"/>
          <w:kern w:val="0"/>
          <w:sz w:val="24"/>
          <w:szCs w:val="24"/>
          <w:lang w:eastAsia="zh-CN"/>
        </w:rPr>
        <w:t>致</w:t>
      </w:r>
      <w:r>
        <w:rPr>
          <w:rFonts w:hint="default" w:ascii="Times New Roman" w:hAnsi="Times New Roman" w:eastAsia="宋体" w:cs="Times New Roman"/>
          <w:color w:val="auto"/>
          <w:kern w:val="0"/>
          <w:sz w:val="24"/>
          <w:szCs w:val="24"/>
        </w:rPr>
        <w:t>废气不经环保设备处理直接释放到大气中，污染空气</w:t>
      </w:r>
      <w:r>
        <w:rPr>
          <w:rFonts w:hint="default" w:ascii="Times New Roman" w:hAnsi="Times New Roman" w:eastAsia="宋体" w:cs="Times New Roman"/>
          <w:color w:val="auto"/>
          <w:kern w:val="0"/>
          <w:sz w:val="24"/>
          <w:szCs w:val="24"/>
          <w:lang w:eastAsia="zh-CN"/>
        </w:rPr>
        <w:t>。</w:t>
      </w:r>
    </w:p>
    <w:p w14:paraId="514158CB">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4</w:t>
      </w:r>
      <w:r>
        <w:rPr>
          <w:rFonts w:hint="default" w:ascii="Times New Roman" w:hAnsi="Times New Roman" w:eastAsia="宋体" w:cs="Times New Roman"/>
          <w:color w:val="auto"/>
          <w:kern w:val="0"/>
          <w:sz w:val="24"/>
          <w:szCs w:val="24"/>
        </w:rPr>
        <w:t>、储运区风险识别</w:t>
      </w:r>
    </w:p>
    <w:p w14:paraId="76A2D30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具体如下：</w:t>
      </w:r>
    </w:p>
    <w:p w14:paraId="204B75E4">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1）运输过程</w:t>
      </w:r>
    </w:p>
    <w:p w14:paraId="658F6BCB">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（1）人为因素</w:t>
      </w:r>
    </w:p>
    <w:p w14:paraId="3C984ED5">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人为因素主要由驾驶员、押运员、装卸管理人员的违规工作引起，在运输过程中疲劳驾驶、盲目开快车、强行会车、超车、酒后驾车等极容易引起撞车、翻车事故。</w:t>
      </w:r>
    </w:p>
    <w:p w14:paraId="71F6D5DF">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（2）车辆因素</w:t>
      </w:r>
    </w:p>
    <w:p w14:paraId="5B23EFD2">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危险</w:t>
      </w:r>
      <w:r>
        <w:rPr>
          <w:rFonts w:hint="default" w:ascii="Times New Roman" w:hAnsi="Times New Roman" w:eastAsia="宋体" w:cs="Times New Roman"/>
          <w:color w:val="auto"/>
          <w:kern w:val="0"/>
          <w:sz w:val="24"/>
          <w:szCs w:val="24"/>
          <w:lang w:val="en-US" w:eastAsia="zh-CN"/>
        </w:rPr>
        <w:t>物质</w:t>
      </w:r>
      <w:r>
        <w:rPr>
          <w:rFonts w:hint="default" w:ascii="Times New Roman" w:hAnsi="Times New Roman" w:eastAsia="宋体" w:cs="Times New Roman"/>
          <w:color w:val="auto"/>
          <w:kern w:val="0"/>
          <w:sz w:val="24"/>
          <w:szCs w:val="24"/>
        </w:rPr>
        <w:t>运输车辆的安全状况是引起事故的一个重要因素，车辆技术状况的好坏，是安全运输的基础，如果车况不好会严重影响行车安全，导致事故发生。</w:t>
      </w:r>
    </w:p>
    <w:p w14:paraId="461B0F91">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（3）客观因素</w:t>
      </w:r>
    </w:p>
    <w:p w14:paraId="4E17DBDD">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客观因素指道路状况、天气状况等。当运输车辆通过地面不平整的道路时会剧烈震动，可能使车辆机件损坏，使包装容器之间发生碰撞而损坏；在泥泞的道路上，在山道、弯道较多的路段容易发生侧滑而引发事故；大雨天、大雾天或冰雪天会因为视线不清、路滑造成车辆碰撞或撞车而引发事故。</w:t>
      </w:r>
    </w:p>
    <w:p w14:paraId="3C21A4C1">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2）厂区储存过程</w:t>
      </w:r>
    </w:p>
    <w:p w14:paraId="3EDD0378">
      <w:pPr>
        <w:keepNext/>
        <w:keepLines/>
        <w:pageBreakBefore w:val="0"/>
        <w:widowControl w:val="0"/>
        <w:tabs>
          <w:tab w:val="left" w:pos="7237"/>
        </w:tabs>
        <w:kinsoku/>
        <w:wordWrap/>
        <w:overflowPunct/>
        <w:topLinePunct w:val="0"/>
        <w:autoSpaceDE/>
        <w:autoSpaceDN/>
        <w:bidi w:val="0"/>
        <w:adjustRightInd w:val="0"/>
        <w:snapToGrid w:val="0"/>
        <w:spacing w:line="360" w:lineRule="auto"/>
        <w:ind w:firstLine="420"/>
        <w:contextualSpacing/>
        <w:textAlignment w:val="auto"/>
        <w:rPr>
          <w:color w:val="auto"/>
          <w:sz w:val="24"/>
          <w:szCs w:val="24"/>
        </w:rPr>
      </w:pPr>
      <w:r>
        <w:rPr>
          <w:rFonts w:hint="eastAsia"/>
          <w:color w:val="auto"/>
          <w:sz w:val="24"/>
          <w:szCs w:val="24"/>
          <w:lang w:val="en-US" w:eastAsia="zh-CN"/>
        </w:rPr>
        <w:t>盐酸厂区内转运</w:t>
      </w:r>
      <w:r>
        <w:rPr>
          <w:color w:val="auto"/>
          <w:sz w:val="24"/>
          <w:szCs w:val="24"/>
        </w:rPr>
        <w:t>过程中，由于操作不当，储存容器倾倒、跌落，受到碰撞等破损，</w:t>
      </w:r>
      <w:r>
        <w:rPr>
          <w:rFonts w:hint="eastAsia"/>
          <w:color w:val="auto"/>
          <w:sz w:val="24"/>
          <w:szCs w:val="24"/>
        </w:rPr>
        <w:t>导致</w:t>
      </w:r>
      <w:r>
        <w:rPr>
          <w:color w:val="auto"/>
          <w:sz w:val="24"/>
          <w:szCs w:val="24"/>
        </w:rPr>
        <w:t>泄漏</w:t>
      </w:r>
      <w:r>
        <w:rPr>
          <w:rFonts w:hint="eastAsia"/>
          <w:color w:val="auto"/>
          <w:sz w:val="24"/>
          <w:szCs w:val="24"/>
        </w:rPr>
        <w:t>事故</w:t>
      </w:r>
      <w:r>
        <w:rPr>
          <w:color w:val="auto"/>
          <w:sz w:val="24"/>
          <w:szCs w:val="24"/>
        </w:rPr>
        <w:t>。</w:t>
      </w:r>
    </w:p>
    <w:p w14:paraId="0A5022F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highlight w:val="none"/>
          <w:lang w:val="en-US" w:eastAsia="zh-CN"/>
        </w:rPr>
        <w:t>天然气管道</w:t>
      </w:r>
      <w:r>
        <w:rPr>
          <w:rFonts w:hint="eastAsia" w:ascii="Times New Roman" w:hAnsi="Times New Roman" w:eastAsia="宋体" w:cs="Times New Roman"/>
          <w:color w:val="auto"/>
          <w:kern w:val="0"/>
          <w:sz w:val="24"/>
          <w:szCs w:val="24"/>
          <w:highlight w:val="none"/>
          <w:lang w:val="en-US" w:eastAsia="zh-CN"/>
        </w:rPr>
        <w:t>破损</w:t>
      </w:r>
      <w:r>
        <w:rPr>
          <w:rFonts w:hint="eastAsia" w:cs="Times New Roman"/>
          <w:color w:val="auto"/>
          <w:kern w:val="0"/>
          <w:sz w:val="24"/>
          <w:szCs w:val="24"/>
          <w:lang w:eastAsia="zh-CN"/>
        </w:rPr>
        <w:t>，</w:t>
      </w:r>
      <w:r>
        <w:rPr>
          <w:rFonts w:hint="eastAsia" w:cs="Times New Roman"/>
          <w:color w:val="auto"/>
          <w:kern w:val="0"/>
          <w:sz w:val="24"/>
          <w:szCs w:val="24"/>
          <w:lang w:val="en-US" w:eastAsia="zh-CN"/>
        </w:rPr>
        <w:t>导致泄漏，遇明火引发火灾事故</w:t>
      </w:r>
      <w:r>
        <w:rPr>
          <w:rFonts w:hint="default" w:ascii="Times New Roman" w:hAnsi="Times New Roman" w:eastAsia="宋体" w:cs="Times New Roman"/>
          <w:color w:val="auto"/>
          <w:kern w:val="0"/>
          <w:sz w:val="24"/>
          <w:szCs w:val="24"/>
          <w:lang w:val="en-US" w:eastAsia="zh-CN"/>
        </w:rPr>
        <w:t>。</w:t>
      </w:r>
    </w:p>
    <w:p w14:paraId="56377420">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、公用工程区风险识别</w:t>
      </w:r>
    </w:p>
    <w:p w14:paraId="5137DA6E">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电气设备和输电线路存在触电危险。由于电器设备本身缺陷或绝缘损坏、线头外露等未能及时发现和整改等原因，可能造成触电和火灾事故的发生。</w:t>
      </w:r>
    </w:p>
    <w:p w14:paraId="26C9F8E5">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6</w:t>
      </w:r>
      <w:r>
        <w:rPr>
          <w:rFonts w:hint="default" w:ascii="Times New Roman" w:hAnsi="Times New Roman" w:eastAsia="宋体" w:cs="Times New Roman"/>
          <w:color w:val="auto"/>
          <w:kern w:val="0"/>
          <w:sz w:val="24"/>
          <w:szCs w:val="24"/>
        </w:rPr>
        <w:t>、工程环保设施区</w:t>
      </w:r>
    </w:p>
    <w:p w14:paraId="19204989">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废气处理装置存在因故障不能正常工作，引发大气环境污染风险。</w:t>
      </w:r>
    </w:p>
    <w:p w14:paraId="489D7A58">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70" w:name="_Toc23815"/>
      <w:r>
        <w:rPr>
          <w:rFonts w:hint="default" w:ascii="Times New Roman" w:hAnsi="Times New Roman" w:eastAsia="宋体" w:cs="Times New Roman"/>
          <w:b/>
          <w:bCs w:val="0"/>
          <w:color w:val="auto"/>
          <w:kern w:val="2"/>
          <w:sz w:val="30"/>
          <w:szCs w:val="30"/>
          <w:lang w:val="en-US" w:eastAsia="zh-CN"/>
        </w:rPr>
        <w:t>5.4 物质向环境转移途径识别</w:t>
      </w:r>
      <w:bookmarkEnd w:id="70"/>
    </w:p>
    <w:p w14:paraId="2D3363C6">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在本项目建设完成后，建设单位在运营过程中危险物质扩散途径主要有三类：</w:t>
      </w:r>
    </w:p>
    <w:p w14:paraId="70BBE37C">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1、环境空气扩散</w:t>
      </w:r>
    </w:p>
    <w:p w14:paraId="66596342">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项目</w:t>
      </w:r>
      <w:r>
        <w:rPr>
          <w:rFonts w:hint="default" w:ascii="Times New Roman" w:hAnsi="Times New Roman" w:eastAsia="宋体" w:cs="Times New Roman"/>
          <w:color w:val="auto"/>
          <w:kern w:val="0"/>
          <w:sz w:val="24"/>
          <w:lang w:val="en-US" w:eastAsia="zh-CN"/>
        </w:rPr>
        <w:t>天然气管道破损</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导致泄漏</w:t>
      </w:r>
      <w:r>
        <w:rPr>
          <w:rFonts w:hint="eastAsia" w:cs="Times New Roman"/>
          <w:color w:val="auto"/>
          <w:kern w:val="0"/>
          <w:sz w:val="24"/>
          <w:lang w:val="en-US" w:eastAsia="zh-CN"/>
        </w:rPr>
        <w:t>事故</w:t>
      </w:r>
      <w:r>
        <w:rPr>
          <w:rFonts w:hint="eastAsia" w:cs="Times New Roman"/>
          <w:color w:val="auto"/>
          <w:kern w:val="0"/>
          <w:sz w:val="24"/>
          <w:lang w:eastAsia="zh-CN"/>
        </w:rPr>
        <w:t>；</w:t>
      </w:r>
      <w:r>
        <w:rPr>
          <w:rFonts w:hint="default" w:ascii="Times New Roman" w:hAnsi="Times New Roman" w:eastAsia="宋体" w:cs="Times New Roman"/>
          <w:color w:val="auto"/>
          <w:kern w:val="0"/>
          <w:sz w:val="24"/>
          <w:lang w:eastAsia="zh-CN"/>
        </w:rPr>
        <w:t>废</w:t>
      </w:r>
      <w:r>
        <w:rPr>
          <w:rFonts w:hint="default" w:ascii="Times New Roman" w:hAnsi="Times New Roman" w:eastAsia="宋体" w:cs="Times New Roman"/>
          <w:color w:val="auto"/>
          <w:kern w:val="0"/>
          <w:sz w:val="24"/>
          <w:lang w:val="en-US" w:eastAsia="zh-CN"/>
        </w:rPr>
        <w:t>气</w:t>
      </w:r>
      <w:r>
        <w:rPr>
          <w:rFonts w:hint="default" w:ascii="Times New Roman" w:hAnsi="Times New Roman" w:eastAsia="宋体" w:cs="Times New Roman"/>
          <w:color w:val="auto"/>
          <w:kern w:val="0"/>
          <w:sz w:val="24"/>
          <w:lang w:eastAsia="zh-CN"/>
        </w:rPr>
        <w:t>处理措施发生故障，有毒有害物质散发到空气中，污染环境。</w:t>
      </w:r>
    </w:p>
    <w:p w14:paraId="0686C907">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2、地表水体或地下水体扩散</w:t>
      </w:r>
    </w:p>
    <w:p w14:paraId="09771B35">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项目</w:t>
      </w:r>
      <w:r>
        <w:rPr>
          <w:rFonts w:hint="eastAsia" w:cs="Times New Roman"/>
          <w:color w:val="auto"/>
          <w:sz w:val="24"/>
          <w:szCs w:val="22"/>
          <w:highlight w:val="none"/>
          <w:lang w:val="en-US" w:eastAsia="zh-CN"/>
        </w:rPr>
        <w:t>盐酸</w:t>
      </w:r>
      <w:r>
        <w:rPr>
          <w:rFonts w:hint="default" w:ascii="Times New Roman" w:hAnsi="Times New Roman" w:eastAsia="宋体" w:cs="Times New Roman"/>
          <w:color w:val="auto"/>
          <w:kern w:val="0"/>
          <w:sz w:val="24"/>
          <w:lang w:eastAsia="zh-CN"/>
        </w:rPr>
        <w:t>在运输、装卸、储存和使用过程中发生泄漏，经过地表径流或者雨水管道进入周边水体，污染周边水体的水质；通过地表下渗污染地下水水质。</w:t>
      </w:r>
    </w:p>
    <w:p w14:paraId="3BA19FBB">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3、土壤和地下水扩散</w:t>
      </w:r>
    </w:p>
    <w:p w14:paraId="7DB6B0AF">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项目</w:t>
      </w:r>
      <w:r>
        <w:rPr>
          <w:rFonts w:hint="eastAsia" w:cs="Times New Roman"/>
          <w:color w:val="auto"/>
          <w:sz w:val="24"/>
          <w:szCs w:val="22"/>
          <w:highlight w:val="none"/>
          <w:lang w:val="en-US" w:eastAsia="zh-CN"/>
        </w:rPr>
        <w:t>盐酸</w:t>
      </w:r>
      <w:r>
        <w:rPr>
          <w:rFonts w:hint="default" w:ascii="Times New Roman" w:hAnsi="Times New Roman" w:eastAsia="宋体" w:cs="Times New Roman"/>
          <w:color w:val="auto"/>
          <w:kern w:val="0"/>
          <w:sz w:val="24"/>
          <w:lang w:eastAsia="zh-CN"/>
        </w:rPr>
        <w:t>在运输、装卸、储存和使用过程中发生泄漏，如遇裸露地表，则直接污染土壤。在土壤中的有毒有害物质，通过下渗等作用，进而污染地下水</w:t>
      </w:r>
      <w:r>
        <w:rPr>
          <w:rFonts w:hint="default" w:ascii="Times New Roman" w:hAnsi="Times New Roman" w:eastAsia="宋体" w:cs="Times New Roman"/>
          <w:color w:val="auto"/>
          <w:kern w:val="0"/>
          <w:sz w:val="24"/>
        </w:rPr>
        <w:t>。</w:t>
      </w:r>
    </w:p>
    <w:p w14:paraId="4F11A2AB">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71" w:name="_Toc28522"/>
      <w:r>
        <w:rPr>
          <w:rFonts w:hint="default" w:ascii="Times New Roman" w:hAnsi="Times New Roman" w:eastAsia="宋体" w:cs="Times New Roman"/>
          <w:b/>
          <w:bCs w:val="0"/>
          <w:color w:val="auto"/>
          <w:kern w:val="2"/>
          <w:sz w:val="30"/>
          <w:szCs w:val="30"/>
          <w:lang w:val="en-US" w:eastAsia="zh-CN"/>
        </w:rPr>
        <w:t>5.5 风险识别结果</w:t>
      </w:r>
      <w:bookmarkEnd w:id="71"/>
    </w:p>
    <w:p w14:paraId="5A07B406">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bookmarkStart w:id="72" w:name="_Toc33691325"/>
      <w:r>
        <w:rPr>
          <w:rFonts w:hint="default" w:ascii="Times New Roman" w:hAnsi="Times New Roman" w:eastAsia="宋体" w:cs="Times New Roman"/>
          <w:color w:val="auto"/>
          <w:lang w:val="en-US" w:eastAsia="zh-CN"/>
        </w:rPr>
        <w:t>（1）</w:t>
      </w:r>
      <w:r>
        <w:rPr>
          <w:rFonts w:hint="eastAsia" w:cs="Times New Roman"/>
          <w:color w:val="auto"/>
          <w:sz w:val="24"/>
          <w:szCs w:val="22"/>
          <w:highlight w:val="none"/>
          <w:lang w:val="en-US" w:eastAsia="zh-CN"/>
        </w:rPr>
        <w:t>盐酸</w:t>
      </w:r>
      <w:r>
        <w:rPr>
          <w:rFonts w:hint="default" w:ascii="Times New Roman" w:hAnsi="Times New Roman" w:eastAsia="宋体" w:cs="Times New Roman"/>
          <w:color w:val="auto"/>
          <w:lang w:val="en-US"/>
        </w:rPr>
        <w:t>意外泄漏，若处理不及时，可能会泄漏至厂外</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val="en-US"/>
        </w:rPr>
        <w:t>进入地下水、土壤、地表水造成污染等</w:t>
      </w:r>
      <w:r>
        <w:rPr>
          <w:rFonts w:hint="default" w:ascii="Times New Roman" w:hAnsi="Times New Roman" w:eastAsia="宋体" w:cs="Times New Roman"/>
          <w:color w:val="auto"/>
          <w:lang w:val="en-US" w:eastAsia="zh-CN"/>
        </w:rPr>
        <w:t>。</w:t>
      </w:r>
    </w:p>
    <w:p w14:paraId="10BAF0B4">
      <w:pPr>
        <w:pStyle w:val="106"/>
        <w:spacing w:line="360" w:lineRule="auto"/>
        <w:ind w:firstLine="480" w:firstLineChars="200"/>
        <w:jc w:val="both"/>
        <w:textAlignment w:val="baseline"/>
        <w:rPr>
          <w:rFonts w:hint="default" w:ascii="Times New Roman" w:hAnsi="Times New Roman" w:eastAsia="宋体" w:cs="Times New Roman"/>
          <w:b/>
          <w:bCs/>
          <w:color w:val="auto"/>
          <w:sz w:val="32"/>
          <w:szCs w:val="32"/>
          <w:highlight w:val="none"/>
          <w:lang w:val="en-US" w:eastAsia="zh-CN"/>
        </w:rPr>
      </w:pPr>
      <w:r>
        <w:rPr>
          <w:rFonts w:hint="default" w:ascii="Times New Roman" w:hAnsi="Times New Roman" w:eastAsia="宋体" w:cs="Times New Roman"/>
          <w:color w:val="auto"/>
          <w:lang w:val="en-US" w:eastAsia="zh-CN"/>
        </w:rPr>
        <w:t>（2）</w:t>
      </w:r>
      <w:r>
        <w:rPr>
          <w:rFonts w:hint="eastAsia" w:cs="Times New Roman"/>
          <w:color w:val="auto"/>
          <w:sz w:val="24"/>
          <w:szCs w:val="22"/>
          <w:highlight w:val="none"/>
          <w:lang w:val="en-US" w:eastAsia="zh-CN"/>
        </w:rPr>
        <w:t>天然气管道破损引发泄漏，</w:t>
      </w:r>
      <w:r>
        <w:rPr>
          <w:rFonts w:hint="default" w:ascii="Times New Roman" w:hAnsi="Times New Roman" w:eastAsia="宋体" w:cs="Times New Roman"/>
          <w:color w:val="auto"/>
          <w:lang w:val="en-US"/>
        </w:rPr>
        <w:t>遇明火</w:t>
      </w:r>
      <w:r>
        <w:rPr>
          <w:rFonts w:hint="eastAsia" w:ascii="Times New Roman" w:hAnsi="Times New Roman" w:cs="Times New Roman"/>
          <w:color w:val="auto"/>
          <w:lang w:val="en-US" w:eastAsia="zh-CN"/>
        </w:rPr>
        <w:t>可能</w:t>
      </w:r>
      <w:r>
        <w:rPr>
          <w:rFonts w:hint="default" w:ascii="Times New Roman" w:hAnsi="Times New Roman" w:eastAsia="宋体" w:cs="Times New Roman"/>
          <w:color w:val="auto"/>
          <w:lang w:val="en-US"/>
        </w:rPr>
        <w:t>会引起火灾事件，燃烧废气会产生的CO，对下风向的敏感点造成大气污染等。</w:t>
      </w:r>
      <w:bookmarkStart w:id="73" w:name="_Toc31654"/>
    </w:p>
    <w:p w14:paraId="54C84279">
      <w:pPr>
        <w:pStyle w:val="106"/>
        <w:spacing w:line="360" w:lineRule="auto"/>
        <w:ind w:left="9" w:right="5376"/>
        <w:jc w:val="both"/>
        <w:textAlignment w:val="baseline"/>
        <w:outlineLvl w:val="1"/>
        <w:rPr>
          <w:rFonts w:hint="default" w:ascii="Times New Roman" w:hAnsi="Times New Roman" w:eastAsia="宋体" w:cs="Times New Roman"/>
          <w:b/>
          <w:bCs/>
          <w:color w:val="auto"/>
          <w:sz w:val="32"/>
          <w:szCs w:val="32"/>
          <w:highlight w:val="none"/>
          <w:lang w:val="en-US"/>
        </w:rPr>
      </w:pPr>
      <w:r>
        <w:rPr>
          <w:rFonts w:hint="default" w:ascii="Times New Roman" w:hAnsi="Times New Roman" w:eastAsia="宋体" w:cs="Times New Roman"/>
          <w:b/>
          <w:bCs/>
          <w:color w:val="auto"/>
          <w:sz w:val="32"/>
          <w:szCs w:val="32"/>
          <w:highlight w:val="none"/>
          <w:lang w:val="en-US" w:eastAsia="zh-CN"/>
        </w:rPr>
        <w:t xml:space="preserve">6 </w:t>
      </w:r>
      <w:r>
        <w:rPr>
          <w:rFonts w:hint="default" w:ascii="Times New Roman" w:hAnsi="Times New Roman" w:eastAsia="宋体" w:cs="Times New Roman"/>
          <w:b/>
          <w:bCs/>
          <w:color w:val="auto"/>
          <w:sz w:val="32"/>
          <w:szCs w:val="32"/>
          <w:highlight w:val="none"/>
          <w:lang w:val="en-US"/>
        </w:rPr>
        <w:t>风险事故情形分析</w:t>
      </w:r>
      <w:bookmarkEnd w:id="72"/>
      <w:bookmarkEnd w:id="73"/>
    </w:p>
    <w:p w14:paraId="1562FC20">
      <w:pPr>
        <w:pStyle w:val="106"/>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根据《建设项目环境风险评价技术导则》</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HJ169-2018</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，“在风险识别的基础上，选择对环境影响较大并具有代表性</w:t>
      </w:r>
      <w:r>
        <w:rPr>
          <w:rFonts w:hint="default" w:ascii="Times New Roman" w:hAnsi="Times New Roman" w:eastAsia="宋体" w:cs="Times New Roman"/>
          <w:color w:val="auto"/>
          <w:sz w:val="24"/>
          <w:szCs w:val="24"/>
          <w:highlight w:val="none"/>
          <w:lang w:val="en-US" w:eastAsia="zh-CN"/>
        </w:rPr>
        <w:t>的事故类型，设定风险事故情形”。本项目生产运营过程中涉及的风险物质主要为</w:t>
      </w:r>
      <w:r>
        <w:rPr>
          <w:rFonts w:hint="eastAsia" w:cs="Times New Roman"/>
          <w:color w:val="auto"/>
          <w:sz w:val="24"/>
          <w:szCs w:val="24"/>
          <w:highlight w:val="none"/>
          <w:lang w:val="en-US" w:eastAsia="zh-CN"/>
        </w:rPr>
        <w:t>盐酸、天然气（甲烷）</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其中天然气为管道气，管道中天然气储存量很少，</w:t>
      </w:r>
      <w:r>
        <w:rPr>
          <w:rFonts w:hint="eastAsia" w:ascii="Times New Roman" w:hAnsi="Times New Roman" w:eastAsia="宋体" w:cs="Times New Roman"/>
          <w:color w:val="auto"/>
          <w:sz w:val="24"/>
          <w:szCs w:val="24"/>
          <w:lang w:val="en-US" w:eastAsia="zh-CN"/>
        </w:rPr>
        <w:t>泄漏风险较小</w:t>
      </w:r>
      <w:r>
        <w:rPr>
          <w:rFonts w:hint="default" w:ascii="Times New Roman" w:hAnsi="Times New Roman" w:eastAsia="宋体" w:cs="Times New Roman"/>
          <w:color w:val="auto"/>
          <w:sz w:val="24"/>
          <w:szCs w:val="24"/>
          <w:lang w:val="en-US" w:eastAsia="zh-CN"/>
        </w:rPr>
        <w:t>。</w:t>
      </w:r>
    </w:p>
    <w:p w14:paraId="2C81F4D5">
      <w:pPr>
        <w:pStyle w:val="106"/>
        <w:spacing w:line="360" w:lineRule="auto"/>
        <w:ind w:firstLine="480" w:firstLineChars="200"/>
        <w:jc w:val="both"/>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highlight w:val="none"/>
          <w:lang w:val="en-US" w:eastAsia="zh-CN"/>
        </w:rPr>
        <w:t>盐酸为桶装，且周边设有围堰，储存在盐酸仓库，盐酸仓库重点防渗，</w:t>
      </w:r>
      <w:r>
        <w:rPr>
          <w:rFonts w:hint="default" w:ascii="Times New Roman" w:hAnsi="Times New Roman" w:eastAsia="宋体" w:cs="Times New Roman"/>
          <w:color w:val="auto"/>
          <w:sz w:val="24"/>
          <w:szCs w:val="24"/>
          <w:lang w:val="en-US" w:eastAsia="zh-CN"/>
        </w:rPr>
        <w:t>一般情况下不会流出厂区，</w:t>
      </w:r>
      <w:r>
        <w:rPr>
          <w:rFonts w:hint="eastAsia" w:ascii="Times New Roman" w:hAnsi="Times New Roman" w:eastAsia="宋体" w:cs="Times New Roman"/>
          <w:color w:val="auto"/>
          <w:sz w:val="24"/>
          <w:szCs w:val="24"/>
          <w:lang w:val="en-US" w:eastAsia="zh-CN"/>
        </w:rPr>
        <w:t>但若</w:t>
      </w:r>
      <w:r>
        <w:rPr>
          <w:rFonts w:hint="eastAsia" w:ascii="Times New Roman" w:hAnsi="Times New Roman" w:cs="Times New Roman"/>
          <w:color w:val="auto"/>
          <w:sz w:val="24"/>
          <w:szCs w:val="24"/>
          <w:lang w:val="en-US" w:eastAsia="zh-CN"/>
        </w:rPr>
        <w:t>盐酸吨桶</w:t>
      </w:r>
      <w:r>
        <w:rPr>
          <w:rFonts w:hint="eastAsia" w:ascii="Times New Roman" w:hAnsi="Times New Roman" w:cs="Times New Roman"/>
          <w:color w:val="auto"/>
          <w:sz w:val="24"/>
          <w:szCs w:val="24"/>
          <w:highlight w:val="none"/>
          <w:lang w:val="en-US" w:eastAsia="zh-CN"/>
        </w:rPr>
        <w:t>、围堰破损</w:t>
      </w:r>
      <w:r>
        <w:rPr>
          <w:rFonts w:hint="eastAsia" w:ascii="Times New Roman" w:hAnsi="Times New Roman" w:eastAsia="宋体" w:cs="Times New Roman"/>
          <w:color w:val="auto"/>
          <w:sz w:val="24"/>
          <w:szCs w:val="24"/>
          <w:highlight w:val="none"/>
          <w:lang w:val="en-US" w:eastAsia="zh-CN"/>
        </w:rPr>
        <w:t>，处理不及时，可能</w:t>
      </w:r>
      <w:r>
        <w:rPr>
          <w:rFonts w:hint="default" w:ascii="Times New Roman" w:hAnsi="Times New Roman" w:eastAsia="宋体" w:cs="Times New Roman"/>
          <w:color w:val="auto"/>
          <w:sz w:val="24"/>
          <w:szCs w:val="24"/>
          <w:lang w:val="en-US" w:eastAsia="zh-CN"/>
        </w:rPr>
        <w:t>会</w:t>
      </w:r>
      <w:r>
        <w:rPr>
          <w:rFonts w:hint="eastAsia" w:ascii="Times New Roman" w:hAnsi="Times New Roman" w:eastAsia="宋体" w:cs="Times New Roman"/>
          <w:color w:val="auto"/>
          <w:sz w:val="24"/>
          <w:szCs w:val="24"/>
          <w:lang w:val="en-US" w:eastAsia="zh-CN"/>
        </w:rPr>
        <w:t>流出</w:t>
      </w:r>
      <w:r>
        <w:rPr>
          <w:rFonts w:hint="default" w:ascii="Times New Roman" w:hAnsi="Times New Roman" w:eastAsia="宋体" w:cs="Times New Roman"/>
          <w:color w:val="auto"/>
          <w:sz w:val="24"/>
          <w:szCs w:val="24"/>
          <w:lang w:val="en-US" w:eastAsia="zh-CN"/>
        </w:rPr>
        <w:t>厂区进入到水环境，造成水质污染。</w:t>
      </w:r>
    </w:p>
    <w:p w14:paraId="3A41C0F8">
      <w:pPr>
        <w:pStyle w:val="106"/>
        <w:spacing w:line="360" w:lineRule="auto"/>
        <w:ind w:left="9" w:right="5376"/>
        <w:jc w:val="both"/>
        <w:textAlignment w:val="baseline"/>
        <w:outlineLvl w:val="2"/>
        <w:rPr>
          <w:rFonts w:hint="default" w:ascii="Times New Roman" w:hAnsi="Times New Roman" w:eastAsia="宋体" w:cs="Times New Roman"/>
          <w:b/>
          <w:bCs/>
          <w:color w:val="auto"/>
          <w:sz w:val="30"/>
          <w:szCs w:val="30"/>
        </w:rPr>
      </w:pPr>
      <w:bookmarkStart w:id="74" w:name="_Toc32117"/>
      <w:r>
        <w:rPr>
          <w:rFonts w:hint="default" w:ascii="Times New Roman" w:hAnsi="Times New Roman" w:eastAsia="宋体" w:cs="Times New Roman"/>
          <w:b/>
          <w:bCs/>
          <w:color w:val="auto"/>
          <w:sz w:val="30"/>
          <w:szCs w:val="30"/>
          <w:lang w:val="en-US" w:eastAsia="zh-CN"/>
        </w:rPr>
        <w:t>6.</w:t>
      </w:r>
      <w:r>
        <w:rPr>
          <w:rFonts w:hint="default" w:ascii="Times New Roman" w:hAnsi="Times New Roman" w:eastAsia="宋体" w:cs="Times New Roman"/>
          <w:b/>
          <w:bCs/>
          <w:color w:val="auto"/>
          <w:sz w:val="30"/>
          <w:szCs w:val="30"/>
        </w:rPr>
        <w:t>1风险事故情形设定</w:t>
      </w:r>
      <w:bookmarkEnd w:id="74"/>
    </w:p>
    <w:p w14:paraId="39F2CECA">
      <w:pPr>
        <w:pStyle w:val="106"/>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w:t>
      </w:r>
      <w:r>
        <w:rPr>
          <w:rFonts w:hint="default" w:ascii="Times New Roman" w:hAnsi="Times New Roman" w:eastAsia="宋体" w:cs="Times New Roman"/>
          <w:color w:val="auto"/>
          <w:lang w:val="en-US" w:eastAsia="zh-CN"/>
        </w:rPr>
        <w:t>最大可信事故</w:t>
      </w:r>
    </w:p>
    <w:p w14:paraId="46B1CBFA">
      <w:pPr>
        <w:pStyle w:val="106"/>
        <w:spacing w:line="360" w:lineRule="auto"/>
        <w:ind w:firstLine="480" w:firstLineChars="200"/>
        <w:jc w:val="both"/>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最大可信事故是指在所有预测的概率不为零的事故中，对环境</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或健康</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危害最严重的重大事故，一般而言，发生频率小于10</w:t>
      </w:r>
      <w:r>
        <w:rPr>
          <w:rFonts w:hint="default" w:ascii="Times New Roman" w:hAnsi="Times New Roman" w:eastAsia="宋体" w:cs="Times New Roman"/>
          <w:color w:val="auto"/>
          <w:vertAlign w:val="superscript"/>
        </w:rPr>
        <w:t>-6</w:t>
      </w:r>
      <w:r>
        <w:rPr>
          <w:rFonts w:hint="default" w:ascii="Times New Roman" w:hAnsi="Times New Roman" w:eastAsia="宋体" w:cs="Times New Roman"/>
          <w:color w:val="auto"/>
        </w:rPr>
        <w:t>/年的事件是极小概率事件，可作为代表性事故情形中最大可信事故设定的参考。根据以上分析，</w:t>
      </w:r>
      <w:r>
        <w:rPr>
          <w:rFonts w:hint="eastAsia" w:ascii="Times New Roman" w:hAnsi="Times New Roman" w:cs="Times New Roman"/>
          <w:color w:val="auto"/>
          <w:sz w:val="24"/>
          <w:szCs w:val="22"/>
          <w:highlight w:val="none"/>
          <w:lang w:val="en-US" w:eastAsia="zh-CN"/>
        </w:rPr>
        <w:t>盐酸</w:t>
      </w:r>
      <w:r>
        <w:rPr>
          <w:rFonts w:hint="default" w:ascii="Times New Roman" w:hAnsi="Times New Roman" w:eastAsia="宋体" w:cs="Times New Roman"/>
          <w:color w:val="auto"/>
          <w:lang w:val="en-US" w:eastAsia="zh-CN"/>
        </w:rPr>
        <w:t>储存量大，</w:t>
      </w:r>
      <w:r>
        <w:rPr>
          <w:rFonts w:hint="default" w:ascii="Times New Roman" w:hAnsi="Times New Roman" w:eastAsia="宋体" w:cs="Times New Roman"/>
          <w:color w:val="auto"/>
        </w:rPr>
        <w:t>本工程最大可信事故及类型为</w:t>
      </w:r>
      <w:r>
        <w:rPr>
          <w:rFonts w:hint="eastAsia" w:ascii="Times New Roman" w:hAnsi="Times New Roman" w:cs="Times New Roman"/>
          <w:color w:val="auto"/>
          <w:sz w:val="24"/>
          <w:szCs w:val="22"/>
          <w:highlight w:val="none"/>
          <w:lang w:val="en-US" w:eastAsia="zh-CN"/>
        </w:rPr>
        <w:t>盐酸</w:t>
      </w:r>
      <w:r>
        <w:rPr>
          <w:rFonts w:hint="default" w:ascii="Times New Roman" w:hAnsi="Times New Roman" w:eastAsia="宋体" w:cs="Times New Roman"/>
          <w:color w:val="auto"/>
        </w:rPr>
        <w:t>泄漏进入水体环境的污染事故</w:t>
      </w:r>
      <w:r>
        <w:rPr>
          <w:rFonts w:hint="default" w:ascii="Times New Roman" w:hAnsi="Times New Roman" w:eastAsia="宋体" w:cs="Times New Roman"/>
          <w:color w:val="auto"/>
          <w:lang w:eastAsia="zh-CN"/>
        </w:rPr>
        <w:t>。</w:t>
      </w:r>
    </w:p>
    <w:p w14:paraId="7A2780C5">
      <w:pPr>
        <w:pStyle w:val="106"/>
        <w:numPr>
          <w:ilvl w:val="0"/>
          <w:numId w:val="11"/>
        </w:numPr>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最大可信事故发生概率</w:t>
      </w:r>
    </w:p>
    <w:p w14:paraId="0B0ECE5D">
      <w:pPr>
        <w:pStyle w:val="106"/>
        <w:spacing w:line="360" w:lineRule="auto"/>
        <w:ind w:firstLine="480" w:firstLineChars="200"/>
        <w:jc w:val="both"/>
        <w:textAlignment w:val="baseline"/>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val="en-US"/>
        </w:rPr>
        <w:t>1</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val="en-US"/>
        </w:rPr>
        <w:t>一般事故统计资料</w:t>
      </w:r>
    </w:p>
    <w:p w14:paraId="53BF75D9">
      <w:pPr>
        <w:pStyle w:val="106"/>
        <w:spacing w:line="360" w:lineRule="auto"/>
        <w:ind w:firstLine="480" w:firstLineChars="200"/>
        <w:jc w:val="both"/>
        <w:textAlignment w:val="baseline"/>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rPr>
        <w:t>通过对国内类似行业事故发生原因的调查统计，</w:t>
      </w:r>
      <w:r>
        <w:rPr>
          <w:rFonts w:hint="eastAsia" w:ascii="Times New Roman" w:hAnsi="Times New Roman" w:cs="Times New Roman"/>
          <w:color w:val="auto"/>
          <w:lang w:val="en-US" w:eastAsia="zh-CN"/>
        </w:rPr>
        <w:t>本</w:t>
      </w:r>
      <w:r>
        <w:rPr>
          <w:rFonts w:hint="default" w:ascii="Times New Roman" w:hAnsi="Times New Roman" w:eastAsia="宋体" w:cs="Times New Roman"/>
          <w:color w:val="auto"/>
          <w:lang w:val="en-US"/>
        </w:rPr>
        <w:t>行业以设备、管道、贮罐破损泄漏等引起的事故出现比例最高，而造成设备破损泄漏的直接原因多为管理不善、未能定时检修造成。以违反操作规程、操作失误以及不懂技术操作等人为因素引起的事故出现的比例较高。</w:t>
      </w:r>
    </w:p>
    <w:p w14:paraId="2781B55A">
      <w:pPr>
        <w:pStyle w:val="106"/>
        <w:spacing w:line="360" w:lineRule="auto"/>
        <w:jc w:val="center"/>
        <w:textAlignment w:val="baseline"/>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rPr>
        <w:t>表</w:t>
      </w:r>
      <w:r>
        <w:rPr>
          <w:rFonts w:hint="default" w:ascii="Times New Roman" w:hAnsi="Times New Roman" w:eastAsia="宋体" w:cs="Times New Roman"/>
          <w:b/>
          <w:bCs/>
          <w:color w:val="auto"/>
          <w:lang w:val="en-US" w:eastAsia="zh-CN"/>
        </w:rPr>
        <w:t>6.1-</w:t>
      </w:r>
      <w:r>
        <w:rPr>
          <w:rFonts w:hint="default" w:ascii="Times New Roman" w:hAnsi="Times New Roman" w:eastAsia="宋体" w:cs="Times New Roman"/>
          <w:b/>
          <w:bCs/>
          <w:color w:val="auto"/>
          <w:lang w:val="en-US"/>
        </w:rPr>
        <w:t xml:space="preserve">1  </w:t>
      </w:r>
      <w:r>
        <w:rPr>
          <w:rFonts w:hint="default" w:ascii="Times New Roman" w:hAnsi="Times New Roman" w:eastAsia="宋体" w:cs="Times New Roman"/>
          <w:b/>
          <w:bCs/>
          <w:color w:val="auto"/>
          <w:lang w:val="en-US" w:eastAsia="zh-CN"/>
        </w:rPr>
        <w:t>我国</w:t>
      </w:r>
      <w:r>
        <w:rPr>
          <w:rFonts w:hint="eastAsia" w:ascii="Times New Roman" w:hAnsi="Times New Roman" w:cs="Times New Roman"/>
          <w:b/>
          <w:bCs/>
          <w:color w:val="auto"/>
          <w:lang w:val="en-US" w:eastAsia="zh-CN"/>
        </w:rPr>
        <w:t>类似行业</w:t>
      </w:r>
      <w:r>
        <w:rPr>
          <w:rFonts w:hint="default" w:ascii="Times New Roman" w:hAnsi="Times New Roman" w:eastAsia="宋体" w:cs="Times New Roman"/>
          <w:b/>
          <w:bCs/>
          <w:color w:val="auto"/>
          <w:lang w:val="en-US" w:eastAsia="zh-CN"/>
        </w:rPr>
        <w:t>一般事故原因分析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692"/>
        <w:gridCol w:w="2190"/>
        <w:gridCol w:w="2486"/>
        <w:gridCol w:w="2486"/>
      </w:tblGrid>
      <w:tr w14:paraId="753F8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537" w:type="dxa"/>
            <w:shd w:val="clear" w:color="auto" w:fill="auto"/>
            <w:vAlign w:val="center"/>
          </w:tcPr>
          <w:p w14:paraId="738FC387">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事故原因</w:t>
            </w:r>
          </w:p>
        </w:tc>
        <w:tc>
          <w:tcPr>
            <w:tcW w:w="2064" w:type="dxa"/>
            <w:shd w:val="clear" w:color="auto" w:fill="auto"/>
            <w:vAlign w:val="center"/>
          </w:tcPr>
          <w:p w14:paraId="0BDA5AB2">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设备（贮罐、管道等）</w:t>
            </w:r>
          </w:p>
        </w:tc>
        <w:tc>
          <w:tcPr>
            <w:tcW w:w="2343" w:type="dxa"/>
            <w:shd w:val="clear" w:color="auto" w:fill="auto"/>
            <w:vAlign w:val="center"/>
          </w:tcPr>
          <w:p w14:paraId="44CAA4D0">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人为因素</w:t>
            </w:r>
          </w:p>
        </w:tc>
        <w:tc>
          <w:tcPr>
            <w:tcW w:w="2343" w:type="dxa"/>
            <w:shd w:val="clear" w:color="auto" w:fill="auto"/>
            <w:vAlign w:val="center"/>
          </w:tcPr>
          <w:p w14:paraId="4C4645D6">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自然因素</w:t>
            </w:r>
          </w:p>
        </w:tc>
      </w:tr>
      <w:tr w14:paraId="7893C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537" w:type="dxa"/>
            <w:shd w:val="clear" w:color="auto" w:fill="auto"/>
            <w:vAlign w:val="center"/>
          </w:tcPr>
          <w:p w14:paraId="25EB4A43">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出现几率（%）</w:t>
            </w:r>
          </w:p>
        </w:tc>
        <w:tc>
          <w:tcPr>
            <w:tcW w:w="2064" w:type="dxa"/>
            <w:shd w:val="clear" w:color="auto" w:fill="auto"/>
            <w:vAlign w:val="center"/>
          </w:tcPr>
          <w:p w14:paraId="0852452A">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w:t>
            </w:r>
          </w:p>
        </w:tc>
        <w:tc>
          <w:tcPr>
            <w:tcW w:w="2343" w:type="dxa"/>
            <w:shd w:val="clear" w:color="auto" w:fill="auto"/>
            <w:vAlign w:val="center"/>
          </w:tcPr>
          <w:p w14:paraId="2AC4CEA7">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2343" w:type="dxa"/>
            <w:shd w:val="clear" w:color="auto" w:fill="auto"/>
            <w:vAlign w:val="center"/>
          </w:tcPr>
          <w:p w14:paraId="20DA4724">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r>
    </w:tbl>
    <w:p w14:paraId="7811AD93">
      <w:pPr>
        <w:pStyle w:val="106"/>
        <w:spacing w:line="360" w:lineRule="auto"/>
        <w:ind w:firstLine="480" w:firstLineChars="200"/>
        <w:jc w:val="both"/>
        <w:textAlignment w:val="baseline"/>
        <w:rPr>
          <w:rFonts w:hint="default" w:ascii="Times New Roman" w:hAnsi="Times New Roman" w:eastAsia="宋体" w:cs="Times New Roman"/>
          <w:color w:val="auto"/>
          <w:lang w:eastAsia="zh-TW"/>
        </w:rPr>
      </w:pPr>
      <w:r>
        <w:rPr>
          <w:rFonts w:hint="default" w:ascii="Times New Roman" w:hAnsi="Times New Roman" w:eastAsia="宋体" w:cs="Times New Roman"/>
          <w:color w:val="auto"/>
          <w:lang w:val="en-US" w:eastAsia="zh-CN"/>
        </w:rPr>
        <w:t>根据国内类似行业多年经验，事故发生原因统计结果</w:t>
      </w:r>
      <w:r>
        <w:rPr>
          <w:rFonts w:hint="default" w:ascii="Times New Roman" w:hAnsi="Times New Roman" w:eastAsia="宋体" w:cs="Times New Roman"/>
          <w:color w:val="auto"/>
          <w:lang w:eastAsia="zh-TW"/>
        </w:rPr>
        <w:t>如下表所示。</w:t>
      </w:r>
    </w:p>
    <w:p w14:paraId="2DF28597">
      <w:pPr>
        <w:pStyle w:val="106"/>
        <w:spacing w:line="360" w:lineRule="auto"/>
        <w:jc w:val="center"/>
        <w:textAlignment w:val="baseline"/>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rPr>
        <w:t>表</w:t>
      </w:r>
      <w:r>
        <w:rPr>
          <w:rFonts w:hint="default" w:ascii="Times New Roman" w:hAnsi="Times New Roman" w:eastAsia="宋体" w:cs="Times New Roman"/>
          <w:b/>
          <w:bCs/>
          <w:color w:val="auto"/>
          <w:lang w:val="en-US" w:eastAsia="zh-CN"/>
        </w:rPr>
        <w:t>6.1-2</w:t>
      </w:r>
      <w:r>
        <w:rPr>
          <w:rFonts w:hint="default" w:ascii="Times New Roman" w:hAnsi="Times New Roman" w:eastAsia="宋体" w:cs="Times New Roman"/>
          <w:b/>
          <w:bCs/>
          <w:color w:val="auto"/>
          <w:lang w:val="en-US"/>
        </w:rPr>
        <w:t xml:space="preserve"> </w:t>
      </w:r>
      <w:r>
        <w:rPr>
          <w:rFonts w:hint="default" w:ascii="Times New Roman" w:hAnsi="Times New Roman" w:eastAsia="宋体" w:cs="Times New Roman"/>
          <w:b/>
          <w:bCs/>
          <w:color w:val="auto"/>
          <w:lang w:val="en-US" w:eastAsia="zh-CN"/>
        </w:rPr>
        <w:t>行业一般事故原因统计</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431"/>
        <w:gridCol w:w="4421"/>
      </w:tblGrid>
      <w:tr w14:paraId="50EB4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trPr>
        <w:tc>
          <w:tcPr>
            <w:tcW w:w="2756" w:type="pct"/>
            <w:shd w:val="clear" w:color="auto" w:fill="auto"/>
            <w:vAlign w:val="center"/>
          </w:tcPr>
          <w:p w14:paraId="7F382074">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事故原因</w:t>
            </w:r>
          </w:p>
        </w:tc>
        <w:tc>
          <w:tcPr>
            <w:tcW w:w="2243" w:type="pct"/>
            <w:shd w:val="clear" w:color="auto" w:fill="auto"/>
            <w:vAlign w:val="center"/>
          </w:tcPr>
          <w:p w14:paraId="4F8A7FD3">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出现几率（%）</w:t>
            </w:r>
          </w:p>
        </w:tc>
      </w:tr>
      <w:tr w14:paraId="45EB6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03D4B641">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贮罐、管道和设备破损</w:t>
            </w:r>
          </w:p>
        </w:tc>
        <w:tc>
          <w:tcPr>
            <w:tcW w:w="2243" w:type="pct"/>
            <w:shd w:val="clear" w:color="auto" w:fill="auto"/>
            <w:vAlign w:val="center"/>
          </w:tcPr>
          <w:p w14:paraId="1EB2A890">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r>
      <w:tr w14:paraId="1FEFF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2F0BD714">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废气处理系统故障</w:t>
            </w:r>
          </w:p>
        </w:tc>
        <w:tc>
          <w:tcPr>
            <w:tcW w:w="2243" w:type="pct"/>
            <w:shd w:val="clear" w:color="auto" w:fill="auto"/>
            <w:vAlign w:val="center"/>
          </w:tcPr>
          <w:p w14:paraId="28455A98">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r>
      <w:tr w14:paraId="0F9DF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3B85EC8A">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生产装置爆炸</w:t>
            </w:r>
          </w:p>
        </w:tc>
        <w:tc>
          <w:tcPr>
            <w:tcW w:w="2243" w:type="pct"/>
            <w:shd w:val="clear" w:color="auto" w:fill="auto"/>
            <w:vAlign w:val="center"/>
          </w:tcPr>
          <w:p w14:paraId="3033DB51">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r>
      <w:tr w14:paraId="66672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2C1157E2">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物料泄漏发生火灾</w:t>
            </w:r>
          </w:p>
        </w:tc>
        <w:tc>
          <w:tcPr>
            <w:tcW w:w="2243" w:type="pct"/>
            <w:shd w:val="clear" w:color="auto" w:fill="auto"/>
            <w:vAlign w:val="center"/>
          </w:tcPr>
          <w:p w14:paraId="1962995B">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r>
      <w:tr w14:paraId="02A3E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32133C68">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其它</w:t>
            </w:r>
          </w:p>
        </w:tc>
        <w:tc>
          <w:tcPr>
            <w:tcW w:w="2243" w:type="pct"/>
            <w:shd w:val="clear" w:color="auto" w:fill="auto"/>
            <w:vAlign w:val="center"/>
          </w:tcPr>
          <w:p w14:paraId="0AD345A3">
            <w:pPr>
              <w:pStyle w:val="106"/>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r>
    </w:tbl>
    <w:p w14:paraId="172210CF">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（2）事故源项分析</w:t>
      </w:r>
    </w:p>
    <w:p w14:paraId="50C82DCE">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根据各种设备泄漏情况分析，可将生产装置易发生泄漏的设备分类，通常归纳为：管道、阀门、容器等，如下所述。</w:t>
      </w:r>
    </w:p>
    <w:p w14:paraId="6F330693">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管道：其典型泄漏情况和裂口尺寸分别取管径的20%和20%—100%。</w:t>
      </w:r>
    </w:p>
    <w:p w14:paraId="6DAD9F85">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阀门：其典型泄漏情况和裂口尺寸为：阀壳体泄漏，裂口尺寸取管径的20%～100%；</w:t>
      </w:r>
    </w:p>
    <w:p w14:paraId="6C5A5DDF">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阀盖泄漏，裂口尺寸取管径的20%；阀杆损坏泄漏，裂口尺寸取管径的20%。</w:t>
      </w:r>
    </w:p>
    <w:p w14:paraId="6A62C323">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容器：包括各</w:t>
      </w:r>
      <w:r>
        <w:rPr>
          <w:rFonts w:hint="eastAsia" w:ascii="Times New Roman" w:hAnsi="Times New Roman" w:cs="Times New Roman"/>
          <w:color w:val="auto"/>
          <w:lang w:val="en-US" w:eastAsia="zh-CN"/>
        </w:rPr>
        <w:t>搅拌罐</w:t>
      </w:r>
      <w:r>
        <w:rPr>
          <w:rFonts w:hint="default" w:ascii="Times New Roman" w:hAnsi="Times New Roman" w:eastAsia="宋体" w:cs="Times New Roman"/>
          <w:color w:val="auto"/>
          <w:lang w:val="en-US" w:eastAsia="zh-CN"/>
        </w:rPr>
        <w:t>、贮槽等。其常见泄漏情况和裂口尺寸为：容器破裂而泄漏，裂口尺寸取容器本身尺寸：容器本体泄漏，裂口尺寸取与其连接的粗管道管径的100%；孔盖泄漏，裂口尺寸取管径的20%；喷嘴断裂而泄漏，裂口尺寸取管径的100%；仪表管路破裂泄漏，裂口尺寸取管径的20%～100%；容器内部爆炸，全部破裂。</w:t>
      </w:r>
    </w:p>
    <w:p w14:paraId="1C59AA98">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造成泄漏的原因，从人一机系统来考虑造成各种泄漏事故的原因主要有四类：</w:t>
      </w:r>
    </w:p>
    <w:p w14:paraId="21A396F9">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①设计失误</w:t>
      </w:r>
    </w:p>
    <w:p w14:paraId="0B5E14FC">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基础设计错误，如地基下沉，造成容器底部产生裂缝，或设备变形、错位等；选材不当，如强度不够、耐腐蚀性差、耐温、耐压性能差、规格不符等。</w:t>
      </w:r>
    </w:p>
    <w:p w14:paraId="6523C84A">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②设备原因</w:t>
      </w:r>
    </w:p>
    <w:p w14:paraId="1175B390">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加工不符合要求，或未经检验擅自采用代用材料：加工质量差，特别是焊接质量差；施工和安装精度不高，如泵和电机不同轴、机械设备不平衡、管道连接不严密等；采用的标准定型产品质量不合格；对安装的设备没有按《机械设备安装工程及验收规范》进行验收；设备长期使用后未按规定检修期进行检修，或检修质量差造成泄漏：计测仪表未定期校验，造成计量不准；阀门损坏或开关泄漏，又未及时更换；设备附件质量差，或长期使用后材料变质、腐蚀或破裂等。</w:t>
      </w:r>
    </w:p>
    <w:p w14:paraId="43678004">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③管理原因</w:t>
      </w:r>
    </w:p>
    <w:p w14:paraId="0A8E2299">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没有制定完善的安全操作规程：对安全漠不关心，已发现的问题不及时解决；没有严格执行监督检查制度；指挥错误，甚至违章指挥；未经培训的工人上岗，知识不足，不能判断错误；检修制度不严，没有及时检修已出现故障的设备，使设备带病运转。</w:t>
      </w:r>
    </w:p>
    <w:p w14:paraId="61675619">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④人为失误</w:t>
      </w:r>
    </w:p>
    <w:p w14:paraId="3562961C">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误操作，违反操作规程：判断错误，如记错阀门位置而开错阀门；擅自脱岗；思想不集中，发现异常现象不知如何处理。</w:t>
      </w:r>
    </w:p>
    <w:p w14:paraId="0252BEF7">
      <w:pPr>
        <w:pStyle w:val="106"/>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（3）最大可信事故类型及概率</w:t>
      </w:r>
    </w:p>
    <w:p w14:paraId="344DBA47">
      <w:pPr>
        <w:pStyle w:val="106"/>
        <w:spacing w:line="360" w:lineRule="auto"/>
        <w:ind w:firstLine="480" w:firstLineChars="200"/>
        <w:jc w:val="both"/>
        <w:textAlignment w:val="baseline"/>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auto"/>
          <w:lang w:val="en-US" w:eastAsia="zh-CN"/>
        </w:rPr>
        <w:t>最大可信事故指事故所造成的危害在所有预测的事故中最严重，并且发生该事故的概率不为零。事故概率可以通过事故树分析，确定事件后用概率计算法求得，也可以通过同类装置事故调查给出概率统计值。通过对我国</w:t>
      </w:r>
      <w:r>
        <w:rPr>
          <w:rFonts w:hint="eastAsia" w:ascii="Times New Roman" w:hAnsi="Times New Roman" w:eastAsia="宋体" w:cs="Times New Roman"/>
          <w:color w:val="auto"/>
          <w:lang w:val="en-US" w:eastAsia="zh-CN"/>
        </w:rPr>
        <w:t>类似</w:t>
      </w:r>
      <w:r>
        <w:rPr>
          <w:rFonts w:hint="default" w:ascii="Times New Roman" w:hAnsi="Times New Roman" w:eastAsia="宋体" w:cs="Times New Roman"/>
          <w:color w:val="auto"/>
          <w:lang w:val="en-US" w:eastAsia="zh-CN"/>
        </w:rPr>
        <w:t>企业一般事故类型与一般事故原因统计得知，储罐、管道和设备破损的出现频次较高。因此，对本项目而言，最大可信事故类型为</w:t>
      </w:r>
      <w:r>
        <w:rPr>
          <w:rFonts w:hint="eastAsia" w:ascii="Times New Roman" w:hAnsi="Times New Roman" w:cs="Times New Roman"/>
          <w:color w:val="auto"/>
          <w:lang w:val="en-US" w:eastAsia="zh-CN"/>
        </w:rPr>
        <w:t>盐酸</w:t>
      </w:r>
      <w:r>
        <w:rPr>
          <w:rFonts w:hint="default" w:ascii="Times New Roman" w:hAnsi="Times New Roman" w:eastAsia="宋体" w:cs="Times New Roman"/>
          <w:color w:val="auto"/>
          <w:lang w:val="en-US" w:eastAsia="zh-CN"/>
        </w:rPr>
        <w:t>泄漏，进入水体环境、导致水质污染。参照《建设项目环境风险评价技术导则》（HJ169-2018）附录E，泄漏频率的推荐值，根据国内外统计资料显示，物料管道和容器裂纹泄漏的重大事故概率在6.9×10</w:t>
      </w:r>
      <w:r>
        <w:rPr>
          <w:rFonts w:hint="default" w:ascii="Times New Roman" w:hAnsi="Times New Roman" w:eastAsia="宋体" w:cs="Times New Roman"/>
          <w:color w:val="auto"/>
          <w:vertAlign w:val="superscript"/>
          <w:lang w:val="en-US" w:eastAsia="zh-CN"/>
        </w:rPr>
        <w:t>-7</w:t>
      </w:r>
      <w:r>
        <w:rPr>
          <w:rFonts w:hint="default" w:ascii="Times New Roman" w:hAnsi="Times New Roman" w:eastAsia="宋体" w:cs="Times New Roman"/>
          <w:color w:val="auto"/>
          <w:lang w:val="en-US" w:eastAsia="zh-CN"/>
        </w:rPr>
        <w:t>~6.9×10</w:t>
      </w:r>
      <w:r>
        <w:rPr>
          <w:rFonts w:hint="default" w:ascii="Times New Roman" w:hAnsi="Times New Roman" w:eastAsia="宋体" w:cs="Times New Roman"/>
          <w:color w:val="auto"/>
          <w:vertAlign w:val="superscript"/>
          <w:lang w:val="en-US" w:eastAsia="zh-CN"/>
        </w:rPr>
        <w:t>-8</w:t>
      </w:r>
      <w:r>
        <w:rPr>
          <w:rFonts w:hint="default" w:ascii="Times New Roman" w:hAnsi="Times New Roman" w:eastAsia="宋体" w:cs="Times New Roman"/>
          <w:color w:val="auto"/>
          <w:lang w:val="en-US" w:eastAsia="zh-CN"/>
        </w:rPr>
        <w:t>/年左右，一般发生泄漏事故多为进出口料管道连接处的泄漏；据我国不完全统计，一般管道和容器裂纹泄漏的事故概率在1×10</w:t>
      </w:r>
      <w:r>
        <w:rPr>
          <w:rFonts w:hint="default" w:ascii="Times New Roman" w:hAnsi="Times New Roman" w:eastAsia="宋体" w:cs="Times New Roman"/>
          <w:color w:val="auto"/>
          <w:vertAlign w:val="superscript"/>
          <w:lang w:val="en-US" w:eastAsia="zh-CN"/>
        </w:rPr>
        <w:t>-5</w:t>
      </w:r>
      <w:r>
        <w:rPr>
          <w:rFonts w:hint="default" w:ascii="Times New Roman" w:hAnsi="Times New Roman" w:eastAsia="宋体" w:cs="Times New Roman"/>
          <w:color w:val="auto"/>
          <w:lang w:val="en-US" w:eastAsia="zh-CN"/>
        </w:rPr>
        <w:t>/年。根据本项目特点，类比上述容器裂纹泄漏的风险事故概率，</w:t>
      </w:r>
      <w:r>
        <w:rPr>
          <w:rFonts w:hint="eastAsia" w:ascii="Times New Roman" w:hAnsi="Times New Roman" w:cs="Times New Roman"/>
          <w:color w:val="auto"/>
          <w:lang w:val="en-US" w:eastAsia="zh-CN"/>
        </w:rPr>
        <w:t>盐酸</w:t>
      </w:r>
      <w:r>
        <w:rPr>
          <w:rFonts w:hint="default" w:ascii="Times New Roman" w:hAnsi="Times New Roman" w:eastAsia="宋体" w:cs="Times New Roman"/>
          <w:color w:val="auto"/>
          <w:lang w:val="en-US" w:eastAsia="zh-CN"/>
        </w:rPr>
        <w:t>泄漏的最大可信事故概率为1×10</w:t>
      </w:r>
      <w:r>
        <w:rPr>
          <w:rFonts w:hint="default" w:ascii="Times New Roman" w:hAnsi="Times New Roman" w:eastAsia="宋体" w:cs="Times New Roman"/>
          <w:color w:val="auto"/>
          <w:vertAlign w:val="superscript"/>
          <w:lang w:val="en-US" w:eastAsia="zh-CN"/>
        </w:rPr>
        <w:t>-5</w:t>
      </w:r>
      <w:r>
        <w:rPr>
          <w:rFonts w:hint="default" w:ascii="Times New Roman" w:hAnsi="Times New Roman" w:eastAsia="宋体" w:cs="Times New Roman"/>
          <w:color w:val="auto"/>
          <w:lang w:val="en-US" w:eastAsia="zh-CN"/>
        </w:rPr>
        <w:t>/年。</w:t>
      </w:r>
    </w:p>
    <w:p w14:paraId="65289143">
      <w:pPr>
        <w:pStyle w:val="106"/>
        <w:spacing w:line="360" w:lineRule="auto"/>
        <w:ind w:left="9" w:right="5376"/>
        <w:jc w:val="both"/>
        <w:textAlignment w:val="baseline"/>
        <w:outlineLvl w:val="2"/>
        <w:rPr>
          <w:rFonts w:hint="default" w:ascii="Times New Roman" w:hAnsi="Times New Roman" w:eastAsia="宋体" w:cs="Times New Roman"/>
          <w:b/>
          <w:bCs/>
          <w:color w:val="auto"/>
          <w:sz w:val="30"/>
          <w:szCs w:val="30"/>
          <w:lang w:val="en-US" w:eastAsia="zh-CN"/>
        </w:rPr>
      </w:pPr>
      <w:bookmarkStart w:id="75" w:name="_Toc29296"/>
      <w:r>
        <w:rPr>
          <w:rFonts w:hint="default" w:ascii="Times New Roman" w:hAnsi="Times New Roman" w:eastAsia="宋体" w:cs="Times New Roman"/>
          <w:b/>
          <w:bCs/>
          <w:color w:val="auto"/>
          <w:sz w:val="30"/>
          <w:szCs w:val="30"/>
          <w:lang w:val="en-US" w:eastAsia="zh-CN"/>
        </w:rPr>
        <w:t>6.2源项分析</w:t>
      </w:r>
      <w:bookmarkEnd w:id="75"/>
    </w:p>
    <w:p w14:paraId="1E473259">
      <w:pPr>
        <w:autoSpaceDE w:val="0"/>
        <w:autoSpaceDN w:val="0"/>
        <w:adjustRightInd w:val="0"/>
        <w:spacing w:line="360" w:lineRule="auto"/>
        <w:ind w:firstLine="480" w:firstLineChars="200"/>
        <w:rPr>
          <w:color w:val="auto"/>
          <w:kern w:val="0"/>
          <w:sz w:val="24"/>
          <w:szCs w:val="24"/>
        </w:rPr>
      </w:pPr>
      <w:r>
        <w:rPr>
          <w:rFonts w:hint="default" w:ascii="Times New Roman" w:hAnsi="Times New Roman" w:eastAsia="宋体" w:cs="Times New Roman"/>
          <w:color w:val="auto"/>
          <w:sz w:val="24"/>
          <w:szCs w:val="24"/>
          <w:lang w:val="zh-CN"/>
        </w:rPr>
        <w:t>根据《建设项目环境风险评价技术导则》</w:t>
      </w:r>
      <w:r>
        <w:rPr>
          <w:rFonts w:hint="eastAsia" w:cs="Times New Roman"/>
          <w:color w:val="auto"/>
          <w:sz w:val="24"/>
          <w:szCs w:val="24"/>
          <w:lang w:val="zh-CN"/>
        </w:rPr>
        <w:t>（</w:t>
      </w:r>
      <w:r>
        <w:rPr>
          <w:rFonts w:hint="default" w:ascii="Times New Roman" w:hAnsi="Times New Roman" w:eastAsia="宋体" w:cs="Times New Roman"/>
          <w:color w:val="auto"/>
          <w:sz w:val="24"/>
          <w:szCs w:val="24"/>
          <w:lang w:val="zh-CN"/>
        </w:rPr>
        <w:t>HJ 169-2018</w:t>
      </w:r>
      <w:r>
        <w:rPr>
          <w:rFonts w:hint="eastAsia" w:cs="Times New Roman"/>
          <w:color w:val="auto"/>
          <w:sz w:val="24"/>
          <w:szCs w:val="24"/>
          <w:lang w:val="zh-CN"/>
        </w:rPr>
        <w:t>）</w:t>
      </w:r>
      <w:r>
        <w:rPr>
          <w:rFonts w:hint="default" w:ascii="Times New Roman" w:hAnsi="Times New Roman" w:eastAsia="宋体" w:cs="Times New Roman"/>
          <w:color w:val="auto"/>
          <w:sz w:val="24"/>
          <w:szCs w:val="24"/>
          <w:lang w:val="zh-CN"/>
        </w:rPr>
        <w:t>，物质的泄漏主要针对液体和气体类型的环境风险物质，</w:t>
      </w:r>
      <w:r>
        <w:rPr>
          <w:color w:val="auto"/>
          <w:kern w:val="0"/>
          <w:sz w:val="24"/>
          <w:szCs w:val="24"/>
        </w:rPr>
        <w:t>本次评价选取</w:t>
      </w:r>
      <w:r>
        <w:rPr>
          <w:rFonts w:hint="eastAsia" w:cs="Times New Roman"/>
          <w:color w:val="auto"/>
          <w:sz w:val="24"/>
          <w:szCs w:val="24"/>
          <w:lang w:val="en-US" w:eastAsia="zh-CN"/>
        </w:rPr>
        <w:t>盐酸</w:t>
      </w:r>
      <w:r>
        <w:rPr>
          <w:color w:val="auto"/>
          <w:kern w:val="0"/>
          <w:sz w:val="24"/>
          <w:szCs w:val="24"/>
        </w:rPr>
        <w:t>为液体泄漏评价对象。</w:t>
      </w:r>
      <w:r>
        <w:rPr>
          <w:rFonts w:hint="eastAsia" w:cs="Times New Roman"/>
          <w:color w:val="auto"/>
          <w:sz w:val="24"/>
          <w:szCs w:val="24"/>
          <w:lang w:val="en-US" w:eastAsia="zh-CN"/>
        </w:rPr>
        <w:t>盐酸</w:t>
      </w:r>
      <w:r>
        <w:rPr>
          <w:rFonts w:hint="eastAsia" w:ascii="Times New Roman" w:hAnsi="Times New Roman" w:eastAsia="宋体" w:cs="Times New Roman"/>
          <w:color w:val="auto"/>
          <w:sz w:val="24"/>
          <w:szCs w:val="24"/>
          <w:lang w:val="en-US" w:eastAsia="zh-CN"/>
        </w:rPr>
        <w:t>为</w:t>
      </w:r>
      <w:r>
        <w:rPr>
          <w:rFonts w:hint="eastAsia" w:cs="Times New Roman"/>
          <w:color w:val="auto"/>
          <w:sz w:val="24"/>
          <w:szCs w:val="24"/>
          <w:lang w:val="en-US" w:eastAsia="zh-CN"/>
        </w:rPr>
        <w:t>桶</w:t>
      </w:r>
      <w:r>
        <w:rPr>
          <w:rFonts w:hint="eastAsia" w:ascii="Times New Roman" w:hAnsi="Times New Roman" w:eastAsia="宋体" w:cs="Times New Roman"/>
          <w:color w:val="auto"/>
          <w:sz w:val="24"/>
          <w:szCs w:val="24"/>
          <w:lang w:val="en-US" w:eastAsia="zh-CN"/>
        </w:rPr>
        <w:t>装</w:t>
      </w:r>
      <w:r>
        <w:rPr>
          <w:rFonts w:hint="eastAsia"/>
          <w:color w:val="auto"/>
          <w:kern w:val="0"/>
          <w:sz w:val="24"/>
          <w:szCs w:val="24"/>
        </w:rPr>
        <w:t>。假设</w:t>
      </w:r>
      <w:r>
        <w:rPr>
          <w:rFonts w:hint="eastAsia"/>
          <w:color w:val="auto"/>
          <w:kern w:val="0"/>
          <w:sz w:val="24"/>
          <w:szCs w:val="24"/>
          <w:lang w:val="en-US" w:eastAsia="zh-CN"/>
        </w:rPr>
        <w:t>盐酸吨桶</w:t>
      </w:r>
      <w:r>
        <w:rPr>
          <w:rFonts w:hint="eastAsia"/>
          <w:color w:val="auto"/>
          <w:kern w:val="0"/>
          <w:sz w:val="24"/>
          <w:szCs w:val="24"/>
        </w:rPr>
        <w:t>出现破损，</w:t>
      </w:r>
      <w:r>
        <w:rPr>
          <w:color w:val="auto"/>
          <w:kern w:val="0"/>
          <w:sz w:val="24"/>
          <w:szCs w:val="24"/>
        </w:rPr>
        <w:t xml:space="preserve">根据《建设项目环境风险评价技术导则》（HJ/T169-2018）附录F中推荐的液体泄漏速率计算公式进行估算，如下式所示： </w:t>
      </w:r>
    </w:p>
    <w:p w14:paraId="2C634B43">
      <w:pPr>
        <w:spacing w:line="360" w:lineRule="auto"/>
        <w:ind w:firstLine="480" w:firstLineChars="200"/>
        <w:jc w:val="center"/>
        <w:rPr>
          <w:color w:val="FF0000"/>
          <w:kern w:val="0"/>
          <w:sz w:val="24"/>
        </w:rPr>
      </w:pPr>
      <w:r>
        <w:rPr>
          <w:color w:val="FF0000"/>
          <w:kern w:val="0"/>
          <w:sz w:val="24"/>
        </w:rPr>
        <w:object>
          <v:shape id="_x0000_i1029" o:spt="75" type="#_x0000_t75" style="height:36.75pt;width:143.95pt;" o:ole="t" filled="f" o:preferrelative="t" stroked="f" coordsize="21600,21600">
            <v:path/>
            <v:fill on="f" focussize="0,0"/>
            <v:stroke on="f" joinstyle="miter"/>
            <v:imagedata r:id="rId54" o:title=""/>
            <o:lock v:ext="edit" aspectratio="t"/>
            <w10:wrap type="none"/>
            <w10:anchorlock/>
          </v:shape>
          <o:OLEObject Type="Embed" ProgID="Equation.3" ShapeID="_x0000_i1029" DrawAspect="Content" ObjectID="_1468075729" r:id="rId53">
            <o:LockedField>false</o:LockedField>
          </o:OLEObject>
        </w:object>
      </w:r>
    </w:p>
    <w:p w14:paraId="2AADBC42">
      <w:pPr>
        <w:spacing w:line="360" w:lineRule="auto"/>
        <w:ind w:firstLine="480" w:firstLineChars="200"/>
        <w:rPr>
          <w:color w:val="auto"/>
          <w:kern w:val="0"/>
          <w:sz w:val="24"/>
        </w:rPr>
      </w:pPr>
      <w:r>
        <w:rPr>
          <w:color w:val="auto"/>
          <w:kern w:val="0"/>
          <w:sz w:val="24"/>
        </w:rPr>
        <w:t>式中：</w:t>
      </w:r>
    </w:p>
    <w:p w14:paraId="784B1564">
      <w:pPr>
        <w:spacing w:line="360" w:lineRule="auto"/>
        <w:ind w:firstLine="480" w:firstLineChars="200"/>
        <w:rPr>
          <w:color w:val="auto"/>
          <w:kern w:val="0"/>
          <w:sz w:val="24"/>
        </w:rPr>
      </w:pPr>
      <w:r>
        <w:rPr>
          <w:color w:val="auto"/>
          <w:kern w:val="0"/>
          <w:sz w:val="24"/>
        </w:rPr>
        <w:t>Q—液体泄漏流量，kg/s；</w:t>
      </w:r>
    </w:p>
    <w:p w14:paraId="7380852D">
      <w:pPr>
        <w:spacing w:line="360" w:lineRule="auto"/>
        <w:ind w:firstLine="480" w:firstLineChars="200"/>
        <w:rPr>
          <w:color w:val="auto"/>
          <w:kern w:val="0"/>
          <w:sz w:val="24"/>
        </w:rPr>
      </w:pPr>
      <w:r>
        <w:rPr>
          <w:color w:val="auto"/>
          <w:kern w:val="0"/>
          <w:sz w:val="24"/>
        </w:rPr>
        <w:t>Cd—</w:t>
      </w:r>
      <w:r>
        <w:rPr>
          <w:rFonts w:hint="eastAsia"/>
          <w:color w:val="auto"/>
          <w:kern w:val="0"/>
          <w:sz w:val="24"/>
        </w:rPr>
        <w:t>液体泄漏系数</w:t>
      </w:r>
      <w:r>
        <w:rPr>
          <w:rFonts w:hint="eastAsia"/>
          <w:color w:val="auto"/>
          <w:kern w:val="0"/>
          <w:sz w:val="24"/>
          <w:lang w:eastAsia="zh-CN"/>
        </w:rPr>
        <w:t>，</w:t>
      </w:r>
      <w:r>
        <w:rPr>
          <w:rFonts w:hint="eastAsia"/>
          <w:color w:val="auto"/>
          <w:kern w:val="0"/>
          <w:sz w:val="24"/>
          <w:lang w:val="en-US" w:eastAsia="zh-CN"/>
        </w:rPr>
        <w:t>取值0.4</w:t>
      </w:r>
      <w:r>
        <w:rPr>
          <w:color w:val="auto"/>
          <w:kern w:val="0"/>
          <w:sz w:val="24"/>
        </w:rPr>
        <w:t>；</w:t>
      </w:r>
    </w:p>
    <w:p w14:paraId="24820643">
      <w:pPr>
        <w:spacing w:line="360" w:lineRule="auto"/>
        <w:ind w:firstLine="480" w:firstLineChars="200"/>
        <w:rPr>
          <w:color w:val="auto"/>
          <w:kern w:val="0"/>
          <w:sz w:val="24"/>
        </w:rPr>
      </w:pPr>
      <w:r>
        <w:rPr>
          <w:color w:val="auto"/>
          <w:kern w:val="0"/>
          <w:sz w:val="24"/>
        </w:rPr>
        <w:t>A—泄漏口面积，m</w:t>
      </w:r>
      <w:r>
        <w:rPr>
          <w:color w:val="auto"/>
          <w:kern w:val="0"/>
          <w:sz w:val="24"/>
          <w:vertAlign w:val="superscript"/>
        </w:rPr>
        <w:t>2</w:t>
      </w:r>
      <w:r>
        <w:rPr>
          <w:color w:val="auto"/>
          <w:kern w:val="0"/>
          <w:sz w:val="24"/>
        </w:rPr>
        <w:t>；</w:t>
      </w:r>
    </w:p>
    <w:p w14:paraId="2B36F602">
      <w:pPr>
        <w:spacing w:line="360" w:lineRule="auto"/>
        <w:ind w:firstLine="480" w:firstLineChars="200"/>
        <w:rPr>
          <w:color w:val="auto"/>
          <w:kern w:val="0"/>
          <w:sz w:val="24"/>
        </w:rPr>
      </w:pPr>
      <w:r>
        <w:rPr>
          <w:color w:val="auto"/>
          <w:kern w:val="0"/>
          <w:sz w:val="24"/>
        </w:rPr>
        <w:t>ρ—泄漏液体密度，kg/m</w:t>
      </w:r>
      <w:r>
        <w:rPr>
          <w:color w:val="auto"/>
          <w:kern w:val="0"/>
          <w:sz w:val="24"/>
          <w:vertAlign w:val="superscript"/>
        </w:rPr>
        <w:t>3</w:t>
      </w:r>
      <w:r>
        <w:rPr>
          <w:color w:val="auto"/>
          <w:kern w:val="0"/>
          <w:sz w:val="24"/>
        </w:rPr>
        <w:t>；</w:t>
      </w:r>
    </w:p>
    <w:p w14:paraId="76887102">
      <w:pPr>
        <w:spacing w:line="360" w:lineRule="auto"/>
        <w:ind w:firstLine="480" w:firstLineChars="200"/>
        <w:rPr>
          <w:color w:val="auto"/>
          <w:kern w:val="0"/>
          <w:sz w:val="24"/>
        </w:rPr>
      </w:pPr>
      <w:r>
        <w:rPr>
          <w:color w:val="auto"/>
          <w:kern w:val="0"/>
          <w:sz w:val="24"/>
        </w:rPr>
        <w:t>P—容器内介质压力，</w:t>
      </w:r>
      <w:r>
        <w:rPr>
          <w:rFonts w:hint="eastAsia"/>
          <w:color w:val="auto"/>
          <w:kern w:val="0"/>
          <w:sz w:val="24"/>
        </w:rPr>
        <w:t>Pa</w:t>
      </w:r>
      <w:r>
        <w:rPr>
          <w:color w:val="auto"/>
          <w:kern w:val="0"/>
          <w:sz w:val="24"/>
        </w:rPr>
        <w:t>；</w:t>
      </w:r>
    </w:p>
    <w:p w14:paraId="6B644219">
      <w:pPr>
        <w:spacing w:line="360" w:lineRule="auto"/>
        <w:ind w:firstLine="480" w:firstLineChars="200"/>
        <w:rPr>
          <w:color w:val="auto"/>
          <w:kern w:val="0"/>
          <w:sz w:val="24"/>
        </w:rPr>
      </w:pPr>
      <w:r>
        <w:rPr>
          <w:color w:val="auto"/>
          <w:kern w:val="0"/>
          <w:sz w:val="24"/>
        </w:rPr>
        <w:t>P</w:t>
      </w:r>
      <w:r>
        <w:rPr>
          <w:color w:val="auto"/>
          <w:kern w:val="0"/>
          <w:sz w:val="24"/>
          <w:vertAlign w:val="subscript"/>
        </w:rPr>
        <w:t>0</w:t>
      </w:r>
      <w:r>
        <w:rPr>
          <w:color w:val="auto"/>
          <w:kern w:val="0"/>
          <w:sz w:val="24"/>
        </w:rPr>
        <w:t>—环境压力，Pa；</w:t>
      </w:r>
    </w:p>
    <w:p w14:paraId="0048BA56">
      <w:pPr>
        <w:spacing w:line="360" w:lineRule="auto"/>
        <w:ind w:firstLine="480" w:firstLineChars="200"/>
        <w:rPr>
          <w:color w:val="auto"/>
          <w:kern w:val="0"/>
          <w:sz w:val="24"/>
        </w:rPr>
      </w:pPr>
      <w:r>
        <w:rPr>
          <w:color w:val="auto"/>
          <w:kern w:val="0"/>
          <w:sz w:val="24"/>
        </w:rPr>
        <w:t>g—重力加速度；</w:t>
      </w:r>
      <w:r>
        <w:rPr>
          <w:rFonts w:hint="eastAsia"/>
          <w:color w:val="auto"/>
          <w:kern w:val="0"/>
          <w:sz w:val="24"/>
        </w:rPr>
        <w:t>m/s</w:t>
      </w:r>
      <w:r>
        <w:rPr>
          <w:rFonts w:hint="eastAsia"/>
          <w:color w:val="auto"/>
          <w:kern w:val="0"/>
          <w:sz w:val="24"/>
          <w:vertAlign w:val="superscript"/>
        </w:rPr>
        <w:t>2</w:t>
      </w:r>
    </w:p>
    <w:p w14:paraId="01213576">
      <w:pPr>
        <w:spacing w:line="360" w:lineRule="auto"/>
        <w:ind w:firstLine="480" w:firstLineChars="200"/>
        <w:rPr>
          <w:color w:val="auto"/>
          <w:kern w:val="0"/>
          <w:sz w:val="24"/>
        </w:rPr>
      </w:pPr>
      <w:r>
        <w:rPr>
          <w:color w:val="auto"/>
          <w:kern w:val="0"/>
          <w:sz w:val="24"/>
        </w:rPr>
        <w:t>h—泄漏口上液位高度</w:t>
      </w:r>
      <w:r>
        <w:rPr>
          <w:rFonts w:hint="eastAsia"/>
          <w:color w:val="auto"/>
          <w:kern w:val="0"/>
          <w:sz w:val="24"/>
        </w:rPr>
        <w:t>，本次取</w:t>
      </w:r>
      <w:r>
        <w:rPr>
          <w:rFonts w:hint="eastAsia"/>
          <w:color w:val="auto"/>
          <w:kern w:val="0"/>
          <w:sz w:val="24"/>
          <w:lang w:val="en-US" w:eastAsia="zh-CN"/>
        </w:rPr>
        <w:t>盐酸吨桶</w:t>
      </w:r>
      <w:r>
        <w:rPr>
          <w:rFonts w:hint="eastAsia"/>
          <w:color w:val="auto"/>
          <w:kern w:val="0"/>
          <w:sz w:val="24"/>
        </w:rPr>
        <w:t>内最大储存量液位高度减去泄漏位置高度</w:t>
      </w:r>
      <w:r>
        <w:rPr>
          <w:color w:val="auto"/>
          <w:kern w:val="0"/>
          <w:sz w:val="24"/>
        </w:rPr>
        <w:t>。</w:t>
      </w:r>
    </w:p>
    <w:p w14:paraId="720C9687">
      <w:pPr>
        <w:spacing w:line="360" w:lineRule="auto"/>
        <w:ind w:firstLine="480" w:firstLineChars="200"/>
        <w:rPr>
          <w:color w:val="auto"/>
          <w:kern w:val="0"/>
          <w:sz w:val="24"/>
        </w:rPr>
      </w:pPr>
      <w:r>
        <w:rPr>
          <w:rFonts w:hint="eastAsia"/>
          <w:color w:val="auto"/>
          <w:kern w:val="0"/>
          <w:sz w:val="24"/>
        </w:rPr>
        <w:t>具体计算参数如下表所示：</w:t>
      </w:r>
    </w:p>
    <w:p w14:paraId="67F7BD20">
      <w:pPr>
        <w:pStyle w:val="14"/>
        <w:keepNext/>
        <w:jc w:val="center"/>
        <w:rPr>
          <w:rFonts w:ascii="Times New Roman" w:eastAsia="宋体"/>
          <w:b/>
          <w:color w:val="auto"/>
          <w:kern w:val="0"/>
          <w:sz w:val="24"/>
        </w:rPr>
      </w:pPr>
      <w:r>
        <w:rPr>
          <w:rFonts w:hint="eastAsia" w:ascii="Times New Roman" w:eastAsia="宋体"/>
          <w:b/>
          <w:color w:val="auto"/>
          <w:sz w:val="24"/>
        </w:rPr>
        <w:t>表</w:t>
      </w:r>
      <w:r>
        <w:rPr>
          <w:rFonts w:hint="eastAsia" w:ascii="Times New Roman" w:eastAsia="宋体"/>
          <w:b/>
          <w:color w:val="auto"/>
          <w:sz w:val="24"/>
          <w:lang w:val="en-US" w:eastAsia="zh-CN"/>
        </w:rPr>
        <w:t>6.2-1</w:t>
      </w:r>
      <w:r>
        <w:rPr>
          <w:rFonts w:hint="eastAsia" w:ascii="Times New Roman" w:eastAsia="宋体"/>
          <w:b/>
          <w:color w:val="auto"/>
          <w:kern w:val="0"/>
          <w:sz w:val="24"/>
        </w:rPr>
        <w:t xml:space="preserve"> </w:t>
      </w:r>
      <w:r>
        <w:rPr>
          <w:rFonts w:ascii="Times New Roman" w:eastAsia="宋体"/>
          <w:b/>
          <w:color w:val="auto"/>
          <w:kern w:val="0"/>
          <w:sz w:val="24"/>
        </w:rPr>
        <w:t xml:space="preserve"> </w:t>
      </w:r>
      <w:r>
        <w:rPr>
          <w:rFonts w:hint="eastAsia" w:ascii="Times New Roman" w:eastAsia="宋体"/>
          <w:b/>
          <w:color w:val="auto"/>
          <w:kern w:val="0"/>
          <w:sz w:val="24"/>
        </w:rPr>
        <w:t>计算参数一览表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1495"/>
        <w:gridCol w:w="1496"/>
        <w:gridCol w:w="1496"/>
        <w:gridCol w:w="1496"/>
        <w:gridCol w:w="1311"/>
        <w:gridCol w:w="1059"/>
      </w:tblGrid>
      <w:tr w14:paraId="61049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412" w:type="dxa"/>
            <w:shd w:val="clear" w:color="auto" w:fill="auto"/>
            <w:vAlign w:val="center"/>
          </w:tcPr>
          <w:p w14:paraId="261F726E">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eastAsia"/>
                <w:b/>
                <w:color w:val="auto"/>
                <w:sz w:val="21"/>
                <w:szCs w:val="21"/>
              </w:rPr>
              <w:t>物料</w:t>
            </w:r>
          </w:p>
          <w:p w14:paraId="1F75BED4">
            <w:pPr>
              <w:pStyle w:val="83"/>
              <w:keepNext w:val="0"/>
              <w:keepLines w:val="0"/>
              <w:suppressLineNumbers w:val="0"/>
              <w:adjustRightInd w:val="0"/>
              <w:snapToGrid w:val="0"/>
              <w:spacing w:before="0" w:beforeAutospacing="0" w:after="0" w:afterAutospacing="0"/>
              <w:ind w:left="0" w:right="0"/>
              <w:jc w:val="center"/>
              <w:rPr>
                <w:rFonts w:hint="default"/>
                <w:b/>
                <w:color w:val="FF0000"/>
                <w:sz w:val="21"/>
                <w:szCs w:val="21"/>
              </w:rPr>
            </w:pPr>
            <w:r>
              <w:rPr>
                <w:rFonts w:hint="eastAsia"/>
                <w:b/>
                <w:color w:val="auto"/>
                <w:sz w:val="21"/>
                <w:szCs w:val="21"/>
              </w:rPr>
              <w:t>名称</w:t>
            </w:r>
          </w:p>
        </w:tc>
        <w:tc>
          <w:tcPr>
            <w:tcW w:w="1409" w:type="dxa"/>
            <w:shd w:val="clear" w:color="auto" w:fill="auto"/>
            <w:vAlign w:val="center"/>
          </w:tcPr>
          <w:p w14:paraId="03268ED4">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泄漏口面积m</w:t>
            </w:r>
            <w:r>
              <w:rPr>
                <w:rFonts w:hint="default"/>
                <w:b/>
                <w:color w:val="auto"/>
                <w:sz w:val="21"/>
                <w:szCs w:val="21"/>
                <w:vertAlign w:val="superscript"/>
              </w:rPr>
              <w:t>2</w:t>
            </w:r>
          </w:p>
        </w:tc>
        <w:tc>
          <w:tcPr>
            <w:tcW w:w="1410" w:type="dxa"/>
            <w:shd w:val="clear" w:color="auto" w:fill="auto"/>
            <w:vAlign w:val="center"/>
          </w:tcPr>
          <w:p w14:paraId="79421D40">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液体密度</w:t>
            </w:r>
          </w:p>
          <w:p w14:paraId="78690FF8">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kg/m</w:t>
            </w:r>
            <w:r>
              <w:rPr>
                <w:rFonts w:hint="default"/>
                <w:b/>
                <w:color w:val="auto"/>
                <w:sz w:val="21"/>
                <w:szCs w:val="21"/>
                <w:vertAlign w:val="superscript"/>
              </w:rPr>
              <w:t>3</w:t>
            </w:r>
          </w:p>
        </w:tc>
        <w:tc>
          <w:tcPr>
            <w:tcW w:w="1410" w:type="dxa"/>
            <w:shd w:val="clear" w:color="auto" w:fill="auto"/>
            <w:vAlign w:val="center"/>
          </w:tcPr>
          <w:p w14:paraId="71968744">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介质压力</w:t>
            </w:r>
          </w:p>
          <w:p w14:paraId="36D02461">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eastAsia"/>
                <w:b/>
                <w:color w:val="auto"/>
                <w:sz w:val="21"/>
                <w:szCs w:val="21"/>
              </w:rPr>
              <w:t>Pa</w:t>
            </w:r>
          </w:p>
        </w:tc>
        <w:tc>
          <w:tcPr>
            <w:tcW w:w="1410" w:type="dxa"/>
            <w:shd w:val="clear" w:color="auto" w:fill="auto"/>
            <w:vAlign w:val="center"/>
          </w:tcPr>
          <w:p w14:paraId="6A106DA2">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环境压力</w:t>
            </w:r>
          </w:p>
          <w:p w14:paraId="134ADC3C">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eastAsia"/>
                <w:b/>
                <w:color w:val="auto"/>
                <w:sz w:val="21"/>
                <w:szCs w:val="21"/>
              </w:rPr>
              <w:t>Pa</w:t>
            </w:r>
          </w:p>
        </w:tc>
        <w:tc>
          <w:tcPr>
            <w:tcW w:w="1236" w:type="dxa"/>
            <w:shd w:val="clear" w:color="auto" w:fill="auto"/>
            <w:vAlign w:val="center"/>
          </w:tcPr>
          <w:p w14:paraId="39EFB15B">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重力加速度</w:t>
            </w:r>
            <w:r>
              <w:rPr>
                <w:rFonts w:hint="eastAsia"/>
                <w:b/>
                <w:color w:val="auto"/>
                <w:sz w:val="21"/>
                <w:szCs w:val="21"/>
              </w:rPr>
              <w:t>m/s</w:t>
            </w:r>
            <w:r>
              <w:rPr>
                <w:rFonts w:hint="eastAsia"/>
                <w:b/>
                <w:color w:val="auto"/>
                <w:sz w:val="21"/>
                <w:szCs w:val="21"/>
                <w:vertAlign w:val="superscript"/>
              </w:rPr>
              <w:t>2</w:t>
            </w:r>
          </w:p>
        </w:tc>
        <w:tc>
          <w:tcPr>
            <w:tcW w:w="998" w:type="dxa"/>
            <w:shd w:val="clear" w:color="auto" w:fill="auto"/>
            <w:vAlign w:val="center"/>
          </w:tcPr>
          <w:p w14:paraId="3B73B571">
            <w:pPr>
              <w:pStyle w:val="83"/>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液位高度</w:t>
            </w:r>
            <w:r>
              <w:rPr>
                <w:rFonts w:hint="eastAsia"/>
                <w:b/>
                <w:color w:val="auto"/>
                <w:sz w:val="21"/>
                <w:szCs w:val="21"/>
              </w:rPr>
              <w:t>m</w:t>
            </w:r>
          </w:p>
        </w:tc>
      </w:tr>
      <w:tr w14:paraId="0AD1B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2" w:type="dxa"/>
            <w:vAlign w:val="center"/>
          </w:tcPr>
          <w:p w14:paraId="074FF450">
            <w:pPr>
              <w:pStyle w:val="83"/>
              <w:keepNext w:val="0"/>
              <w:keepLines w:val="0"/>
              <w:suppressLineNumbers w:val="0"/>
              <w:adjustRightInd w:val="0"/>
              <w:snapToGrid w:val="0"/>
              <w:spacing w:before="0" w:beforeAutospacing="0" w:after="0" w:afterAutospacing="0"/>
              <w:ind w:left="0" w:right="0"/>
              <w:jc w:val="center"/>
              <w:rPr>
                <w:rFonts w:hint="default"/>
                <w:color w:val="FF0000"/>
                <w:sz w:val="21"/>
                <w:szCs w:val="21"/>
              </w:rPr>
            </w:pPr>
            <w:r>
              <w:rPr>
                <w:rFonts w:hint="eastAsia" w:cs="Times New Roman"/>
                <w:color w:val="auto"/>
                <w:sz w:val="21"/>
                <w:szCs w:val="21"/>
                <w:lang w:val="en-US" w:eastAsia="zh-CN"/>
              </w:rPr>
              <w:t>盐酸</w:t>
            </w:r>
          </w:p>
        </w:tc>
        <w:tc>
          <w:tcPr>
            <w:tcW w:w="1409" w:type="dxa"/>
            <w:vAlign w:val="center"/>
          </w:tcPr>
          <w:p w14:paraId="215C55BD">
            <w:pPr>
              <w:pStyle w:val="83"/>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0.0024</w:t>
            </w:r>
          </w:p>
        </w:tc>
        <w:tc>
          <w:tcPr>
            <w:tcW w:w="1410" w:type="dxa"/>
            <w:vAlign w:val="center"/>
          </w:tcPr>
          <w:p w14:paraId="6E5201BC">
            <w:pPr>
              <w:pStyle w:val="83"/>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1164</w:t>
            </w:r>
          </w:p>
        </w:tc>
        <w:tc>
          <w:tcPr>
            <w:tcW w:w="1410" w:type="dxa"/>
            <w:vAlign w:val="center"/>
          </w:tcPr>
          <w:p w14:paraId="5B196D7A">
            <w:pPr>
              <w:pStyle w:val="83"/>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eastAsia"/>
                <w:color w:val="auto"/>
                <w:sz w:val="21"/>
                <w:szCs w:val="21"/>
              </w:rPr>
              <w:t>101325</w:t>
            </w:r>
          </w:p>
        </w:tc>
        <w:tc>
          <w:tcPr>
            <w:tcW w:w="1410" w:type="dxa"/>
            <w:vAlign w:val="center"/>
          </w:tcPr>
          <w:p w14:paraId="7989B59D">
            <w:pPr>
              <w:pStyle w:val="83"/>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eastAsia"/>
                <w:color w:val="auto"/>
                <w:sz w:val="21"/>
                <w:szCs w:val="21"/>
              </w:rPr>
              <w:t>101325</w:t>
            </w:r>
          </w:p>
        </w:tc>
        <w:tc>
          <w:tcPr>
            <w:tcW w:w="1236" w:type="dxa"/>
            <w:vAlign w:val="center"/>
          </w:tcPr>
          <w:p w14:paraId="33092F23">
            <w:pPr>
              <w:pStyle w:val="83"/>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eastAsia"/>
                <w:color w:val="auto"/>
                <w:sz w:val="21"/>
                <w:szCs w:val="21"/>
              </w:rPr>
              <w:t>9.81</w:t>
            </w:r>
          </w:p>
        </w:tc>
        <w:tc>
          <w:tcPr>
            <w:tcW w:w="998" w:type="dxa"/>
            <w:vAlign w:val="center"/>
          </w:tcPr>
          <w:p w14:paraId="02622929">
            <w:pPr>
              <w:pStyle w:val="83"/>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1.0</w:t>
            </w:r>
          </w:p>
        </w:tc>
      </w:tr>
    </w:tbl>
    <w:p w14:paraId="315D2843">
      <w:pPr>
        <w:spacing w:line="360" w:lineRule="auto"/>
        <w:ind w:firstLine="480" w:firstLineChars="200"/>
        <w:rPr>
          <w:bCs/>
          <w:color w:val="auto"/>
          <w:kern w:val="0"/>
          <w:sz w:val="24"/>
        </w:rPr>
      </w:pPr>
      <w:r>
        <w:rPr>
          <w:rFonts w:hint="eastAsia"/>
          <w:bCs/>
          <w:color w:val="auto"/>
          <w:kern w:val="0"/>
          <w:sz w:val="24"/>
        </w:rPr>
        <w:t>则经计算物料发生泄漏时，泄漏速率等详见下表。</w:t>
      </w:r>
    </w:p>
    <w:p w14:paraId="5DDE54E0">
      <w:pPr>
        <w:pStyle w:val="14"/>
        <w:keepNext/>
        <w:jc w:val="center"/>
        <w:rPr>
          <w:rFonts w:ascii="Times New Roman" w:eastAsia="宋体"/>
          <w:b/>
          <w:color w:val="auto"/>
          <w:kern w:val="0"/>
          <w:sz w:val="24"/>
        </w:rPr>
      </w:pPr>
      <w:r>
        <w:rPr>
          <w:rFonts w:hint="eastAsia" w:ascii="Times New Roman" w:eastAsia="宋体"/>
          <w:b/>
          <w:color w:val="auto"/>
          <w:sz w:val="24"/>
        </w:rPr>
        <w:t>表</w:t>
      </w:r>
      <w:r>
        <w:rPr>
          <w:rFonts w:hint="eastAsia" w:ascii="Times New Roman" w:eastAsia="宋体"/>
          <w:b/>
          <w:color w:val="auto"/>
          <w:sz w:val="24"/>
          <w:lang w:val="en-US" w:eastAsia="zh-CN"/>
        </w:rPr>
        <w:t>6.2-2</w:t>
      </w:r>
      <w:r>
        <w:rPr>
          <w:rFonts w:ascii="Times New Roman" w:eastAsia="宋体"/>
          <w:b/>
          <w:color w:val="auto"/>
          <w:kern w:val="0"/>
          <w:sz w:val="24"/>
        </w:rPr>
        <w:t xml:space="preserve">  泄漏</w:t>
      </w:r>
      <w:r>
        <w:rPr>
          <w:rFonts w:hint="eastAsia" w:ascii="Times New Roman" w:eastAsia="宋体"/>
          <w:b/>
          <w:color w:val="auto"/>
          <w:kern w:val="0"/>
          <w:sz w:val="24"/>
        </w:rPr>
        <w:t>情况</w:t>
      </w:r>
      <w:r>
        <w:rPr>
          <w:rFonts w:ascii="Times New Roman" w:eastAsia="宋体"/>
          <w:b/>
          <w:color w:val="auto"/>
          <w:kern w:val="0"/>
          <w:sz w:val="24"/>
        </w:rPr>
        <w:t>一览表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1"/>
        <w:gridCol w:w="2456"/>
        <w:gridCol w:w="2448"/>
        <w:gridCol w:w="2448"/>
      </w:tblGrid>
      <w:tr w14:paraId="0A690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57" w:type="dxa"/>
            <w:shd w:val="clear" w:color="auto" w:fill="auto"/>
            <w:vAlign w:val="center"/>
          </w:tcPr>
          <w:p w14:paraId="641CCEFE">
            <w:pPr>
              <w:pStyle w:val="83"/>
              <w:keepNext w:val="0"/>
              <w:keepLines w:val="0"/>
              <w:suppressLineNumbers w:val="0"/>
              <w:adjustRightInd w:val="0"/>
              <w:snapToGrid w:val="0"/>
              <w:spacing w:before="0" w:beforeAutospacing="0" w:after="0" w:afterAutospacing="0"/>
              <w:ind w:left="0" w:right="0" w:firstLine="210"/>
              <w:jc w:val="center"/>
              <w:rPr>
                <w:rFonts w:hint="default"/>
                <w:b/>
                <w:color w:val="FF0000"/>
              </w:rPr>
            </w:pPr>
            <w:bookmarkStart w:id="76" w:name="_Hlk26428542"/>
            <w:r>
              <w:rPr>
                <w:rFonts w:hint="eastAsia"/>
                <w:b/>
                <w:color w:val="auto"/>
              </w:rPr>
              <w:t>物料名称</w:t>
            </w:r>
          </w:p>
        </w:tc>
        <w:tc>
          <w:tcPr>
            <w:tcW w:w="2315" w:type="dxa"/>
            <w:shd w:val="clear" w:color="auto" w:fill="auto"/>
            <w:vAlign w:val="center"/>
          </w:tcPr>
          <w:p w14:paraId="1FCB7E7F">
            <w:pPr>
              <w:pStyle w:val="83"/>
              <w:keepNext w:val="0"/>
              <w:keepLines w:val="0"/>
              <w:suppressLineNumbers w:val="0"/>
              <w:adjustRightInd w:val="0"/>
              <w:snapToGrid w:val="0"/>
              <w:spacing w:before="0" w:beforeAutospacing="0" w:after="0" w:afterAutospacing="0"/>
              <w:ind w:left="0" w:right="0"/>
              <w:jc w:val="center"/>
              <w:rPr>
                <w:rFonts w:hint="default"/>
                <w:b/>
                <w:color w:val="auto"/>
              </w:rPr>
            </w:pPr>
            <w:r>
              <w:rPr>
                <w:rFonts w:hint="eastAsia"/>
                <w:b/>
                <w:color w:val="auto"/>
              </w:rPr>
              <w:t>泄漏速率/（</w:t>
            </w:r>
            <w:r>
              <w:rPr>
                <w:rFonts w:hint="default"/>
                <w:b/>
                <w:color w:val="auto"/>
                <w:sz w:val="21"/>
                <w:szCs w:val="21"/>
              </w:rPr>
              <w:t>kg</w:t>
            </w:r>
            <w:r>
              <w:rPr>
                <w:rFonts w:hint="eastAsia"/>
                <w:b/>
                <w:color w:val="auto"/>
              </w:rPr>
              <w:t>/s）</w:t>
            </w:r>
          </w:p>
        </w:tc>
        <w:tc>
          <w:tcPr>
            <w:tcW w:w="2307" w:type="dxa"/>
            <w:shd w:val="clear" w:color="auto" w:fill="auto"/>
            <w:vAlign w:val="center"/>
          </w:tcPr>
          <w:p w14:paraId="642188B3">
            <w:pPr>
              <w:pStyle w:val="83"/>
              <w:keepNext w:val="0"/>
              <w:keepLines w:val="0"/>
              <w:suppressLineNumbers w:val="0"/>
              <w:adjustRightInd w:val="0"/>
              <w:snapToGrid w:val="0"/>
              <w:spacing w:before="0" w:beforeAutospacing="0" w:after="0" w:afterAutospacing="0"/>
              <w:ind w:left="0" w:right="0" w:firstLine="210"/>
              <w:jc w:val="center"/>
              <w:rPr>
                <w:rFonts w:hint="eastAsia" w:eastAsia="宋体"/>
                <w:b/>
                <w:color w:val="auto"/>
                <w:lang w:eastAsia="zh-CN"/>
              </w:rPr>
            </w:pPr>
            <w:r>
              <w:rPr>
                <w:rFonts w:hint="eastAsia"/>
                <w:b/>
                <w:color w:val="auto"/>
                <w:lang w:eastAsia="zh-CN"/>
              </w:rPr>
              <w:t>泄漏</w:t>
            </w:r>
            <w:r>
              <w:rPr>
                <w:rFonts w:hint="eastAsia"/>
                <w:b/>
                <w:color w:val="auto"/>
              </w:rPr>
              <w:t>时间/</w:t>
            </w:r>
            <w:r>
              <w:rPr>
                <w:rFonts w:hint="eastAsia"/>
                <w:b/>
                <w:color w:val="auto"/>
                <w:lang w:val="en-US" w:eastAsia="zh-CN"/>
              </w:rPr>
              <w:t>s</w:t>
            </w:r>
          </w:p>
        </w:tc>
        <w:tc>
          <w:tcPr>
            <w:tcW w:w="2307" w:type="dxa"/>
            <w:shd w:val="clear" w:color="auto" w:fill="auto"/>
            <w:vAlign w:val="center"/>
          </w:tcPr>
          <w:p w14:paraId="3756723B">
            <w:pPr>
              <w:pStyle w:val="83"/>
              <w:keepNext w:val="0"/>
              <w:keepLines w:val="0"/>
              <w:suppressLineNumbers w:val="0"/>
              <w:adjustRightInd w:val="0"/>
              <w:snapToGrid w:val="0"/>
              <w:spacing w:before="0" w:beforeAutospacing="0" w:after="0" w:afterAutospacing="0"/>
              <w:ind w:left="0" w:right="0" w:firstLine="210"/>
              <w:jc w:val="center"/>
              <w:rPr>
                <w:rFonts w:hint="default"/>
                <w:b/>
                <w:color w:val="auto"/>
              </w:rPr>
            </w:pPr>
            <w:r>
              <w:rPr>
                <w:rFonts w:hint="eastAsia"/>
                <w:b/>
                <w:color w:val="auto"/>
              </w:rPr>
              <w:t>泄漏量/</w:t>
            </w:r>
            <w:r>
              <w:rPr>
                <w:rFonts w:hint="default"/>
                <w:b/>
                <w:color w:val="auto"/>
                <w:sz w:val="21"/>
                <w:szCs w:val="21"/>
              </w:rPr>
              <w:t>kg</w:t>
            </w:r>
          </w:p>
        </w:tc>
      </w:tr>
      <w:tr w14:paraId="2EA23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57" w:type="dxa"/>
            <w:vAlign w:val="center"/>
          </w:tcPr>
          <w:p w14:paraId="7B7C32CA">
            <w:pPr>
              <w:pStyle w:val="83"/>
              <w:keepNext w:val="0"/>
              <w:keepLines w:val="0"/>
              <w:suppressLineNumbers w:val="0"/>
              <w:adjustRightInd w:val="0"/>
              <w:snapToGrid w:val="0"/>
              <w:spacing w:before="0" w:beforeAutospacing="0" w:after="0" w:afterAutospacing="0"/>
              <w:ind w:left="0" w:right="0" w:firstLine="210"/>
              <w:jc w:val="center"/>
              <w:rPr>
                <w:rFonts w:hint="default"/>
                <w:color w:val="FF0000"/>
              </w:rPr>
            </w:pPr>
            <w:r>
              <w:rPr>
                <w:rFonts w:hint="eastAsia" w:cs="Times New Roman"/>
                <w:color w:val="auto"/>
                <w:sz w:val="21"/>
                <w:szCs w:val="21"/>
                <w:lang w:val="en-US" w:eastAsia="zh-CN"/>
              </w:rPr>
              <w:t>盐酸</w:t>
            </w:r>
          </w:p>
        </w:tc>
        <w:tc>
          <w:tcPr>
            <w:tcW w:w="2315" w:type="dxa"/>
            <w:vAlign w:val="center"/>
          </w:tcPr>
          <w:p w14:paraId="66B57654">
            <w:pPr>
              <w:pStyle w:val="83"/>
              <w:keepNext w:val="0"/>
              <w:keepLines w:val="0"/>
              <w:suppressLineNumbers w:val="0"/>
              <w:adjustRightInd w:val="0"/>
              <w:snapToGrid w:val="0"/>
              <w:spacing w:before="0" w:beforeAutospacing="0" w:after="0" w:afterAutospacing="0"/>
              <w:ind w:left="0" w:right="0" w:hanging="4"/>
              <w:jc w:val="center"/>
              <w:rPr>
                <w:rFonts w:hint="default" w:eastAsia="宋体"/>
                <w:color w:val="auto"/>
                <w:lang w:val="en-US" w:eastAsia="zh-CN"/>
              </w:rPr>
            </w:pPr>
            <w:r>
              <w:rPr>
                <w:rFonts w:hint="eastAsia"/>
                <w:color w:val="auto"/>
                <w:lang w:val="en-US" w:eastAsia="zh-CN"/>
              </w:rPr>
              <w:t>4.95</w:t>
            </w:r>
          </w:p>
        </w:tc>
        <w:tc>
          <w:tcPr>
            <w:tcW w:w="2307" w:type="dxa"/>
            <w:vAlign w:val="center"/>
          </w:tcPr>
          <w:p w14:paraId="5A895399">
            <w:pPr>
              <w:pStyle w:val="83"/>
              <w:keepNext w:val="0"/>
              <w:keepLines w:val="0"/>
              <w:suppressLineNumbers w:val="0"/>
              <w:adjustRightInd w:val="0"/>
              <w:snapToGrid w:val="0"/>
              <w:spacing w:before="0" w:beforeAutospacing="0" w:after="0" w:afterAutospacing="0"/>
              <w:ind w:left="0" w:right="0" w:firstLine="210"/>
              <w:jc w:val="center"/>
              <w:rPr>
                <w:rFonts w:hint="default"/>
                <w:color w:val="auto"/>
              </w:rPr>
            </w:pPr>
            <w:r>
              <w:rPr>
                <w:rFonts w:hint="default" w:eastAsia="等线"/>
                <w:color w:val="auto"/>
              </w:rPr>
              <w:t>60</w:t>
            </w:r>
          </w:p>
        </w:tc>
        <w:tc>
          <w:tcPr>
            <w:tcW w:w="2307" w:type="dxa"/>
            <w:vAlign w:val="center"/>
          </w:tcPr>
          <w:p w14:paraId="615901AD">
            <w:pPr>
              <w:pStyle w:val="83"/>
              <w:keepNext w:val="0"/>
              <w:keepLines w:val="0"/>
              <w:suppressLineNumbers w:val="0"/>
              <w:adjustRightInd w:val="0"/>
              <w:snapToGrid w:val="0"/>
              <w:spacing w:before="0" w:beforeAutospacing="0" w:after="0" w:afterAutospacing="0"/>
              <w:ind w:left="0" w:right="0" w:firstLine="210"/>
              <w:jc w:val="center"/>
              <w:rPr>
                <w:rFonts w:hint="default" w:eastAsia="宋体"/>
                <w:color w:val="auto"/>
                <w:lang w:val="en-US" w:eastAsia="zh-CN"/>
              </w:rPr>
            </w:pPr>
            <w:r>
              <w:rPr>
                <w:rFonts w:hint="eastAsia" w:eastAsia="等线"/>
                <w:color w:val="auto"/>
                <w:lang w:val="en-US" w:eastAsia="zh-CN"/>
              </w:rPr>
              <w:t>297</w:t>
            </w:r>
          </w:p>
        </w:tc>
      </w:tr>
      <w:bookmarkEnd w:id="76"/>
    </w:tbl>
    <w:p w14:paraId="05CE8FC4">
      <w:pPr>
        <w:keepNext/>
        <w:keepLines/>
        <w:widowControl/>
        <w:spacing w:before="120" w:after="120" w:line="360" w:lineRule="auto"/>
        <w:jc w:val="left"/>
        <w:outlineLvl w:val="1"/>
        <w:rPr>
          <w:rFonts w:hint="default" w:ascii="Times New Roman" w:hAnsi="Times New Roman" w:eastAsia="宋体" w:cs="Times New Roman"/>
          <w:b/>
          <w:bCs/>
          <w:color w:val="auto"/>
          <w:kern w:val="0"/>
          <w:sz w:val="30"/>
          <w:szCs w:val="30"/>
        </w:rPr>
      </w:pPr>
      <w:bookmarkStart w:id="77" w:name="_Toc33691326"/>
      <w:bookmarkStart w:id="78" w:name="_Toc6776"/>
      <w:r>
        <w:rPr>
          <w:rFonts w:hint="default" w:ascii="Times New Roman" w:hAnsi="Times New Roman" w:eastAsia="宋体" w:cs="Times New Roman"/>
          <w:b/>
          <w:bCs/>
          <w:color w:val="auto"/>
          <w:kern w:val="0"/>
          <w:sz w:val="30"/>
          <w:szCs w:val="30"/>
          <w:lang w:val="en-US" w:eastAsia="zh-CN"/>
        </w:rPr>
        <w:t>6.3</w:t>
      </w:r>
      <w:r>
        <w:rPr>
          <w:rFonts w:hint="default" w:ascii="Times New Roman" w:hAnsi="Times New Roman" w:eastAsia="宋体" w:cs="Times New Roman"/>
          <w:b/>
          <w:bCs/>
          <w:color w:val="auto"/>
          <w:kern w:val="0"/>
          <w:sz w:val="30"/>
          <w:szCs w:val="30"/>
        </w:rPr>
        <w:t xml:space="preserve"> 环境风险预测与评价</w:t>
      </w:r>
      <w:bookmarkEnd w:id="77"/>
      <w:bookmarkEnd w:id="78"/>
    </w:p>
    <w:p w14:paraId="5D58BA13">
      <w:pPr>
        <w:pStyle w:val="106"/>
        <w:spacing w:line="360" w:lineRule="auto"/>
        <w:ind w:left="9" w:right="90"/>
        <w:jc w:val="both"/>
        <w:textAlignment w:val="baseline"/>
        <w:outlineLvl w:val="2"/>
        <w:rPr>
          <w:rFonts w:hint="default" w:ascii="Times New Roman" w:hAnsi="Times New Roman" w:eastAsia="宋体" w:cs="Times New Roman"/>
          <w:b/>
          <w:bCs/>
          <w:color w:val="auto"/>
          <w:sz w:val="28"/>
          <w:szCs w:val="28"/>
          <w:lang w:val="en-US"/>
        </w:rPr>
      </w:pPr>
      <w:bookmarkStart w:id="79" w:name="_Toc27366"/>
      <w:r>
        <w:rPr>
          <w:rFonts w:hint="default" w:ascii="Times New Roman" w:hAnsi="Times New Roman" w:eastAsia="宋体" w:cs="Times New Roman"/>
          <w:b/>
          <w:bCs/>
          <w:color w:val="auto"/>
          <w:sz w:val="28"/>
          <w:szCs w:val="28"/>
          <w:lang w:val="en-US" w:eastAsia="zh-CN"/>
        </w:rPr>
        <w:t>6.3.</w:t>
      </w:r>
      <w:r>
        <w:rPr>
          <w:rFonts w:hint="default" w:ascii="Times New Roman" w:hAnsi="Times New Roman" w:eastAsia="宋体" w:cs="Times New Roman"/>
          <w:b/>
          <w:bCs/>
          <w:color w:val="auto"/>
          <w:sz w:val="28"/>
          <w:szCs w:val="28"/>
          <w:lang w:val="en-US"/>
        </w:rPr>
        <w:t>1 有毒有害物质在大气中的扩散</w:t>
      </w:r>
      <w:bookmarkEnd w:id="79"/>
    </w:p>
    <w:p w14:paraId="6E48D4D8">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kern w:val="0"/>
          <w:sz w:val="24"/>
          <w:lang w:eastAsia="zh-CN"/>
        </w:rPr>
        <w:t>本项目</w:t>
      </w:r>
      <w:r>
        <w:rPr>
          <w:rFonts w:hint="eastAsia" w:cs="Times New Roman"/>
          <w:color w:val="auto"/>
          <w:sz w:val="24"/>
          <w:szCs w:val="24"/>
          <w:lang w:val="en-US" w:eastAsia="zh-CN"/>
        </w:rPr>
        <w:t>盐酸泄漏后挥发的氯化氢不属于有毒有害物质，故本次评价不再进行风险预测与评价。</w:t>
      </w:r>
      <w:bookmarkStart w:id="80" w:name="_Hlk25911845"/>
    </w:p>
    <w:bookmarkEnd w:id="80"/>
    <w:p w14:paraId="6618FBA3">
      <w:pPr>
        <w:pStyle w:val="106"/>
        <w:spacing w:line="360" w:lineRule="auto"/>
        <w:ind w:left="9" w:right="-52"/>
        <w:jc w:val="both"/>
        <w:textAlignment w:val="baseline"/>
        <w:outlineLvl w:val="2"/>
        <w:rPr>
          <w:rFonts w:hint="default" w:ascii="Times New Roman" w:hAnsi="Times New Roman" w:eastAsia="宋体" w:cs="Times New Roman"/>
          <w:b/>
          <w:bCs/>
          <w:color w:val="auto"/>
          <w:sz w:val="28"/>
          <w:szCs w:val="28"/>
          <w:lang w:val="en-US"/>
        </w:rPr>
      </w:pPr>
      <w:bookmarkStart w:id="81" w:name="_Toc18363"/>
      <w:r>
        <w:rPr>
          <w:rFonts w:hint="default" w:ascii="Times New Roman" w:hAnsi="Times New Roman" w:eastAsia="宋体" w:cs="Times New Roman"/>
          <w:b/>
          <w:bCs/>
          <w:color w:val="auto"/>
          <w:sz w:val="28"/>
          <w:szCs w:val="28"/>
          <w:lang w:val="en-US" w:eastAsia="zh-CN"/>
        </w:rPr>
        <w:t>6.3.</w:t>
      </w:r>
      <w:r>
        <w:rPr>
          <w:rFonts w:hint="default" w:ascii="Times New Roman" w:hAnsi="Times New Roman" w:eastAsia="宋体" w:cs="Times New Roman"/>
          <w:b/>
          <w:bCs/>
          <w:color w:val="auto"/>
          <w:sz w:val="28"/>
          <w:szCs w:val="28"/>
          <w:lang w:val="en-US"/>
        </w:rPr>
        <w:t>2 地表水</w:t>
      </w:r>
      <w:r>
        <w:rPr>
          <w:rFonts w:hint="default" w:ascii="Times New Roman" w:hAnsi="Times New Roman" w:eastAsia="宋体" w:cs="Times New Roman"/>
          <w:b/>
          <w:bCs/>
          <w:color w:val="auto"/>
          <w:sz w:val="28"/>
          <w:szCs w:val="28"/>
          <w:lang w:val="en-US" w:eastAsia="zh-CN"/>
        </w:rPr>
        <w:t>、地下水</w:t>
      </w:r>
      <w:r>
        <w:rPr>
          <w:rFonts w:hint="default" w:ascii="Times New Roman" w:hAnsi="Times New Roman" w:eastAsia="宋体" w:cs="Times New Roman"/>
          <w:b/>
          <w:bCs/>
          <w:color w:val="auto"/>
          <w:sz w:val="28"/>
          <w:szCs w:val="28"/>
          <w:lang w:val="en-US"/>
        </w:rPr>
        <w:t>环境风险影响评价</w:t>
      </w:r>
      <w:bookmarkEnd w:id="81"/>
    </w:p>
    <w:p w14:paraId="310CC34D">
      <w:pPr>
        <w:pStyle w:val="106"/>
        <w:spacing w:line="360" w:lineRule="auto"/>
        <w:ind w:firstLine="480" w:firstLineChars="200"/>
        <w:jc w:val="both"/>
        <w:textAlignment w:val="baseline"/>
        <w:rPr>
          <w:rFonts w:hint="eastAsia" w:ascii="Times New Roman" w:hAnsi="Times New Roman" w:cs="Times New Roman"/>
          <w:color w:val="auto"/>
          <w:sz w:val="24"/>
          <w:szCs w:val="24"/>
          <w:lang w:val="en-US" w:eastAsia="zh-CN"/>
        </w:rPr>
      </w:pPr>
      <w:r>
        <w:rPr>
          <w:rFonts w:hint="default" w:ascii="Times New Roman" w:hAnsi="Times New Roman" w:eastAsia="宋体" w:cs="Times New Roman"/>
          <w:color w:val="auto"/>
          <w:szCs w:val="26"/>
          <w:highlight w:val="none"/>
          <w:lang w:val="en-US"/>
        </w:rPr>
        <w:t>正常情况下，</w:t>
      </w:r>
      <w:r>
        <w:rPr>
          <w:rFonts w:hint="eastAsia" w:ascii="Times New Roman" w:hAnsi="Times New Roman" w:cs="Times New Roman"/>
          <w:color w:val="auto"/>
          <w:highlight w:val="none"/>
          <w:lang w:val="en-US" w:eastAsia="zh-CN"/>
        </w:rPr>
        <w:t>盐酸暂存于盐酸仓库的吨桶中，</w:t>
      </w:r>
      <w:r>
        <w:rPr>
          <w:rFonts w:hint="eastAsia" w:ascii="Times New Roman" w:hAnsi="Times New Roman"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设置</w:t>
      </w:r>
      <w:r>
        <w:rPr>
          <w:rFonts w:hint="eastAsia" w:ascii="Times New Roman" w:hAnsi="Times New Roman"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m高围堰且已</w:t>
      </w:r>
      <w:r>
        <w:rPr>
          <w:rFonts w:hint="default" w:ascii="Times New Roman" w:hAnsi="Times New Roman" w:eastAsia="宋体" w:cs="Times New Roman"/>
          <w:color w:val="auto"/>
          <w:sz w:val="24"/>
          <w:szCs w:val="24"/>
          <w:highlight w:val="none"/>
          <w:lang w:val="en-US" w:eastAsia="zh-CN"/>
        </w:rPr>
        <w:t>重点防渗</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一般情况下不会流出厂区</w:t>
      </w:r>
      <w:r>
        <w:rPr>
          <w:rFonts w:hint="eastAsia" w:ascii="Times New Roman" w:hAnsi="Times New Roman" w:cs="Times New Roman"/>
          <w:color w:val="auto"/>
          <w:sz w:val="24"/>
          <w:szCs w:val="24"/>
          <w:lang w:val="en-US" w:eastAsia="zh-CN"/>
        </w:rPr>
        <w:t>。</w:t>
      </w:r>
    </w:p>
    <w:p w14:paraId="2E295035">
      <w:pPr>
        <w:pStyle w:val="106"/>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rPr>
      </w:pPr>
      <w:r>
        <w:rPr>
          <w:rFonts w:hint="eastAsia" w:ascii="Times New Roman" w:hAnsi="Times New Roman" w:eastAsia="宋体" w:cs="Times New Roman"/>
          <w:color w:val="auto"/>
          <w:sz w:val="24"/>
          <w:szCs w:val="24"/>
          <w:lang w:val="en-US" w:eastAsia="zh-CN"/>
        </w:rPr>
        <w:t>若</w:t>
      </w:r>
      <w:r>
        <w:rPr>
          <w:rFonts w:hint="eastAsia" w:ascii="Times New Roman" w:hAnsi="Times New Roman" w:cs="Times New Roman"/>
          <w:color w:val="auto"/>
          <w:sz w:val="24"/>
          <w:szCs w:val="24"/>
          <w:lang w:val="en-US" w:eastAsia="zh-CN"/>
        </w:rPr>
        <w:t>盐酸吨桶</w:t>
      </w:r>
      <w:r>
        <w:rPr>
          <w:rFonts w:hint="eastAsia" w:ascii="Times New Roman" w:hAnsi="Times New Roman" w:eastAsia="宋体" w:cs="Times New Roman"/>
          <w:color w:val="auto"/>
          <w:kern w:val="0"/>
          <w:sz w:val="24"/>
          <w:szCs w:val="24"/>
          <w:highlight w:val="none"/>
          <w:lang w:val="en-US" w:eastAsia="zh-CN"/>
        </w:rPr>
        <w:t>、围堰</w:t>
      </w:r>
      <w:r>
        <w:rPr>
          <w:rFonts w:hint="eastAsia" w:ascii="Times New Roman" w:hAnsi="Times New Roman" w:eastAsia="宋体" w:cs="Times New Roman"/>
          <w:color w:val="auto"/>
          <w:sz w:val="24"/>
          <w:szCs w:val="24"/>
          <w:highlight w:val="none"/>
          <w:lang w:val="en-US" w:eastAsia="zh-CN"/>
        </w:rPr>
        <w:t>破损，</w:t>
      </w:r>
      <w:r>
        <w:rPr>
          <w:rFonts w:hint="default" w:ascii="Times New Roman" w:hAnsi="Times New Roman" w:eastAsia="宋体" w:cs="Times New Roman"/>
          <w:color w:val="auto"/>
          <w:szCs w:val="26"/>
          <w:highlight w:val="none"/>
          <w:lang w:val="en-US"/>
        </w:rPr>
        <w:t>项目在厂区</w:t>
      </w:r>
      <w:r>
        <w:rPr>
          <w:rFonts w:hint="default" w:ascii="Times New Roman" w:hAnsi="Times New Roman" w:eastAsia="宋体" w:cs="Times New Roman"/>
          <w:color w:val="auto"/>
          <w:kern w:val="0"/>
          <w:sz w:val="24"/>
          <w:highlight w:val="none"/>
        </w:rPr>
        <w:t>拟建立三级防控系统，</w:t>
      </w:r>
      <w:r>
        <w:rPr>
          <w:rFonts w:hint="default" w:ascii="Times New Roman" w:hAnsi="Times New Roman" w:eastAsia="宋体" w:cs="Times New Roman"/>
          <w:color w:val="auto"/>
          <w:szCs w:val="26"/>
          <w:highlight w:val="none"/>
          <w:lang w:val="en-US"/>
        </w:rPr>
        <w:t>设置事故应急池</w:t>
      </w:r>
      <w:r>
        <w:rPr>
          <w:rFonts w:hint="default" w:ascii="Times New Roman" w:hAnsi="Times New Roman" w:eastAsia="宋体" w:cs="Times New Roman"/>
          <w:color w:val="auto"/>
          <w:szCs w:val="26"/>
          <w:highlight w:val="none"/>
          <w:lang w:val="en-US" w:eastAsia="zh-CN"/>
        </w:rPr>
        <w:t>（</w:t>
      </w:r>
      <w:r>
        <w:rPr>
          <w:rFonts w:hint="default" w:ascii="Times New Roman" w:hAnsi="Times New Roman" w:eastAsia="宋体" w:cs="Times New Roman"/>
          <w:color w:val="auto"/>
          <w:szCs w:val="26"/>
          <w:highlight w:val="none"/>
          <w:lang w:val="en-US"/>
        </w:rPr>
        <w:t>1座，容积</w:t>
      </w:r>
      <w:r>
        <w:rPr>
          <w:rFonts w:hint="eastAsia" w:ascii="Times New Roman" w:hAnsi="Times New Roman" w:cs="Times New Roman"/>
          <w:color w:val="auto"/>
          <w:szCs w:val="26"/>
          <w:highlight w:val="none"/>
          <w:lang w:val="en-US" w:eastAsia="zh-CN"/>
        </w:rPr>
        <w:t>200</w:t>
      </w:r>
      <w:r>
        <w:rPr>
          <w:rFonts w:hint="default" w:ascii="Times New Roman" w:hAnsi="Times New Roman" w:eastAsia="宋体" w:cs="Times New Roman"/>
          <w:color w:val="auto"/>
          <w:szCs w:val="26"/>
          <w:highlight w:val="none"/>
          <w:lang w:val="en-US"/>
        </w:rPr>
        <w:t>m</w:t>
      </w:r>
      <w:r>
        <w:rPr>
          <w:rFonts w:hint="default" w:ascii="Times New Roman" w:hAnsi="Times New Roman" w:eastAsia="宋体" w:cs="Times New Roman"/>
          <w:color w:val="auto"/>
          <w:szCs w:val="26"/>
          <w:highlight w:val="none"/>
          <w:vertAlign w:val="superscript"/>
          <w:lang w:val="en-US"/>
        </w:rPr>
        <w:t>3</w:t>
      </w:r>
      <w:r>
        <w:rPr>
          <w:rFonts w:hint="default" w:ascii="Times New Roman" w:hAnsi="Times New Roman" w:eastAsia="宋体" w:cs="Times New Roman"/>
          <w:b w:val="0"/>
          <w:bCs w:val="0"/>
          <w:color w:val="auto"/>
          <w:kern w:val="0"/>
          <w:sz w:val="24"/>
          <w:szCs w:val="24"/>
          <w:highlight w:val="none"/>
          <w:lang w:val="en-US" w:eastAsia="zh-CN" w:bidi="ar"/>
        </w:rPr>
        <w:t>）</w:t>
      </w:r>
      <w:r>
        <w:rPr>
          <w:rFonts w:hint="default" w:ascii="Times New Roman" w:hAnsi="Times New Roman" w:eastAsia="宋体" w:cs="Times New Roman"/>
          <w:color w:val="auto"/>
          <w:szCs w:val="26"/>
          <w:highlight w:val="none"/>
          <w:lang w:val="en-US"/>
        </w:rPr>
        <w:t>，能够有效收集事故废水，事故应急池严格做好防渗防腐、防漏等措施，能有效避免事故废水对周围地表水及地下水环境的影响。</w:t>
      </w:r>
    </w:p>
    <w:p w14:paraId="5C4ACAB8">
      <w:pPr>
        <w:pStyle w:val="106"/>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rPr>
      </w:pPr>
      <w:r>
        <w:rPr>
          <w:rFonts w:hint="default" w:ascii="Times New Roman" w:hAnsi="Times New Roman" w:eastAsia="宋体" w:cs="Times New Roman"/>
          <w:color w:val="auto"/>
          <w:szCs w:val="26"/>
          <w:highlight w:val="none"/>
          <w:lang w:val="en-US"/>
        </w:rPr>
        <w:t>因此，即使发生</w:t>
      </w:r>
      <w:r>
        <w:rPr>
          <w:rFonts w:hint="eastAsia" w:ascii="Times New Roman" w:hAnsi="Times New Roman" w:cs="Times New Roman"/>
          <w:color w:val="auto"/>
          <w:sz w:val="24"/>
          <w:szCs w:val="24"/>
          <w:lang w:val="en-US" w:eastAsia="zh-CN"/>
        </w:rPr>
        <w:t>盐酸吨桶</w:t>
      </w:r>
      <w:r>
        <w:rPr>
          <w:rFonts w:hint="eastAsia" w:ascii="Times New Roman" w:hAnsi="Times New Roman" w:eastAsia="宋体" w:cs="Times New Roman"/>
          <w:color w:val="auto"/>
          <w:kern w:val="0"/>
          <w:sz w:val="24"/>
          <w:szCs w:val="24"/>
          <w:highlight w:val="none"/>
          <w:lang w:val="en-US" w:eastAsia="zh-CN"/>
        </w:rPr>
        <w:t>、围堰</w:t>
      </w:r>
      <w:r>
        <w:rPr>
          <w:rFonts w:hint="eastAsia" w:ascii="Times New Roman" w:hAnsi="Times New Roman" w:cs="Times New Roman"/>
          <w:color w:val="auto"/>
          <w:kern w:val="0"/>
          <w:sz w:val="24"/>
          <w:szCs w:val="24"/>
          <w:highlight w:val="none"/>
          <w:lang w:val="en-US" w:eastAsia="zh-CN"/>
        </w:rPr>
        <w:t>同时</w:t>
      </w:r>
      <w:r>
        <w:rPr>
          <w:rFonts w:hint="eastAsia" w:ascii="Times New Roman" w:hAnsi="Times New Roman" w:eastAsia="宋体" w:cs="Times New Roman"/>
          <w:color w:val="auto"/>
          <w:sz w:val="24"/>
          <w:szCs w:val="24"/>
          <w:highlight w:val="none"/>
          <w:lang w:val="en-US" w:eastAsia="zh-CN"/>
        </w:rPr>
        <w:t>破损</w:t>
      </w:r>
      <w:r>
        <w:rPr>
          <w:rFonts w:hint="default" w:ascii="Times New Roman" w:hAnsi="Times New Roman" w:eastAsia="宋体" w:cs="Times New Roman"/>
          <w:color w:val="auto"/>
          <w:szCs w:val="26"/>
          <w:highlight w:val="none"/>
          <w:lang w:val="en-US"/>
        </w:rPr>
        <w:t>，也不会对地表水及地下水造成明显影响</w:t>
      </w:r>
      <w:r>
        <w:rPr>
          <w:rFonts w:hint="default" w:ascii="Times New Roman" w:hAnsi="Times New Roman" w:eastAsia="宋体" w:cs="Times New Roman"/>
          <w:color w:val="auto"/>
          <w:szCs w:val="26"/>
          <w:highlight w:val="none"/>
          <w:lang w:val="en-US" w:eastAsia="zh-CN"/>
        </w:rPr>
        <w:t>；</w:t>
      </w:r>
      <w:r>
        <w:rPr>
          <w:rFonts w:hint="default" w:ascii="Times New Roman" w:hAnsi="Times New Roman" w:eastAsia="宋体" w:cs="Times New Roman"/>
          <w:color w:val="auto"/>
          <w:szCs w:val="26"/>
          <w:highlight w:val="none"/>
          <w:lang w:val="en-US"/>
        </w:rPr>
        <w:t>建议企业应加强对相关设施设备的日常检修维护和监测工作，将</w:t>
      </w:r>
      <w:r>
        <w:rPr>
          <w:rFonts w:hint="eastAsia" w:ascii="Times New Roman" w:hAnsi="Times New Roman" w:cs="Times New Roman"/>
          <w:color w:val="auto"/>
          <w:szCs w:val="26"/>
          <w:highlight w:val="none"/>
          <w:lang w:val="en-US" w:eastAsia="zh-CN"/>
        </w:rPr>
        <w:t>风险</w:t>
      </w:r>
      <w:r>
        <w:rPr>
          <w:rFonts w:hint="default" w:ascii="Times New Roman" w:hAnsi="Times New Roman" w:eastAsia="宋体" w:cs="Times New Roman"/>
          <w:color w:val="auto"/>
          <w:szCs w:val="26"/>
          <w:highlight w:val="none"/>
          <w:lang w:val="en-US"/>
        </w:rPr>
        <w:t>物质进入地表水、地下水环境的影响程度降至最低。</w:t>
      </w:r>
    </w:p>
    <w:p w14:paraId="0A74B27C">
      <w:pPr>
        <w:spacing w:line="360" w:lineRule="auto"/>
        <w:ind w:firstLine="482" w:firstLineChars="200"/>
        <w:rPr>
          <w:b/>
          <w:bCs/>
          <w:color w:val="auto"/>
          <w:sz w:val="24"/>
        </w:rPr>
      </w:pPr>
      <w:bookmarkStart w:id="82" w:name="_Toc4052"/>
      <w:bookmarkStart w:id="83" w:name="_Hlk26031083"/>
      <w:r>
        <w:rPr>
          <w:rFonts w:hint="eastAsia"/>
          <w:b/>
          <w:bCs/>
          <w:color w:val="auto"/>
          <w:sz w:val="24"/>
        </w:rPr>
        <w:t>事故废水计算</w:t>
      </w:r>
    </w:p>
    <w:p w14:paraId="4FF00D27">
      <w:pPr>
        <w:spacing w:line="360" w:lineRule="auto"/>
        <w:ind w:firstLine="480" w:firstLineChars="200"/>
        <w:rPr>
          <w:color w:val="auto"/>
          <w:sz w:val="24"/>
        </w:rPr>
      </w:pPr>
      <w:r>
        <w:rPr>
          <w:rFonts w:hint="eastAsia"/>
          <w:color w:val="auto"/>
          <w:sz w:val="24"/>
        </w:rPr>
        <w:t>参考GB/T50483-2019规定</w:t>
      </w:r>
      <w:r>
        <w:rPr>
          <w:rFonts w:hint="eastAsia"/>
          <w:color w:val="auto"/>
          <w:sz w:val="24"/>
          <w:lang w:eastAsia="zh-CN"/>
        </w:rPr>
        <w:t>：</w:t>
      </w:r>
      <w:r>
        <w:rPr>
          <w:rFonts w:hint="eastAsia"/>
          <w:color w:val="auto"/>
          <w:sz w:val="24"/>
        </w:rPr>
        <w:t>应急事故水池容积应根据事故物料泄漏量、消防废水量、进入应急事故水池的降雨量等因素确定。</w:t>
      </w:r>
    </w:p>
    <w:p w14:paraId="473581EF">
      <w:pPr>
        <w:spacing w:line="360" w:lineRule="auto"/>
        <w:ind w:firstLine="480" w:firstLineChars="200"/>
        <w:rPr>
          <w:color w:val="auto"/>
          <w:sz w:val="24"/>
        </w:rPr>
      </w:pPr>
      <w:r>
        <w:rPr>
          <w:rFonts w:hint="eastAsia"/>
          <w:color w:val="auto"/>
          <w:sz w:val="24"/>
        </w:rPr>
        <w:t>本项目应急事故水池容量按下式计算：</w:t>
      </w:r>
    </w:p>
    <w:p w14:paraId="6AC695D3">
      <w:pPr>
        <w:pStyle w:val="101"/>
        <w:spacing w:line="360" w:lineRule="auto"/>
        <w:jc w:val="center"/>
        <w:rPr>
          <w:rFonts w:ascii="Times New Roman" w:hAnsi="Times New Roman" w:eastAsia="宋体" w:cs="Times New Roman"/>
          <w:color w:val="auto"/>
        </w:rPr>
      </w:pPr>
      <w:r>
        <w:rPr>
          <w:rFonts w:ascii="Times New Roman" w:hAnsi="Times New Roman" w:eastAsia="宋体" w:cs="Times New Roman"/>
          <w:color w:val="auto"/>
        </w:rPr>
        <w:t>V</w:t>
      </w:r>
      <w:r>
        <w:rPr>
          <w:rFonts w:ascii="Times New Roman" w:hAnsi="Times New Roman" w:eastAsia="宋体" w:cs="Times New Roman"/>
          <w:color w:val="auto"/>
          <w:vertAlign w:val="subscript"/>
        </w:rPr>
        <w:t>总</w:t>
      </w:r>
      <w:r>
        <w:rPr>
          <w:rFonts w:ascii="Times New Roman" w:hAnsi="Times New Roman" w:eastAsia="宋体" w:cs="Times New Roman"/>
          <w:color w:val="auto"/>
        </w:rPr>
        <w:t>＝（V</w:t>
      </w:r>
      <w:r>
        <w:rPr>
          <w:rFonts w:hint="eastAsia" w:ascii="Times New Roman" w:hAnsi="Times New Roman" w:eastAsia="宋体" w:cs="Times New Roman"/>
          <w:color w:val="auto"/>
          <w:vertAlign w:val="subscript"/>
        </w:rPr>
        <w:t>1</w:t>
      </w:r>
      <w:r>
        <w:rPr>
          <w:rFonts w:ascii="Times New Roman" w:hAnsi="Times New Roman" w:eastAsia="宋体" w:cs="Times New Roman"/>
          <w:color w:val="auto"/>
        </w:rPr>
        <w:t>＋V</w:t>
      </w:r>
      <w:r>
        <w:rPr>
          <w:rFonts w:hint="eastAsia" w:ascii="Times New Roman" w:hAnsi="Times New Roman" w:eastAsia="宋体" w:cs="Times New Roman"/>
          <w:color w:val="auto"/>
          <w:vertAlign w:val="subscript"/>
        </w:rPr>
        <w:t>2</w:t>
      </w:r>
      <w:r>
        <w:rPr>
          <w:rFonts w:hint="eastAsia" w:ascii="Times New Roman" w:hAnsi="Times New Roman" w:eastAsia="宋体" w:cs="Times New Roman"/>
          <w:color w:val="auto"/>
        </w:rPr>
        <w:t>+</w:t>
      </w:r>
      <w:r>
        <w:rPr>
          <w:rFonts w:ascii="Times New Roman" w:hAnsi="Times New Roman" w:eastAsia="宋体" w:cs="Times New Roman"/>
          <w:color w:val="auto"/>
        </w:rPr>
        <w:t>V</w:t>
      </w:r>
      <w:r>
        <w:rPr>
          <w:rFonts w:hint="eastAsia" w:ascii="Times New Roman" w:hAnsi="Times New Roman" w:eastAsia="宋体" w:cs="Times New Roman"/>
          <w:color w:val="auto"/>
        </w:rPr>
        <w:t>雨</w:t>
      </w:r>
      <w:r>
        <w:rPr>
          <w:rFonts w:ascii="Times New Roman" w:hAnsi="Times New Roman" w:eastAsia="宋体" w:cs="Times New Roman"/>
          <w:color w:val="auto"/>
        </w:rPr>
        <w:t>）</w:t>
      </w:r>
      <w:r>
        <w:rPr>
          <w:rFonts w:ascii="Times New Roman" w:hAnsi="Times New Roman" w:eastAsia="宋体" w:cs="Times New Roman"/>
          <w:color w:val="auto"/>
          <w:vertAlign w:val="subscript"/>
        </w:rPr>
        <w:t>max</w:t>
      </w:r>
      <w:r>
        <w:rPr>
          <w:rFonts w:hint="eastAsia" w:ascii="Times New Roman" w:hAnsi="Times New Roman" w:eastAsia="宋体" w:cs="Times New Roman"/>
          <w:color w:val="auto"/>
        </w:rPr>
        <w:t>-</w:t>
      </w:r>
      <w:r>
        <w:rPr>
          <w:rFonts w:ascii="Times New Roman" w:hAnsi="Times New Roman" w:eastAsia="宋体" w:cs="Times New Roman"/>
          <w:color w:val="auto"/>
        </w:rPr>
        <w:t>V</w:t>
      </w:r>
      <w:r>
        <w:rPr>
          <w:rFonts w:ascii="Times New Roman" w:hAnsi="Times New Roman" w:eastAsia="宋体" w:cs="Times New Roman"/>
          <w:color w:val="auto"/>
          <w:vertAlign w:val="subscript"/>
        </w:rPr>
        <w:t>3</w:t>
      </w:r>
    </w:p>
    <w:p w14:paraId="5F6E9DFC">
      <w:pPr>
        <w:pStyle w:val="101"/>
        <w:spacing w:line="360" w:lineRule="auto"/>
        <w:rPr>
          <w:rFonts w:ascii="Times New Roman" w:hAnsi="Times New Roman" w:eastAsia="宋体" w:cs="Times New Roman"/>
          <w:color w:val="auto"/>
        </w:rPr>
      </w:pPr>
      <w:r>
        <w:rPr>
          <w:rFonts w:ascii="Times New Roman" w:hAnsi="Times New Roman" w:eastAsia="宋体" w:cs="Times New Roman"/>
          <w:color w:val="auto"/>
        </w:rPr>
        <w:t>V</w:t>
      </w:r>
      <w:r>
        <w:rPr>
          <w:rFonts w:ascii="Times New Roman" w:hAnsi="Times New Roman" w:eastAsia="宋体" w:cs="Times New Roman"/>
          <w:color w:val="auto"/>
          <w:vertAlign w:val="subscript"/>
        </w:rPr>
        <w:t>1</w:t>
      </w:r>
      <w:r>
        <w:rPr>
          <w:rFonts w:ascii="Times New Roman" w:hAnsi="Times New Roman" w:eastAsia="宋体" w:cs="Times New Roman"/>
          <w:color w:val="auto"/>
        </w:rPr>
        <w:t>——</w:t>
      </w:r>
      <w:r>
        <w:rPr>
          <w:rFonts w:hint="eastAsia" w:ascii="Times New Roman" w:hAnsi="Times New Roman" w:eastAsia="宋体" w:cs="Times New Roman"/>
          <w:color w:val="auto"/>
        </w:rPr>
        <w:t>容量最大</w:t>
      </w:r>
      <w:r>
        <w:rPr>
          <w:rFonts w:hint="eastAsia" w:ascii="Times New Roman" w:hAnsi="Times New Roman" w:eastAsia="宋体" w:cs="Times New Roman"/>
          <w:color w:val="auto"/>
          <w:lang w:val="en-US" w:eastAsia="zh-CN"/>
        </w:rPr>
        <w:t>的</w:t>
      </w:r>
      <w:r>
        <w:rPr>
          <w:rFonts w:hint="eastAsia" w:ascii="Times New Roman" w:hAnsi="Times New Roman" w:eastAsia="宋体" w:cs="Times New Roman"/>
          <w:color w:val="auto"/>
        </w:rPr>
        <w:t>一台设备或储罐的物料储存量，m</w:t>
      </w:r>
      <w:r>
        <w:rPr>
          <w:rFonts w:hint="eastAsia" w:ascii="Times New Roman" w:hAnsi="Times New Roman" w:eastAsia="宋体" w:cs="Times New Roman"/>
          <w:color w:val="auto"/>
          <w:vertAlign w:val="superscript"/>
        </w:rPr>
        <w:t>3</w:t>
      </w:r>
      <w:r>
        <w:rPr>
          <w:rFonts w:hint="eastAsia" w:ascii="Times New Roman" w:hAnsi="Times New Roman" w:eastAsia="宋体" w:cs="Times New Roman"/>
          <w:color w:val="auto"/>
        </w:rPr>
        <w:t>；拟建项目</w:t>
      </w:r>
      <w:r>
        <w:rPr>
          <w:rFonts w:hint="eastAsia" w:ascii="Times New Roman" w:hAnsi="Times New Roman" w:eastAsia="宋体" w:cs="Times New Roman"/>
          <w:color w:val="auto"/>
          <w:lang w:val="en-US" w:eastAsia="zh-CN"/>
        </w:rPr>
        <w:t>盐酸为吨桶包装</w:t>
      </w:r>
      <w:r>
        <w:rPr>
          <w:rFonts w:hint="eastAsia" w:ascii="Times New Roman" w:hAnsi="Times New Roman" w:eastAsia="宋体" w:cs="Times New Roman"/>
          <w:color w:val="auto"/>
        </w:rPr>
        <w:t>，</w:t>
      </w:r>
      <w:r>
        <w:rPr>
          <w:rFonts w:ascii="Times New Roman" w:hAnsi="Times New Roman" w:eastAsia="宋体" w:cs="Times New Roman"/>
          <w:color w:val="auto"/>
        </w:rPr>
        <w:t>本次取</w:t>
      </w:r>
      <w:r>
        <w:rPr>
          <w:rFonts w:hint="eastAsia" w:ascii="Times New Roman" w:hAnsi="Times New Roman" w:eastAsia="宋体" w:cs="Times New Roman"/>
          <w:color w:val="auto"/>
        </w:rPr>
        <w:t>最大的</w:t>
      </w:r>
      <w:r>
        <w:rPr>
          <w:rFonts w:ascii="Times New Roman" w:hAnsi="Times New Roman" w:eastAsia="宋体" w:cs="Times New Roman"/>
          <w:color w:val="auto"/>
        </w:rPr>
        <w:t>容积，</w:t>
      </w:r>
      <w:r>
        <w:rPr>
          <w:rFonts w:hint="eastAsia" w:ascii="Times New Roman" w:hAnsi="Times New Roman" w:eastAsia="宋体" w:cs="Times New Roman"/>
          <w:color w:val="auto"/>
          <w:lang w:val="en-US" w:eastAsia="zh-CN"/>
        </w:rPr>
        <w:t>1</w:t>
      </w:r>
      <w:r>
        <w:rPr>
          <w:rFonts w:hint="eastAsia" w:ascii="Times New Roman" w:hAnsi="Times New Roman" w:eastAsia="宋体" w:cs="Times New Roman"/>
          <w:color w:val="auto"/>
        </w:rPr>
        <w:t>m</w:t>
      </w:r>
      <w:r>
        <w:rPr>
          <w:rFonts w:hint="eastAsia" w:ascii="Times New Roman" w:hAnsi="Times New Roman" w:eastAsia="宋体" w:cs="Times New Roman"/>
          <w:color w:val="auto"/>
          <w:vertAlign w:val="superscript"/>
        </w:rPr>
        <w:t>3</w:t>
      </w:r>
      <w:r>
        <w:rPr>
          <w:rFonts w:ascii="Times New Roman" w:hAnsi="Times New Roman" w:eastAsia="宋体" w:cs="Times New Roman"/>
          <w:color w:val="auto"/>
        </w:rPr>
        <w:t>。</w:t>
      </w:r>
    </w:p>
    <w:p w14:paraId="31AFC0C3">
      <w:pPr>
        <w:pStyle w:val="101"/>
        <w:spacing w:line="360" w:lineRule="auto"/>
        <w:rPr>
          <w:rFonts w:ascii="Times New Roman" w:hAnsi="Times New Roman" w:eastAsia="宋体" w:cs="Times New Roman"/>
          <w:color w:val="auto"/>
        </w:rPr>
      </w:pPr>
      <w:r>
        <w:rPr>
          <w:rFonts w:ascii="Times New Roman" w:hAnsi="Times New Roman" w:eastAsia="宋体" w:cs="Times New Roman"/>
          <w:color w:val="auto"/>
        </w:rPr>
        <w:t>V</w:t>
      </w:r>
      <w:r>
        <w:rPr>
          <w:rFonts w:ascii="Times New Roman" w:hAnsi="Times New Roman" w:eastAsia="宋体" w:cs="Times New Roman"/>
          <w:color w:val="auto"/>
          <w:vertAlign w:val="subscript"/>
        </w:rPr>
        <w:t>2</w:t>
      </w:r>
      <w:r>
        <w:rPr>
          <w:rFonts w:ascii="Times New Roman" w:hAnsi="Times New Roman" w:eastAsia="宋体" w:cs="Times New Roman"/>
          <w:color w:val="auto"/>
        </w:rPr>
        <w:t>——</w:t>
      </w:r>
      <w:r>
        <w:rPr>
          <w:rFonts w:hint="eastAsia" w:ascii="Times New Roman" w:hAnsi="Times New Roman" w:eastAsia="宋体" w:cs="Times New Roman"/>
          <w:color w:val="auto"/>
        </w:rPr>
        <w:t>在装置区发生火灾时的消防水量，包括扑灭火灾所需用水量或泡沫液量和保护邻近设备的喷淋冷却水量，m</w:t>
      </w:r>
      <w:r>
        <w:rPr>
          <w:rFonts w:hint="eastAsia" w:ascii="Times New Roman" w:hAnsi="Times New Roman" w:eastAsia="宋体" w:cs="Times New Roman"/>
          <w:color w:val="auto"/>
          <w:vertAlign w:val="superscript"/>
        </w:rPr>
        <w:t>3</w:t>
      </w:r>
      <w:r>
        <w:rPr>
          <w:rFonts w:hint="eastAsia" w:ascii="Times New Roman" w:hAnsi="Times New Roman" w:eastAsia="宋体" w:cs="Times New Roman"/>
          <w:color w:val="auto"/>
        </w:rPr>
        <w:t>；</w:t>
      </w:r>
    </w:p>
    <w:p w14:paraId="3E82C81D">
      <w:pPr>
        <w:pStyle w:val="101"/>
        <w:spacing w:line="360" w:lineRule="auto"/>
        <w:rPr>
          <w:rFonts w:ascii="Times New Roman" w:hAnsi="Times New Roman" w:eastAsia="宋体" w:cs="Times New Roman"/>
          <w:color w:val="auto"/>
        </w:rPr>
      </w:pPr>
      <w:r>
        <w:rPr>
          <w:rFonts w:hint="eastAsia" w:ascii="Times New Roman" w:hAnsi="Times New Roman" w:eastAsia="宋体" w:cs="Times New Roman"/>
          <w:color w:val="auto"/>
        </w:rPr>
        <w:t>本项目同一时间内的火灾起数按1次计算。</w:t>
      </w:r>
      <w:r>
        <w:rPr>
          <w:rFonts w:hint="eastAsia" w:ascii="Times New Roman" w:hAnsi="Times New Roman" w:eastAsia="宋体" w:cs="Times New Roman"/>
          <w:color w:val="auto"/>
          <w:lang w:val="en-US" w:eastAsia="zh-CN"/>
        </w:rPr>
        <w:t>车间</w:t>
      </w:r>
      <w:r>
        <w:rPr>
          <w:rFonts w:hint="eastAsia" w:ascii="Times New Roman" w:hAnsi="Times New Roman" w:eastAsia="宋体" w:cs="Times New Roman"/>
          <w:color w:val="auto"/>
        </w:rPr>
        <w:t>发生火灾事故时消防水用量最大，室外消防水用量为</w:t>
      </w:r>
      <w:r>
        <w:rPr>
          <w:rFonts w:ascii="Times New Roman" w:hAnsi="Times New Roman" w:eastAsia="宋体" w:cs="Times New Roman"/>
          <w:color w:val="auto"/>
        </w:rPr>
        <w:t>3</w:t>
      </w:r>
      <w:r>
        <w:rPr>
          <w:rFonts w:hint="eastAsia" w:ascii="Times New Roman" w:hAnsi="Times New Roman" w:eastAsia="宋体" w:cs="Times New Roman"/>
          <w:color w:val="auto"/>
        </w:rPr>
        <w:t>5L/s，火灾延续时间为</w:t>
      </w:r>
      <w:r>
        <w:rPr>
          <w:rFonts w:hint="eastAsia" w:ascii="Times New Roman" w:hAnsi="Times New Roman" w:eastAsia="宋体" w:cs="Times New Roman"/>
          <w:color w:val="auto"/>
          <w:lang w:val="en-US" w:eastAsia="zh-CN"/>
        </w:rPr>
        <w:t>1</w:t>
      </w:r>
      <w:r>
        <w:rPr>
          <w:rFonts w:hint="eastAsia" w:ascii="Times New Roman" w:hAnsi="Times New Roman" w:eastAsia="宋体" w:cs="Times New Roman"/>
          <w:color w:val="auto"/>
        </w:rPr>
        <w:t>h，</w:t>
      </w:r>
      <w:r>
        <w:rPr>
          <w:rFonts w:hint="eastAsia" w:ascii="Times New Roman" w:hAnsi="Times New Roman" w:eastAsia="宋体" w:cs="Times New Roman"/>
          <w:color w:val="auto"/>
          <w:lang w:val="en-US" w:eastAsia="zh-CN"/>
        </w:rPr>
        <w:t>故</w:t>
      </w:r>
      <w:r>
        <w:rPr>
          <w:rFonts w:hint="eastAsia" w:ascii="Times New Roman" w:hAnsi="Times New Roman" w:eastAsia="宋体" w:cs="Times New Roman"/>
          <w:color w:val="auto"/>
        </w:rPr>
        <w:t>消防水用量=</w:t>
      </w:r>
      <w:r>
        <w:rPr>
          <w:rFonts w:hint="eastAsia" w:ascii="Times New Roman" w:hAnsi="Times New Roman" w:eastAsia="宋体" w:cs="Times New Roman"/>
          <w:color w:val="auto"/>
          <w:lang w:val="en-US" w:eastAsia="zh-CN"/>
        </w:rPr>
        <w:t>35</w:t>
      </w:r>
      <w:r>
        <w:rPr>
          <w:rFonts w:hint="eastAsia" w:ascii="Times New Roman" w:hAnsi="Times New Roman" w:eastAsia="宋体" w:cs="Times New Roman"/>
          <w:color w:val="auto"/>
        </w:rPr>
        <w:t>×3.6×</w:t>
      </w:r>
      <w:r>
        <w:rPr>
          <w:rFonts w:hint="eastAsia" w:ascii="Times New Roman" w:hAnsi="Times New Roman" w:eastAsia="宋体" w:cs="Times New Roman"/>
          <w:color w:val="auto"/>
          <w:lang w:val="en-US" w:eastAsia="zh-CN"/>
        </w:rPr>
        <w:t>1</w:t>
      </w: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126</w:t>
      </w:r>
      <w:r>
        <w:rPr>
          <w:rFonts w:hint="eastAsia" w:ascii="Times New Roman" w:hAnsi="Times New Roman" w:eastAsia="宋体" w:cs="Times New Roman"/>
          <w:color w:val="auto"/>
        </w:rPr>
        <w:t>m</w:t>
      </w:r>
      <w:r>
        <w:rPr>
          <w:rFonts w:hint="eastAsia" w:ascii="Times New Roman" w:hAnsi="Times New Roman" w:eastAsia="宋体" w:cs="Times New Roman"/>
          <w:color w:val="auto"/>
          <w:vertAlign w:val="superscript"/>
        </w:rPr>
        <w:t>3</w:t>
      </w:r>
      <w:r>
        <w:rPr>
          <w:rFonts w:hint="eastAsia" w:ascii="Times New Roman" w:hAnsi="Times New Roman" w:eastAsia="宋体" w:cs="Times New Roman"/>
          <w:color w:val="auto"/>
        </w:rPr>
        <w:t>。</w:t>
      </w:r>
    </w:p>
    <w:p w14:paraId="3A43E11E">
      <w:pPr>
        <w:pStyle w:val="101"/>
        <w:spacing w:line="360" w:lineRule="auto"/>
        <w:rPr>
          <w:rFonts w:ascii="Times New Roman" w:hAnsi="Times New Roman" w:eastAsia="宋体" w:cs="Times New Roman"/>
          <w:color w:val="auto"/>
        </w:rPr>
      </w:pPr>
      <w:r>
        <w:rPr>
          <w:rFonts w:ascii="Times New Roman" w:hAnsi="Times New Roman" w:eastAsia="宋体" w:cs="Times New Roman"/>
          <w:color w:val="auto"/>
        </w:rPr>
        <w:t>所以，本环评一次事故收集的消防废水量为</w:t>
      </w:r>
      <w:r>
        <w:rPr>
          <w:rFonts w:hint="eastAsia" w:ascii="Times New Roman" w:hAnsi="Times New Roman" w:eastAsia="宋体" w:cs="Times New Roman"/>
          <w:color w:val="auto"/>
          <w:lang w:val="en-US" w:eastAsia="zh-CN"/>
        </w:rPr>
        <w:t>126</w:t>
      </w:r>
      <w:r>
        <w:rPr>
          <w:rFonts w:ascii="Times New Roman" w:hAnsi="Times New Roman" w:eastAsia="宋体" w:cs="Times New Roman"/>
          <w:color w:val="auto"/>
        </w:rPr>
        <w:t>m³。</w:t>
      </w:r>
    </w:p>
    <w:p w14:paraId="59201AE8">
      <w:pPr>
        <w:pStyle w:val="101"/>
        <w:spacing w:line="360" w:lineRule="auto"/>
        <w:rPr>
          <w:rFonts w:ascii="Times New Roman" w:hAnsi="Times New Roman" w:eastAsia="宋体" w:cs="Times New Roman"/>
          <w:color w:val="auto"/>
        </w:rPr>
      </w:pPr>
      <w:r>
        <w:rPr>
          <w:rFonts w:ascii="Times New Roman" w:hAnsi="Times New Roman" w:eastAsia="宋体" w:cs="Times New Roman"/>
          <w:color w:val="auto"/>
        </w:rPr>
        <w:t>V</w:t>
      </w:r>
      <w:r>
        <w:rPr>
          <w:rFonts w:hint="eastAsia" w:ascii="Times New Roman" w:hAnsi="Times New Roman" w:eastAsia="宋体" w:cs="Times New Roman"/>
          <w:color w:val="auto"/>
          <w:vertAlign w:val="subscript"/>
        </w:rPr>
        <w:t>雨</w:t>
      </w:r>
      <w:r>
        <w:rPr>
          <w:rFonts w:ascii="Times New Roman" w:hAnsi="Times New Roman" w:eastAsia="宋体" w:cs="Times New Roman"/>
          <w:color w:val="auto"/>
        </w:rPr>
        <w:t>——</w:t>
      </w:r>
      <w:r>
        <w:rPr>
          <w:rFonts w:hint="eastAsia" w:ascii="Times New Roman" w:hAnsi="Times New Roman" w:eastAsia="宋体" w:cs="Times New Roman"/>
          <w:color w:val="auto"/>
        </w:rPr>
        <w:t>事故期间混入事故废水收集系统的降雨量</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rPr>
        <w:t>取下雨全厂需收集的初期雨水量</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rPr>
        <w:t>m</w:t>
      </w:r>
      <w:r>
        <w:rPr>
          <w:rFonts w:hint="eastAsia" w:ascii="Times New Roman" w:hAnsi="Times New Roman" w:eastAsia="宋体" w:cs="Times New Roman"/>
          <w:color w:val="auto"/>
          <w:vertAlign w:val="superscript"/>
        </w:rPr>
        <w:t>3</w:t>
      </w:r>
      <w:r>
        <w:rPr>
          <w:rFonts w:hint="eastAsia" w:ascii="Times New Roman" w:hAnsi="Times New Roman" w:eastAsia="宋体" w:cs="Times New Roman"/>
          <w:color w:val="auto"/>
        </w:rPr>
        <w:t>。</w:t>
      </w:r>
    </w:p>
    <w:p w14:paraId="2025BDC0">
      <w:pPr>
        <w:pStyle w:val="7"/>
        <w:keepNext w:val="0"/>
        <w:keepLines w:val="0"/>
        <w:pageBreakBefore w:val="0"/>
        <w:widowControl w:val="0"/>
        <w:kinsoku/>
        <w:wordWrap/>
        <w:overflowPunct/>
        <w:topLinePunct/>
        <w:autoSpaceDE/>
        <w:autoSpaceDN/>
        <w:bidi w:val="0"/>
        <w:adjustRightInd w:val="0"/>
        <w:snapToGrid w:val="0"/>
        <w:spacing w:after="0" w:afterLines="0"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初期</w:t>
      </w:r>
      <w:r>
        <w:rPr>
          <w:rFonts w:hint="default" w:ascii="Times New Roman" w:hAnsi="Times New Roman" w:eastAsia="宋体" w:cs="Times New Roman"/>
          <w:color w:val="auto"/>
          <w:sz w:val="24"/>
          <w:szCs w:val="24"/>
          <w:highlight w:val="none"/>
        </w:rPr>
        <w:t>雨水产生量计算采用如下公式：</w:t>
      </w:r>
    </w:p>
    <w:p w14:paraId="03A92F94">
      <w:pPr>
        <w:pStyle w:val="7"/>
        <w:keepNext w:val="0"/>
        <w:keepLines w:val="0"/>
        <w:pageBreakBefore w:val="0"/>
        <w:widowControl w:val="0"/>
        <w:kinsoku/>
        <w:wordWrap/>
        <w:overflowPunct/>
        <w:topLinePunct/>
        <w:autoSpaceDE/>
        <w:autoSpaceDN/>
        <w:bidi w:val="0"/>
        <w:adjustRightInd w:val="0"/>
        <w:snapToGrid w:val="0"/>
        <w:spacing w:before="0" w:after="0" w:afterLines="0"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Q=10ΨFi</w:t>
      </w:r>
    </w:p>
    <w:p w14:paraId="2286A45D">
      <w:pPr>
        <w:pStyle w:val="7"/>
        <w:keepNext w:val="0"/>
        <w:keepLines w:val="0"/>
        <w:pageBreakBefore w:val="0"/>
        <w:widowControl w:val="0"/>
        <w:kinsoku/>
        <w:wordWrap/>
        <w:overflowPunct/>
        <w:topLinePunct/>
        <w:autoSpaceDE/>
        <w:autoSpaceDN/>
        <w:bidi w:val="0"/>
        <w:adjustRightInd w:val="0"/>
        <w:snapToGrid w:val="0"/>
        <w:spacing w:after="0" w:afterLines="0"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式中：Q——降雨径流总量，m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79F94595">
      <w:pPr>
        <w:pStyle w:val="7"/>
        <w:keepNext w:val="0"/>
        <w:keepLines w:val="0"/>
        <w:pageBreakBefore w:val="0"/>
        <w:widowControl w:val="0"/>
        <w:kinsoku/>
        <w:wordWrap/>
        <w:overflowPunct/>
        <w:topLinePunct/>
        <w:autoSpaceDE/>
        <w:autoSpaceDN/>
        <w:bidi w:val="0"/>
        <w:adjustRightInd w:val="0"/>
        <w:snapToGrid w:val="0"/>
        <w:spacing w:after="0" w:afterLines="0" w:line="360" w:lineRule="auto"/>
        <w:ind w:left="0"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F——汇水面积</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汇水面积</w:t>
      </w:r>
      <w:r>
        <w:rPr>
          <w:rFonts w:hint="default" w:ascii="Times New Roman" w:hAnsi="Times New Roman" w:eastAsia="宋体" w:cs="Times New Roman"/>
          <w:color w:val="auto"/>
          <w:sz w:val="24"/>
          <w:szCs w:val="24"/>
          <w:highlight w:val="none"/>
        </w:rPr>
        <w:t>为</w:t>
      </w:r>
      <w:r>
        <w:rPr>
          <w:rFonts w:hint="eastAsia"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29DC1529">
      <w:pPr>
        <w:pStyle w:val="7"/>
        <w:keepNext w:val="0"/>
        <w:keepLines w:val="0"/>
        <w:pageBreakBefore w:val="0"/>
        <w:widowControl w:val="0"/>
        <w:kinsoku/>
        <w:wordWrap/>
        <w:overflowPunct/>
        <w:topLinePunct/>
        <w:autoSpaceDE/>
        <w:autoSpaceDN/>
        <w:bidi w:val="0"/>
        <w:adjustRightInd w:val="0"/>
        <w:snapToGrid w:val="0"/>
        <w:spacing w:after="0" w:afterLines="0" w:line="360" w:lineRule="auto"/>
        <w:ind w:left="0"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Ψ——径流系数，</w:t>
      </w:r>
      <w:r>
        <w:rPr>
          <w:rFonts w:hint="default" w:ascii="Times New Roman" w:hAnsi="Times New Roman" w:eastAsia="宋体" w:cs="Times New Roman"/>
          <w:color w:val="auto"/>
          <w:sz w:val="24"/>
          <w:szCs w:val="24"/>
          <w:highlight w:val="none"/>
          <w:lang w:val="en-US" w:eastAsia="zh-CN"/>
        </w:rPr>
        <w:t>混凝土或沥青路面取0.85～0.95，本次取0.9；</w:t>
      </w:r>
    </w:p>
    <w:p w14:paraId="066BDB19">
      <w:pPr>
        <w:pStyle w:val="7"/>
        <w:keepNext w:val="0"/>
        <w:keepLines w:val="0"/>
        <w:pageBreakBefore w:val="0"/>
        <w:widowControl w:val="0"/>
        <w:kinsoku/>
        <w:wordWrap/>
        <w:overflowPunct/>
        <w:topLinePunct/>
        <w:autoSpaceDE/>
        <w:autoSpaceDN/>
        <w:bidi w:val="0"/>
        <w:adjustRightInd w:val="0"/>
        <w:snapToGrid w:val="0"/>
        <w:spacing w:after="0" w:afterLines="0" w:line="360" w:lineRule="auto"/>
        <w:ind w:left="0" w:firstLine="1200" w:firstLineChars="5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i——降雨强度，</w:t>
      </w:r>
      <w:r>
        <w:rPr>
          <w:rFonts w:hint="eastAsia" w:ascii="Times New Roman" w:hAnsi="Times New Roman" w:eastAsia="宋体" w:cs="Times New Roman"/>
          <w:color w:val="auto"/>
          <w:sz w:val="24"/>
          <w:szCs w:val="24"/>
          <w:highlight w:val="none"/>
          <w:lang w:val="en-US" w:eastAsia="zh-CN"/>
        </w:rPr>
        <w:t>9.45</w:t>
      </w:r>
      <w:r>
        <w:rPr>
          <w:rFonts w:hint="default" w:ascii="Times New Roman" w:hAnsi="Times New Roman" w:eastAsia="宋体" w:cs="Times New Roman"/>
          <w:color w:val="auto"/>
          <w:sz w:val="24"/>
          <w:szCs w:val="24"/>
          <w:highlight w:val="none"/>
        </w:rPr>
        <w:t>mm</w:t>
      </w:r>
      <w:r>
        <w:rPr>
          <w:rFonts w:hint="default" w:ascii="Times New Roman" w:hAnsi="Times New Roman" w:cs="Times New Roman"/>
          <w:color w:val="auto"/>
          <w:kern w:val="0"/>
          <w:sz w:val="24"/>
          <w:szCs w:val="24"/>
          <w:highlight w:val="none"/>
        </w:rPr>
        <w:t>。</w:t>
      </w:r>
    </w:p>
    <w:p w14:paraId="0DBD1C56">
      <w:pPr>
        <w:pStyle w:val="101"/>
        <w:spacing w:line="360" w:lineRule="auto"/>
        <w:rPr>
          <w:rFonts w:hint="eastAsia" w:ascii="Times New Roman" w:hAnsi="Times New Roman" w:eastAsia="宋体" w:cs="Times New Roman"/>
          <w:color w:val="auto"/>
        </w:rPr>
      </w:pPr>
      <w:r>
        <w:rPr>
          <w:rFonts w:hint="default" w:ascii="Times New Roman" w:hAnsi="Times New Roman" w:eastAsia="宋体" w:cs="Times New Roman"/>
          <w:color w:val="auto"/>
          <w:sz w:val="24"/>
          <w:szCs w:val="24"/>
          <w:highlight w:val="none"/>
        </w:rPr>
        <w:t>经计算，初期雨水量约为</w:t>
      </w:r>
      <w:r>
        <w:rPr>
          <w:rFonts w:hint="eastAsia" w:ascii="Times New Roman" w:hAnsi="Times New Roman" w:eastAsia="宋体" w:cs="Times New Roman"/>
          <w:color w:val="auto"/>
          <w:sz w:val="24"/>
          <w:szCs w:val="24"/>
          <w:highlight w:val="none"/>
          <w:lang w:val="en-US" w:eastAsia="zh-CN"/>
        </w:rPr>
        <w:t>42.53</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3FB51C69">
      <w:pPr>
        <w:pStyle w:val="101"/>
        <w:spacing w:line="360" w:lineRule="auto"/>
        <w:rPr>
          <w:rFonts w:ascii="Times New Roman" w:hAnsi="Times New Roman" w:eastAsia="宋体" w:cs="Times New Roman"/>
          <w:color w:val="auto"/>
        </w:rPr>
      </w:pPr>
      <w:r>
        <w:rPr>
          <w:rFonts w:hint="eastAsia" w:ascii="Times New Roman" w:hAnsi="Times New Roman" w:eastAsia="宋体" w:cs="Times New Roman"/>
          <w:color w:val="auto"/>
        </w:rPr>
        <w:t>V</w:t>
      </w:r>
      <w:r>
        <w:rPr>
          <w:rFonts w:hint="eastAsia" w:ascii="Times New Roman" w:hAnsi="Times New Roman" w:eastAsia="宋体" w:cs="Times New Roman"/>
          <w:color w:val="auto"/>
          <w:vertAlign w:val="subscript"/>
        </w:rPr>
        <w:t>3</w:t>
      </w:r>
      <w:r>
        <w:rPr>
          <w:rFonts w:ascii="Times New Roman" w:hAnsi="Times New Roman" w:eastAsia="宋体" w:cs="Times New Roman"/>
          <w:color w:val="auto"/>
        </w:rPr>
        <w:t>——</w:t>
      </w:r>
      <w:r>
        <w:rPr>
          <w:rFonts w:hint="eastAsia" w:ascii="Times New Roman" w:hAnsi="Times New Roman" w:eastAsia="宋体" w:cs="Times New Roman"/>
          <w:color w:val="auto"/>
        </w:rPr>
        <w:t>为事故水收集系统的装置或罐区围堰、防火堤内净空容量（m</w:t>
      </w:r>
      <w:r>
        <w:rPr>
          <w:rFonts w:ascii="Times New Roman" w:hAnsi="Times New Roman" w:eastAsia="宋体" w:cs="Times New Roman"/>
          <w:color w:val="auto"/>
          <w:vertAlign w:val="superscript"/>
        </w:rPr>
        <w:t>3</w:t>
      </w:r>
      <w:r>
        <w:rPr>
          <w:rFonts w:hint="eastAsia" w:ascii="Times New Roman" w:hAnsi="Times New Roman" w:eastAsia="宋体" w:cs="Times New Roman"/>
          <w:color w:val="auto"/>
        </w:rPr>
        <w:t>），与事故水导排管道容量（m</w:t>
      </w:r>
      <w:r>
        <w:rPr>
          <w:rFonts w:ascii="Times New Roman" w:hAnsi="Times New Roman" w:eastAsia="宋体" w:cs="Times New Roman"/>
          <w:color w:val="auto"/>
          <w:vertAlign w:val="superscript"/>
        </w:rPr>
        <w:t>3</w:t>
      </w:r>
      <w:r>
        <w:rPr>
          <w:rFonts w:hint="eastAsia" w:ascii="Times New Roman" w:hAnsi="Times New Roman" w:eastAsia="宋体" w:cs="Times New Roman"/>
          <w:color w:val="auto"/>
        </w:rPr>
        <w:t>）之和。本项目按照最不利原则，</w:t>
      </w:r>
      <w:r>
        <w:rPr>
          <w:rFonts w:ascii="Times New Roman" w:hAnsi="Times New Roman" w:eastAsia="宋体" w:cs="Times New Roman"/>
          <w:color w:val="auto"/>
        </w:rPr>
        <w:t>本项目</w:t>
      </w:r>
      <w:r>
        <w:rPr>
          <w:rFonts w:hint="eastAsia" w:ascii="Times New Roman" w:hAnsi="Times New Roman" w:eastAsia="宋体" w:cs="Times New Roman"/>
          <w:color w:val="auto"/>
        </w:rPr>
        <w:t>保守取0m</w:t>
      </w:r>
      <w:r>
        <w:rPr>
          <w:rFonts w:ascii="Times New Roman" w:hAnsi="Times New Roman" w:eastAsia="宋体" w:cs="Times New Roman"/>
          <w:color w:val="auto"/>
          <w:vertAlign w:val="superscript"/>
        </w:rPr>
        <w:t>3</w:t>
      </w:r>
      <w:r>
        <w:rPr>
          <w:rFonts w:hint="eastAsia" w:ascii="Times New Roman" w:hAnsi="Times New Roman" w:eastAsia="宋体" w:cs="Times New Roman"/>
          <w:color w:val="auto"/>
        </w:rPr>
        <w:t>。</w:t>
      </w:r>
    </w:p>
    <w:p w14:paraId="220FB1BA">
      <w:pPr>
        <w:pStyle w:val="101"/>
        <w:spacing w:line="360" w:lineRule="auto"/>
        <w:rPr>
          <w:rFonts w:ascii="Times New Roman" w:hAnsi="Times New Roman" w:eastAsia="宋体" w:cs="Times New Roman"/>
          <w:color w:val="auto"/>
        </w:rPr>
      </w:pPr>
      <w:r>
        <w:rPr>
          <w:rFonts w:ascii="Times New Roman" w:hAnsi="Times New Roman" w:eastAsia="宋体" w:cs="Times New Roman"/>
          <w:color w:val="auto"/>
        </w:rPr>
        <w:t>根据上述计算结果，应急事故废水最大量为</w:t>
      </w:r>
      <w:r>
        <w:rPr>
          <w:rFonts w:hint="eastAsia" w:ascii="Times New Roman" w:hAnsi="Times New Roman" w:eastAsia="宋体" w:cs="Times New Roman"/>
          <w:color w:val="auto"/>
          <w:lang w:val="en-US" w:eastAsia="zh-CN"/>
        </w:rPr>
        <w:t>168.53</w:t>
      </w:r>
      <w:r>
        <w:rPr>
          <w:rFonts w:hint="eastAsia"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w:t>
      </w:r>
    </w:p>
    <w:p w14:paraId="5BCAF6C2">
      <w:pPr>
        <w:pStyle w:val="106"/>
        <w:spacing w:line="360" w:lineRule="auto"/>
        <w:ind w:left="9" w:right="-52"/>
        <w:jc w:val="both"/>
        <w:textAlignment w:val="baseline"/>
        <w:outlineLvl w:val="2"/>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6.3.</w:t>
      </w:r>
      <w:r>
        <w:rPr>
          <w:rFonts w:hint="eastAsia" w:ascii="Times New Roman" w:hAnsi="Times New Roman" w:cs="Times New Roman"/>
          <w:b/>
          <w:bCs/>
          <w:color w:val="auto"/>
          <w:sz w:val="28"/>
          <w:szCs w:val="28"/>
          <w:lang w:val="en-US" w:eastAsia="zh-CN"/>
        </w:rPr>
        <w:t>3</w:t>
      </w:r>
      <w:r>
        <w:rPr>
          <w:rFonts w:hint="default" w:ascii="Times New Roman" w:hAnsi="Times New Roman" w:eastAsia="宋体" w:cs="Times New Roman"/>
          <w:b/>
          <w:bCs/>
          <w:color w:val="auto"/>
          <w:sz w:val="28"/>
          <w:szCs w:val="28"/>
          <w:lang w:val="en-US" w:eastAsia="zh-CN"/>
        </w:rPr>
        <w:t xml:space="preserve"> 环境风险评价</w:t>
      </w:r>
      <w:bookmarkEnd w:id="82"/>
    </w:p>
    <w:p w14:paraId="6F1EEAA3">
      <w:pPr>
        <w:adjustRightInd w:val="0"/>
        <w:snapToGrid w:val="0"/>
        <w:spacing w:line="360" w:lineRule="auto"/>
        <w:ind w:firstLine="480"/>
        <w:rPr>
          <w:rFonts w:hint="eastAsia" w:ascii="Times New Roman" w:hAnsi="Times New Roman" w:eastAsia="宋体" w:cs="Times New Roman"/>
          <w:color w:val="auto"/>
          <w:kern w:val="0"/>
          <w:sz w:val="24"/>
          <w:highlight w:val="none"/>
          <w:lang w:eastAsia="zh-CN"/>
        </w:rPr>
      </w:pPr>
      <w:r>
        <w:rPr>
          <w:rFonts w:hint="eastAsia" w:cs="Times New Roman"/>
          <w:color w:val="auto"/>
          <w:kern w:val="0"/>
          <w:sz w:val="24"/>
          <w:highlight w:val="none"/>
          <w:lang w:eastAsia="zh-CN"/>
        </w:rPr>
        <w:t>（</w:t>
      </w:r>
      <w:r>
        <w:rPr>
          <w:rFonts w:hint="eastAsia" w:cs="Times New Roman"/>
          <w:color w:val="auto"/>
          <w:kern w:val="0"/>
          <w:sz w:val="24"/>
          <w:highlight w:val="none"/>
          <w:lang w:val="en-US" w:eastAsia="zh-CN"/>
        </w:rPr>
        <w:t>1</w:t>
      </w:r>
      <w:r>
        <w:rPr>
          <w:rFonts w:hint="eastAsia" w:cs="Times New Roman"/>
          <w:color w:val="auto"/>
          <w:kern w:val="0"/>
          <w:sz w:val="24"/>
          <w:highlight w:val="none"/>
          <w:lang w:eastAsia="zh-CN"/>
        </w:rPr>
        <w:t>）</w:t>
      </w:r>
      <w:r>
        <w:rPr>
          <w:rFonts w:hint="eastAsia" w:cs="Times New Roman"/>
          <w:color w:val="auto"/>
          <w:kern w:val="0"/>
          <w:sz w:val="24"/>
          <w:highlight w:val="none"/>
          <w:lang w:val="en-US" w:eastAsia="zh-CN"/>
        </w:rPr>
        <w:t>大气</w:t>
      </w:r>
      <w:r>
        <w:rPr>
          <w:rFonts w:hint="default" w:ascii="Times New Roman" w:hAnsi="Times New Roman" w:eastAsia="宋体" w:cs="Times New Roman"/>
          <w:color w:val="auto"/>
          <w:kern w:val="0"/>
          <w:sz w:val="24"/>
          <w:highlight w:val="none"/>
        </w:rPr>
        <w:t>环境风险</w:t>
      </w:r>
    </w:p>
    <w:p w14:paraId="578EA58E">
      <w:pPr>
        <w:adjustRightInd w:val="0"/>
        <w:snapToGrid w:val="0"/>
        <w:spacing w:line="360" w:lineRule="auto"/>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rPr>
        <w:t>项目可能发生的主要风险事故为</w:t>
      </w:r>
      <w:r>
        <w:rPr>
          <w:rFonts w:hint="eastAsia" w:cs="Times New Roman"/>
          <w:color w:val="auto"/>
          <w:sz w:val="24"/>
          <w:szCs w:val="24"/>
          <w:highlight w:val="none"/>
          <w:lang w:val="en-US" w:eastAsia="zh-CN"/>
        </w:rPr>
        <w:t>盐酸</w:t>
      </w:r>
      <w:r>
        <w:rPr>
          <w:rFonts w:hint="default" w:ascii="Times New Roman" w:hAnsi="Times New Roman" w:eastAsia="宋体" w:cs="Times New Roman"/>
          <w:color w:val="auto"/>
          <w:kern w:val="0"/>
          <w:sz w:val="24"/>
          <w:highlight w:val="none"/>
        </w:rPr>
        <w:t>泄漏事故。</w:t>
      </w:r>
      <w:r>
        <w:rPr>
          <w:rFonts w:hint="eastAsia" w:cs="Times New Roman"/>
          <w:color w:val="auto"/>
          <w:sz w:val="24"/>
          <w:szCs w:val="24"/>
          <w:highlight w:val="none"/>
          <w:lang w:val="en-US" w:eastAsia="zh-CN"/>
        </w:rPr>
        <w:t>盐酸</w:t>
      </w:r>
      <w:r>
        <w:rPr>
          <w:rFonts w:hint="default" w:ascii="Times New Roman" w:hAnsi="Times New Roman" w:eastAsia="宋体" w:cs="Times New Roman"/>
          <w:color w:val="auto"/>
          <w:kern w:val="0"/>
          <w:sz w:val="24"/>
          <w:highlight w:val="none"/>
        </w:rPr>
        <w:t>泄漏</w:t>
      </w:r>
      <w:r>
        <w:rPr>
          <w:rFonts w:hint="eastAsia" w:cs="Times New Roman"/>
          <w:color w:val="auto"/>
          <w:kern w:val="0"/>
          <w:sz w:val="24"/>
          <w:highlight w:val="none"/>
          <w:lang w:eastAsia="zh-CN"/>
        </w:rPr>
        <w:t>，</w:t>
      </w:r>
      <w:r>
        <w:rPr>
          <w:rFonts w:hint="eastAsia" w:cs="Times New Roman"/>
          <w:color w:val="auto"/>
          <w:kern w:val="0"/>
          <w:sz w:val="24"/>
          <w:highlight w:val="none"/>
          <w:lang w:val="en-US" w:eastAsia="zh-CN"/>
        </w:rPr>
        <w:t>无有毒有害物质挥发，</w:t>
      </w:r>
      <w:r>
        <w:rPr>
          <w:rFonts w:hint="default" w:ascii="Times New Roman" w:hAnsi="Times New Roman" w:eastAsia="宋体" w:cs="Times New Roman"/>
          <w:b w:val="0"/>
          <w:bCs w:val="0"/>
          <w:color w:val="auto"/>
          <w:kern w:val="0"/>
          <w:sz w:val="24"/>
          <w:szCs w:val="24"/>
          <w:highlight w:val="none"/>
          <w:lang w:val="en-US" w:eastAsia="zh-CN" w:bidi="ar"/>
        </w:rPr>
        <w:t>对周边人群及企业影响不大。</w:t>
      </w:r>
    </w:p>
    <w:p w14:paraId="48FA813E">
      <w:pPr>
        <w:adjustRightInd w:val="0"/>
        <w:snapToGrid w:val="0"/>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（2）地表水</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地下水环境风险</w:t>
      </w:r>
    </w:p>
    <w:p w14:paraId="3E759D45">
      <w:pPr>
        <w:adjustRightInd w:val="0"/>
        <w:snapToGrid w:val="0"/>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企业拟建立三级防控系统，</w:t>
      </w:r>
      <w:r>
        <w:rPr>
          <w:rFonts w:hint="default" w:ascii="Times New Roman" w:hAnsi="Times New Roman" w:eastAsia="宋体" w:cs="Times New Roman"/>
          <w:color w:val="auto"/>
          <w:kern w:val="0"/>
          <w:sz w:val="24"/>
          <w:highlight w:val="none"/>
          <w:lang w:val="en-US" w:eastAsia="zh-CN"/>
        </w:rPr>
        <w:t>设置</w:t>
      </w:r>
      <w:r>
        <w:rPr>
          <w:rFonts w:hint="default" w:ascii="Times New Roman" w:hAnsi="Times New Roman" w:eastAsia="宋体" w:cs="Times New Roman"/>
          <w:color w:val="auto"/>
          <w:kern w:val="0"/>
          <w:sz w:val="24"/>
          <w:highlight w:val="none"/>
        </w:rPr>
        <w:t>一座容积为</w:t>
      </w:r>
      <w:r>
        <w:rPr>
          <w:rFonts w:hint="eastAsia" w:cs="Times New Roman"/>
          <w:color w:val="auto"/>
          <w:kern w:val="0"/>
          <w:sz w:val="24"/>
          <w:highlight w:val="none"/>
          <w:lang w:val="en-US" w:eastAsia="zh-CN"/>
        </w:rPr>
        <w:t>200</w:t>
      </w:r>
      <w:r>
        <w:rPr>
          <w:rFonts w:hint="default" w:ascii="Times New Roman" w:hAnsi="Times New Roman" w:eastAsia="宋体" w:cs="Times New Roman"/>
          <w:color w:val="auto"/>
          <w:kern w:val="0"/>
          <w:sz w:val="24"/>
          <w:highlight w:val="none"/>
        </w:rPr>
        <w:t>m</w:t>
      </w:r>
      <w:r>
        <w:rPr>
          <w:rFonts w:hint="eastAsia" w:cs="Times New Roman"/>
          <w:color w:val="auto"/>
          <w:kern w:val="0"/>
          <w:sz w:val="24"/>
          <w:highlight w:val="none"/>
          <w:vertAlign w:val="superscript"/>
          <w:lang w:val="en-US" w:eastAsia="zh-CN"/>
        </w:rPr>
        <w:t>3</w:t>
      </w:r>
      <w:r>
        <w:rPr>
          <w:rFonts w:hint="default" w:ascii="Times New Roman" w:hAnsi="Times New Roman" w:eastAsia="宋体" w:cs="Times New Roman"/>
          <w:color w:val="auto"/>
          <w:kern w:val="0"/>
          <w:sz w:val="24"/>
          <w:highlight w:val="none"/>
        </w:rPr>
        <w:t>的事故应急池，能够满足项目事故废水的暂存要求，防止事故状态下物料外排</w:t>
      </w:r>
      <w:r>
        <w:rPr>
          <w:rFonts w:hint="eastAsia"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对地表水体产生影响的可能性极小。</w:t>
      </w:r>
    </w:p>
    <w:p w14:paraId="1EDB33A7">
      <w:pPr>
        <w:adjustRightInd w:val="0"/>
        <w:snapToGrid w:val="0"/>
        <w:spacing w:line="360" w:lineRule="auto"/>
        <w:ind w:firstLine="480"/>
        <w:rPr>
          <w:rFonts w:hint="default" w:ascii="Times New Roman" w:hAnsi="Times New Roman" w:eastAsia="宋体" w:cs="Times New Roman"/>
          <w:b/>
          <w:bCs/>
          <w:color w:val="auto"/>
          <w:kern w:val="0"/>
          <w:sz w:val="32"/>
          <w:szCs w:val="32"/>
          <w:highlight w:val="none"/>
          <w:lang w:val="en-US" w:eastAsia="zh-CN"/>
        </w:rPr>
      </w:pPr>
      <w:r>
        <w:rPr>
          <w:rFonts w:hint="default" w:ascii="Times New Roman" w:hAnsi="Times New Roman" w:eastAsia="宋体" w:cs="Times New Roman"/>
          <w:color w:val="auto"/>
          <w:kern w:val="0"/>
          <w:sz w:val="24"/>
          <w:highlight w:val="none"/>
        </w:rPr>
        <w:t>对</w:t>
      </w:r>
      <w:r>
        <w:rPr>
          <w:rFonts w:hint="eastAsia" w:cs="Times New Roman"/>
          <w:color w:val="auto"/>
          <w:kern w:val="0"/>
          <w:sz w:val="24"/>
          <w:highlight w:val="none"/>
          <w:lang w:val="en-US" w:eastAsia="zh-CN"/>
        </w:rPr>
        <w:t>盐酸仓库、事故水池及</w:t>
      </w:r>
      <w:r>
        <w:rPr>
          <w:rFonts w:hint="default" w:ascii="Times New Roman" w:hAnsi="Times New Roman" w:eastAsia="宋体" w:cs="Times New Roman"/>
          <w:color w:val="auto"/>
          <w:kern w:val="0"/>
          <w:sz w:val="24"/>
          <w:highlight w:val="none"/>
        </w:rPr>
        <w:t>周边做好防腐防渗，对地下水环境造成的影响较小。须加强防渗措施和管理，杜绝非正常和事故工况的发生，减少项目运行对地下水的不利影响。</w:t>
      </w:r>
      <w:bookmarkEnd w:id="83"/>
      <w:bookmarkStart w:id="84" w:name="_Toc33691327"/>
      <w:bookmarkStart w:id="85" w:name="_Toc242"/>
    </w:p>
    <w:p w14:paraId="07127702">
      <w:pPr>
        <w:keepNext/>
        <w:keepLines/>
        <w:pageBreakBefore w:val="0"/>
        <w:widowControl/>
        <w:kinsoku/>
        <w:wordWrap/>
        <w:overflowPunct/>
        <w:topLinePunct w:val="0"/>
        <w:autoSpaceDE/>
        <w:autoSpaceDN/>
        <w:bidi w:val="0"/>
        <w:adjustRightInd w:val="0"/>
        <w:snapToGrid w:val="0"/>
        <w:spacing w:line="360" w:lineRule="auto"/>
        <w:jc w:val="left"/>
        <w:textAlignment w:val="auto"/>
        <w:outlineLvl w:val="1"/>
        <w:rPr>
          <w:rFonts w:hint="default" w:ascii="Times New Roman" w:hAnsi="Times New Roman" w:eastAsia="宋体" w:cs="Times New Roman"/>
          <w:b/>
          <w:bCs/>
          <w:color w:val="auto"/>
          <w:kern w:val="0"/>
          <w:sz w:val="32"/>
          <w:szCs w:val="32"/>
          <w:highlight w:val="none"/>
        </w:rPr>
      </w:pPr>
      <w:r>
        <w:rPr>
          <w:rFonts w:hint="default" w:ascii="Times New Roman" w:hAnsi="Times New Roman" w:eastAsia="宋体" w:cs="Times New Roman"/>
          <w:b/>
          <w:bCs/>
          <w:color w:val="auto"/>
          <w:kern w:val="0"/>
          <w:sz w:val="32"/>
          <w:szCs w:val="32"/>
          <w:highlight w:val="none"/>
          <w:lang w:val="en-US" w:eastAsia="zh-CN"/>
        </w:rPr>
        <w:t>7</w:t>
      </w:r>
      <w:r>
        <w:rPr>
          <w:rFonts w:hint="default" w:ascii="Times New Roman" w:hAnsi="Times New Roman" w:eastAsia="宋体" w:cs="Times New Roman"/>
          <w:b/>
          <w:bCs/>
          <w:color w:val="auto"/>
          <w:kern w:val="0"/>
          <w:sz w:val="32"/>
          <w:szCs w:val="32"/>
          <w:highlight w:val="none"/>
        </w:rPr>
        <w:t>环境风险管理</w:t>
      </w:r>
      <w:bookmarkEnd w:id="84"/>
      <w:bookmarkEnd w:id="85"/>
    </w:p>
    <w:p w14:paraId="6419A799">
      <w:pPr>
        <w:pStyle w:val="107"/>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eastAsia="zh-CN"/>
        </w:rPr>
      </w:pPr>
      <w:bookmarkStart w:id="86" w:name="_Toc25036"/>
      <w:r>
        <w:rPr>
          <w:rFonts w:hint="default" w:ascii="Times New Roman" w:hAnsi="Times New Roman" w:eastAsia="宋体" w:cs="Times New Roman"/>
          <w:b/>
          <w:bCs w:val="0"/>
          <w:color w:val="auto"/>
          <w:sz w:val="30"/>
          <w:szCs w:val="30"/>
          <w:shd w:val="clear" w:color="auto" w:fill="auto"/>
          <w:lang w:val="en-US" w:eastAsia="zh-CN"/>
        </w:rPr>
        <w:t>7.</w:t>
      </w:r>
      <w:r>
        <w:rPr>
          <w:rFonts w:hint="default" w:ascii="Times New Roman" w:hAnsi="Times New Roman" w:eastAsia="宋体" w:cs="Times New Roman"/>
          <w:b/>
          <w:bCs w:val="0"/>
          <w:color w:val="auto"/>
          <w:sz w:val="30"/>
          <w:szCs w:val="30"/>
          <w:shd w:val="clear" w:color="auto" w:fill="auto"/>
          <w:lang w:eastAsia="zh-CN"/>
        </w:rPr>
        <w:t>1大气环境风险防范措施</w:t>
      </w:r>
      <w:bookmarkEnd w:id="86"/>
    </w:p>
    <w:p w14:paraId="08DC8DE8">
      <w:pPr>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32"/>
          <w:shd w:val="clear" w:color="auto" w:fill="auto"/>
        </w:rPr>
      </w:pPr>
      <w:r>
        <w:rPr>
          <w:rFonts w:hint="default" w:ascii="Times New Roman" w:hAnsi="Times New Roman" w:eastAsia="宋体" w:cs="Times New Roman"/>
          <w:color w:val="auto"/>
          <w:kern w:val="0"/>
          <w:sz w:val="24"/>
          <w:szCs w:val="32"/>
          <w:shd w:val="clear" w:color="auto" w:fill="auto"/>
        </w:rPr>
        <w:t>1、建立大气环境风险防范体系</w:t>
      </w:r>
    </w:p>
    <w:p w14:paraId="14780A8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outlineLvl w:val="9"/>
        <w:rPr>
          <w:rFonts w:hint="default" w:ascii="Times New Roman" w:hAnsi="Times New Roman" w:eastAsia="宋体" w:cs="Times New Roman"/>
          <w:color w:val="FF0000"/>
        </w:rPr>
      </w:pPr>
      <w:r>
        <w:rPr>
          <w:rFonts w:hint="default" w:ascii="Times New Roman" w:hAnsi="Times New Roman" w:eastAsia="宋体" w:cs="Times New Roman"/>
          <w:color w:val="FF0000"/>
        </w:rPr>
        <w:object>
          <v:shape id="_x0000_i1030" o:spt="75" type="#_x0000_t75" style="height:232.6pt;width:408.45pt;" o:ole="t" filled="f" o:preferrelative="t" stroked="f" coordsize="21600,21600">
            <v:path/>
            <v:fill on="f" focussize="0,0"/>
            <v:stroke on="f"/>
            <v:imagedata r:id="rId56" o:title=""/>
            <o:lock v:ext="edit" aspectratio="t"/>
            <w10:wrap type="none"/>
            <w10:anchorlock/>
          </v:shape>
          <o:OLEObject Type="Embed" ProgID="Visio.Drawing.15" ShapeID="_x0000_i1030" DrawAspect="Content" ObjectID="_1468075730" r:id="rId55">
            <o:LockedField>false</o:LockedField>
          </o:OLEObject>
        </w:object>
      </w:r>
    </w:p>
    <w:p w14:paraId="5A29A10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outlineLvl w:val="9"/>
        <w:rPr>
          <w:rFonts w:hint="default" w:ascii="Times New Roman" w:hAnsi="Times New Roman" w:eastAsia="宋体" w:cs="Times New Roman"/>
          <w:b w:val="0"/>
          <w:bCs w:val="0"/>
          <w:color w:val="auto"/>
          <w:kern w:val="0"/>
          <w:sz w:val="24"/>
          <w:szCs w:val="32"/>
        </w:rPr>
      </w:pPr>
      <w:r>
        <w:rPr>
          <w:rFonts w:hint="default" w:ascii="Times New Roman" w:hAnsi="Times New Roman" w:eastAsia="宋体" w:cs="Times New Roman"/>
          <w:b/>
          <w:bCs/>
          <w:color w:val="auto"/>
          <w:kern w:val="0"/>
          <w:sz w:val="24"/>
          <w:szCs w:val="32"/>
        </w:rPr>
        <w:t>图</w:t>
      </w:r>
      <w:r>
        <w:rPr>
          <w:rFonts w:hint="default" w:ascii="Times New Roman" w:hAnsi="Times New Roman" w:eastAsia="宋体" w:cs="Times New Roman"/>
          <w:b/>
          <w:bCs/>
          <w:color w:val="auto"/>
          <w:kern w:val="0"/>
          <w:sz w:val="24"/>
          <w:szCs w:val="32"/>
          <w:lang w:val="en-US" w:eastAsia="zh-CN"/>
        </w:rPr>
        <w:t>7.1-1</w:t>
      </w:r>
      <w:r>
        <w:rPr>
          <w:rFonts w:hint="default" w:ascii="Times New Roman" w:hAnsi="Times New Roman" w:eastAsia="宋体" w:cs="Times New Roman"/>
          <w:b/>
          <w:bCs/>
          <w:color w:val="auto"/>
          <w:kern w:val="0"/>
          <w:sz w:val="24"/>
          <w:szCs w:val="32"/>
        </w:rPr>
        <w:t>大气环境风险防范措施体系框架图</w:t>
      </w:r>
    </w:p>
    <w:p w14:paraId="0EDF9BC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2</w:t>
      </w:r>
      <w:r>
        <w:rPr>
          <w:rFonts w:hint="default" w:ascii="Times New Roman" w:hAnsi="Times New Roman" w:eastAsia="宋体" w:cs="Times New Roman"/>
          <w:color w:val="auto"/>
          <w:kern w:val="0"/>
          <w:sz w:val="24"/>
          <w:szCs w:val="24"/>
          <w:highlight w:val="none"/>
        </w:rPr>
        <w:t>建立大气环境风险三级防控体系</w:t>
      </w:r>
    </w:p>
    <w:p w14:paraId="4302CE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1</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一</w:t>
      </w:r>
      <w:r>
        <w:rPr>
          <w:rFonts w:hint="default" w:ascii="Times New Roman" w:hAnsi="Times New Roman" w:eastAsia="宋体" w:cs="Times New Roman"/>
          <w:color w:val="auto"/>
          <w:kern w:val="0"/>
          <w:sz w:val="24"/>
          <w:szCs w:val="24"/>
          <w:highlight w:val="none"/>
        </w:rPr>
        <w:t>级防控措施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工艺设计与安全方面，如</w:t>
      </w:r>
      <w:r>
        <w:rPr>
          <w:rFonts w:hint="default" w:ascii="Times New Roman" w:hAnsi="Times New Roman" w:eastAsia="宋体" w:cs="Times New Roman"/>
          <w:color w:val="auto"/>
          <w:kern w:val="0"/>
          <w:sz w:val="24"/>
          <w:szCs w:val="24"/>
          <w:highlight w:val="none"/>
          <w:lang w:val="en-US" w:eastAsia="zh-CN"/>
        </w:rPr>
        <w:t>生产区</w:t>
      </w:r>
      <w:r>
        <w:rPr>
          <w:rFonts w:hint="default" w:ascii="Times New Roman" w:hAnsi="Times New Roman" w:eastAsia="宋体" w:cs="Times New Roman"/>
          <w:color w:val="auto"/>
          <w:kern w:val="0"/>
          <w:sz w:val="24"/>
          <w:szCs w:val="24"/>
          <w:highlight w:val="none"/>
        </w:rPr>
        <w:t>、管线等密封防泄漏措施。以有效减少或避免使用风险物质。</w:t>
      </w:r>
    </w:p>
    <w:p w14:paraId="422E86C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2</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二级防控措施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报警、监控与切断系统，如有毒、有害气体自动监测报警系统，自动控制，联锁装置及自动切断系统等。以有效减少泄漏量、缩短泄漏时间的措施。</w:t>
      </w:r>
    </w:p>
    <w:p w14:paraId="3F152E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3</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三级防控措施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事故后应急处置措施，如喷淋消防系统、事故引风喷淋系统、泡沫覆盖等措施，并有效转移到废水、固废、备用储存设施中等。以有效降低事故状态下大气释放源强、缩短时间、</w:t>
      </w:r>
      <w:r>
        <w:rPr>
          <w:rFonts w:hint="default" w:ascii="Times New Roman" w:hAnsi="Times New Roman" w:eastAsia="宋体" w:cs="Times New Roman"/>
          <w:color w:val="auto"/>
          <w:kern w:val="0"/>
          <w:sz w:val="24"/>
          <w:szCs w:val="24"/>
          <w:highlight w:val="none"/>
          <w:lang w:eastAsia="zh-CN"/>
        </w:rPr>
        <w:t>减少</w:t>
      </w:r>
      <w:r>
        <w:rPr>
          <w:rFonts w:hint="default" w:ascii="Times New Roman" w:hAnsi="Times New Roman" w:eastAsia="宋体" w:cs="Times New Roman"/>
          <w:color w:val="auto"/>
          <w:kern w:val="0"/>
          <w:sz w:val="24"/>
          <w:szCs w:val="24"/>
          <w:highlight w:val="none"/>
        </w:rPr>
        <w:t>排放量。</w:t>
      </w:r>
    </w:p>
    <w:p w14:paraId="18FB32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3、本项目大气风险防范措施</w:t>
      </w:r>
    </w:p>
    <w:p w14:paraId="1A866EBC">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（1）管理方面的环境风险防范措施</w:t>
      </w:r>
    </w:p>
    <w:p w14:paraId="63D3FAEA">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①制定严格的消防安全管理制度，安全生产责任制及安全奖惩制度，并组织专门人员进行监督、落实。</w:t>
      </w:r>
    </w:p>
    <w:p w14:paraId="70B7C123">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②建立主要负责人的安全生产管理委员会，设置环保安全人员，并层层签订安全生产责任状。设立义务消防队、救护组和治安组，并在当地消防部门指导下，制定消防方案，定期进行消防演习。</w:t>
      </w:r>
    </w:p>
    <w:p w14:paraId="70A176AD">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③认真组织学习安全基础知识和方法，做好职工安全教育和技术教育：认真执行各类操作规程文件，建立技术档案，进行定期性和经常性检查，把执行制度的好坏与当月和年终的安全考评结合起来。</w:t>
      </w:r>
    </w:p>
    <w:p w14:paraId="0ADA4F71">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④做好安全检查与整改，公司职能人员坚持日巡检查，每月组织一次大的安全检查，对检查中发现的问题现场及时解决，对一些特殊的整改项目需由有关部门解决的，则由公司安全职能部门用“整改通知”形式下发执行。</w:t>
      </w:r>
    </w:p>
    <w:p w14:paraId="342311D0">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⑤设置消防报警器，设立直通外线的电话；发生事故时，及时报警，迅速通知本单位和邻近单位做好警戒。</w:t>
      </w:r>
    </w:p>
    <w:p w14:paraId="4BCD0CE6">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⑥运营后严格执行安全评价要求，严格遵守国家安全生产监督部门和相关行业安全管理的有关规定。对本单位的生产、储存装置每两年进行一次安全评价。</w:t>
      </w:r>
    </w:p>
    <w:p w14:paraId="77AA5113">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（2）生产装置泄漏的风险防范措施</w:t>
      </w:r>
    </w:p>
    <w:p w14:paraId="22342422">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①厂内建筑物、生产装置及管线按国家标准要求设置防雷、防静电设施。凡需要经常操作、检查的设备或其他主体均设有操作平台、梯子及操作护栏，在大型平台和框架上设有扶手、护栏等。各类防护设施均按国家或行业标准的有关规定进行设计。装置或系统工程的转动设备的外围按要求设置防护罩。</w:t>
      </w:r>
    </w:p>
    <w:p w14:paraId="43B68997">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②选用质地优良、运行稳定可靠设备设施，同时对各种运行中的设备定期检查、维护，保证其正常运转，不发生设备故障及损坏。</w:t>
      </w:r>
    </w:p>
    <w:p w14:paraId="14A68470">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③避免与酸类、碱类接触。配备泄漏应急处理设备。</w:t>
      </w:r>
    </w:p>
    <w:p w14:paraId="1D9DFAB2">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（3）</w:t>
      </w:r>
      <w:r>
        <w:rPr>
          <w:rFonts w:hint="eastAsia" w:cs="Times New Roman"/>
          <w:b w:val="0"/>
          <w:bCs w:val="0"/>
          <w:color w:val="auto"/>
          <w:kern w:val="0"/>
          <w:sz w:val="24"/>
          <w:szCs w:val="24"/>
          <w:lang w:val="en-US" w:eastAsia="zh-CN" w:bidi="ar"/>
        </w:rPr>
        <w:t>盐酸</w:t>
      </w:r>
      <w:r>
        <w:rPr>
          <w:rFonts w:hint="default" w:ascii="Times New Roman" w:hAnsi="Times New Roman" w:eastAsia="宋体" w:cs="Times New Roman"/>
          <w:b w:val="0"/>
          <w:bCs w:val="0"/>
          <w:color w:val="auto"/>
          <w:kern w:val="0"/>
          <w:sz w:val="24"/>
          <w:szCs w:val="24"/>
          <w:lang w:val="en-US" w:eastAsia="zh-CN" w:bidi="ar"/>
        </w:rPr>
        <w:t>泄漏的风险防范措施</w:t>
      </w:r>
    </w:p>
    <w:p w14:paraId="4F162F8B">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①</w:t>
      </w:r>
      <w:r>
        <w:rPr>
          <w:rFonts w:hint="eastAsia" w:cs="Times New Roman"/>
          <w:b w:val="0"/>
          <w:bCs w:val="0"/>
          <w:color w:val="auto"/>
          <w:kern w:val="0"/>
          <w:sz w:val="24"/>
          <w:szCs w:val="24"/>
          <w:lang w:val="en-US" w:eastAsia="zh-CN" w:bidi="ar"/>
        </w:rPr>
        <w:t>盐酸仓库中吨桶</w:t>
      </w:r>
      <w:r>
        <w:rPr>
          <w:rFonts w:hint="eastAsia" w:ascii="Times New Roman" w:hAnsi="Times New Roman" w:eastAsia="宋体" w:cs="Times New Roman"/>
          <w:b w:val="0"/>
          <w:bCs w:val="0"/>
          <w:color w:val="auto"/>
          <w:kern w:val="0"/>
          <w:sz w:val="24"/>
          <w:szCs w:val="24"/>
          <w:lang w:val="en-US" w:eastAsia="zh-CN" w:bidi="ar"/>
        </w:rPr>
        <w:t>定期检查</w:t>
      </w:r>
      <w:r>
        <w:rPr>
          <w:rFonts w:hint="default" w:ascii="Times New Roman" w:hAnsi="Times New Roman" w:eastAsia="宋体" w:cs="Times New Roman"/>
          <w:b w:val="0"/>
          <w:bCs w:val="0"/>
          <w:color w:val="auto"/>
          <w:kern w:val="0"/>
          <w:sz w:val="24"/>
          <w:szCs w:val="24"/>
          <w:lang w:val="en-US" w:eastAsia="zh-CN" w:bidi="ar"/>
        </w:rPr>
        <w:t>完整性，如有发现破损须立即处理避免物料泄漏。</w:t>
      </w:r>
    </w:p>
    <w:p w14:paraId="2C62F7A4">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②</w:t>
      </w:r>
      <w:r>
        <w:rPr>
          <w:rFonts w:hint="eastAsia" w:cs="Times New Roman"/>
          <w:b w:val="0"/>
          <w:bCs w:val="0"/>
          <w:color w:val="auto"/>
          <w:kern w:val="0"/>
          <w:sz w:val="24"/>
          <w:szCs w:val="24"/>
          <w:lang w:val="en-US" w:eastAsia="zh-CN" w:bidi="ar"/>
        </w:rPr>
        <w:t>盐酸储存区域</w:t>
      </w:r>
      <w:r>
        <w:rPr>
          <w:rFonts w:hint="eastAsia" w:ascii="Times New Roman" w:hAnsi="Times New Roman" w:eastAsia="宋体" w:cs="Times New Roman"/>
          <w:b w:val="0"/>
          <w:bCs w:val="0"/>
          <w:color w:val="auto"/>
          <w:kern w:val="0"/>
          <w:sz w:val="24"/>
          <w:szCs w:val="24"/>
          <w:lang w:val="en-US" w:eastAsia="zh-CN" w:bidi="ar"/>
        </w:rPr>
        <w:t>设置</w:t>
      </w:r>
      <w:r>
        <w:rPr>
          <w:rFonts w:hint="eastAsia" w:cs="Times New Roman"/>
          <w:b w:val="0"/>
          <w:bCs w:val="0"/>
          <w:color w:val="auto"/>
          <w:kern w:val="0"/>
          <w:sz w:val="24"/>
          <w:szCs w:val="24"/>
          <w:lang w:val="en-US" w:eastAsia="zh-CN" w:bidi="ar"/>
        </w:rPr>
        <w:t>0.2</w:t>
      </w:r>
      <w:r>
        <w:rPr>
          <w:rFonts w:hint="eastAsia" w:ascii="Times New Roman" w:hAnsi="Times New Roman" w:eastAsia="宋体" w:cs="Times New Roman"/>
          <w:b w:val="0"/>
          <w:bCs w:val="0"/>
          <w:color w:val="auto"/>
          <w:kern w:val="0"/>
          <w:sz w:val="24"/>
          <w:szCs w:val="24"/>
          <w:lang w:val="en-US" w:eastAsia="zh-CN" w:bidi="ar"/>
        </w:rPr>
        <w:t>m高围堰且</w:t>
      </w:r>
      <w:r>
        <w:rPr>
          <w:rFonts w:hint="default" w:ascii="Times New Roman" w:hAnsi="Times New Roman" w:eastAsia="宋体" w:cs="Times New Roman"/>
          <w:b w:val="0"/>
          <w:bCs w:val="0"/>
          <w:color w:val="auto"/>
          <w:kern w:val="0"/>
          <w:sz w:val="24"/>
          <w:szCs w:val="24"/>
          <w:lang w:val="en-US" w:eastAsia="zh-CN" w:bidi="ar"/>
        </w:rPr>
        <w:t>重点防渗</w:t>
      </w:r>
      <w:r>
        <w:rPr>
          <w:rFonts w:hint="eastAsia" w:ascii="Times New Roman" w:hAnsi="Times New Roman" w:eastAsia="宋体" w:cs="Times New Roman"/>
          <w:b w:val="0"/>
          <w:bCs w:val="0"/>
          <w:color w:val="auto"/>
          <w:kern w:val="0"/>
          <w:sz w:val="24"/>
          <w:szCs w:val="24"/>
          <w:lang w:val="en-US" w:eastAsia="zh-CN" w:bidi="ar"/>
        </w:rPr>
        <w:t>。</w:t>
      </w:r>
    </w:p>
    <w:p w14:paraId="552F4455">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③发生泄漏时，隔离泄漏污染区，限制出入</w:t>
      </w:r>
      <w:r>
        <w:rPr>
          <w:rFonts w:hint="eastAsia" w:cs="Times New Roman"/>
          <w:b w:val="0"/>
          <w:bCs w:val="0"/>
          <w:color w:val="auto"/>
          <w:kern w:val="0"/>
          <w:sz w:val="24"/>
          <w:szCs w:val="24"/>
          <w:lang w:val="en-US" w:eastAsia="zh-CN" w:bidi="ar"/>
        </w:rPr>
        <w:t>，立即</w:t>
      </w:r>
      <w:r>
        <w:rPr>
          <w:rFonts w:hint="default" w:ascii="Times New Roman" w:hAnsi="Times New Roman" w:eastAsia="宋体" w:cs="Times New Roman"/>
          <w:b w:val="0"/>
          <w:bCs w:val="0"/>
          <w:color w:val="auto"/>
          <w:kern w:val="0"/>
          <w:sz w:val="24"/>
          <w:szCs w:val="24"/>
          <w:lang w:val="en-US" w:eastAsia="zh-CN" w:bidi="ar"/>
        </w:rPr>
        <w:t>收集回收或运至废物处理场所处置。</w:t>
      </w:r>
    </w:p>
    <w:p w14:paraId="69C55C64">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left"/>
        <w:textAlignment w:val="auto"/>
        <w:outlineLvl w:val="9"/>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kern w:val="0"/>
          <w:sz w:val="24"/>
          <w:szCs w:val="24"/>
          <w:lang w:val="en-US" w:eastAsia="zh-CN" w:bidi="ar"/>
        </w:rPr>
        <w:t xml:space="preserve">4、环境风险应急撤离及疏散要求 </w:t>
      </w:r>
    </w:p>
    <w:p w14:paraId="672A3424">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厂内应急人员进入及撤离事故现场：</w:t>
      </w:r>
    </w:p>
    <w:p w14:paraId="22B16152">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发生初期事故时，应急人员在做好防护的基础上，5min内进入事故现场展开救援，当事故无法控制，威胁到应急人员生命安全时，立即进行撤离，沿公司厂区道路向就近上风向或侧风向厂区出入口集合，并进行疏散。 </w:t>
      </w:r>
    </w:p>
    <w:p w14:paraId="5532D688">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根据事故发生位置和当时的风向等气象情况，由后勤保障人员指挥，向上风向疏散，并在上风向设立紧急避难场所，进行人员清点，并将清点结果报告指挥组。疏散过程中根据事故严重程度由厂区保卫科共同协调指挥疏导交通，确保及时、安全完成紧急疏散任务。 </w:t>
      </w:r>
    </w:p>
    <w:p w14:paraId="48DCA65E">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周边区域人员疏散撤离：</w:t>
      </w:r>
    </w:p>
    <w:p w14:paraId="56797200">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①周边区域人员疏散、撤离原则：周边区域人员疏散、撤离原则为分别按东、南、西、北四个方向及时迅速撤离危险区域到安全地带。疏散过程中尽量佩戴口罩等简易防护措施，向上风向撤离，在10min内完成转移。项目周边交通通畅，发生事故时对周边四条路进行交通管制，并组织群众向上风向进行疏散。 </w:t>
      </w:r>
    </w:p>
    <w:p w14:paraId="060A8D65">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②撤离地点及后勤保障：根据事故发生位置和当时风向等气象情况，向上风向疏散，并在上风向设立紧急避难场所。撤离地点一般为安全地带内的广场，并为撤离人员提供食品、饮用水等生活必需品。根据区域特点，发生事故时，可根据当时的风向，选择位于上风向的紧急避难所。 </w:t>
      </w:r>
    </w:p>
    <w:p w14:paraId="43C69A3E">
      <w:pPr>
        <w:keepNext w:val="0"/>
        <w:keepLines w:val="0"/>
        <w:pageBreakBefore w:val="0"/>
        <w:widowControl/>
        <w:kinsoku/>
        <w:wordWrap/>
        <w:overflowPunct/>
        <w:topLinePunct w:val="0"/>
        <w:autoSpaceDE w:val="0"/>
        <w:autoSpaceDN w:val="0"/>
        <w:bidi w:val="0"/>
        <w:adjustRightInd w:val="0"/>
        <w:snapToGrid w:val="0"/>
        <w:spacing w:line="360" w:lineRule="auto"/>
        <w:ind w:right="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交通管制：</w:t>
      </w:r>
    </w:p>
    <w:p w14:paraId="3E116E1F">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①发生突发环境事故时，保卫科协同交警部门，对周边道路进行管控，限制无关车辆进入现场附近。 </w:t>
      </w:r>
    </w:p>
    <w:p w14:paraId="467EBC13">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②临时安置场所设在上风向区域的空地，由企业应急总指挥和当地政府根据现场风向、救援情况指定。 </w:t>
      </w:r>
    </w:p>
    <w:p w14:paraId="25E80A8A">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Cs w:val="24"/>
          <w:lang w:val="en-US" w:eastAsia="zh-CN"/>
        </w:rPr>
      </w:pPr>
      <w:r>
        <w:rPr>
          <w:rFonts w:hint="default" w:ascii="Times New Roman" w:hAnsi="Times New Roman" w:eastAsia="宋体" w:cs="Times New Roman"/>
          <w:color w:val="auto"/>
          <w:kern w:val="0"/>
          <w:sz w:val="24"/>
          <w:szCs w:val="24"/>
          <w:lang w:val="en-US" w:eastAsia="zh-CN"/>
        </w:rPr>
        <w:t>③发生</w:t>
      </w:r>
      <w:r>
        <w:rPr>
          <w:rFonts w:hint="eastAsia" w:cs="Times New Roman"/>
          <w:color w:val="auto"/>
          <w:kern w:val="0"/>
          <w:sz w:val="24"/>
          <w:szCs w:val="24"/>
          <w:lang w:val="en-US" w:eastAsia="zh-CN"/>
        </w:rPr>
        <w:t>火灾</w:t>
      </w:r>
      <w:r>
        <w:rPr>
          <w:rFonts w:hint="default" w:ascii="Times New Roman" w:hAnsi="Times New Roman" w:eastAsia="宋体" w:cs="Times New Roman"/>
          <w:color w:val="auto"/>
          <w:kern w:val="0"/>
          <w:sz w:val="24"/>
          <w:szCs w:val="24"/>
          <w:lang w:val="en-US" w:eastAsia="zh-CN"/>
        </w:rPr>
        <w:t>时，公司东南西北四个方向的道路全部进行交通管制，不允许车辆进入。现场具体的道路隔离和交通疏导方案由现场公安人员根据实际风向等情况进行调整，企业应急人员进行协助。</w:t>
      </w:r>
    </w:p>
    <w:p w14:paraId="5AAC0746">
      <w:pPr>
        <w:pStyle w:val="107"/>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val="en-US" w:eastAsia="zh-CN"/>
        </w:rPr>
      </w:pPr>
      <w:bookmarkStart w:id="87" w:name="_Toc12625"/>
      <w:r>
        <w:rPr>
          <w:rFonts w:hint="default" w:ascii="Times New Roman" w:hAnsi="Times New Roman" w:eastAsia="宋体" w:cs="Times New Roman"/>
          <w:b/>
          <w:bCs w:val="0"/>
          <w:color w:val="auto"/>
          <w:sz w:val="30"/>
          <w:szCs w:val="30"/>
          <w:shd w:val="clear" w:color="auto" w:fill="auto"/>
          <w:lang w:val="en-US" w:eastAsia="zh-CN"/>
        </w:rPr>
        <w:t>7.2事故废水环境风险防范措施</w:t>
      </w:r>
      <w:bookmarkEnd w:id="87"/>
    </w:p>
    <w:p w14:paraId="60D4A5A6">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rPr>
      </w:pPr>
      <w:r>
        <w:rPr>
          <w:rFonts w:hint="default" w:ascii="Times New Roman" w:hAnsi="Times New Roman" w:eastAsia="宋体" w:cs="Times New Roman"/>
          <w:color w:val="auto"/>
          <w:kern w:val="0"/>
          <w:sz w:val="24"/>
          <w:szCs w:val="32"/>
        </w:rPr>
        <w:t>1、建立水环境风险防范措施体系</w:t>
      </w:r>
    </w:p>
    <w:p w14:paraId="3A589499">
      <w:pPr>
        <w:keepNext w:val="0"/>
        <w:keepLines w:val="0"/>
        <w:pageBreakBefore w:val="0"/>
        <w:kinsoku/>
        <w:wordWrap/>
        <w:overflowPunct/>
        <w:topLinePunct w:val="0"/>
        <w:bidi w:val="0"/>
        <w:adjustRightInd w:val="0"/>
        <w:snapToGrid w:val="0"/>
        <w:spacing w:line="360" w:lineRule="auto"/>
        <w:ind w:left="0" w:leftChars="0" w:right="0"/>
        <w:jc w:val="center"/>
        <w:textAlignment w:val="auto"/>
        <w:outlineLvl w:val="9"/>
        <w:rPr>
          <w:rFonts w:hint="default" w:ascii="Times New Roman" w:hAnsi="Times New Roman" w:eastAsia="宋体" w:cs="Times New Roman"/>
          <w:color w:val="FF0000"/>
          <w:kern w:val="0"/>
          <w:szCs w:val="24"/>
        </w:rPr>
      </w:pPr>
      <w:r>
        <w:rPr>
          <w:rFonts w:hint="default" w:ascii="Times New Roman" w:hAnsi="Times New Roman" w:eastAsia="宋体" w:cs="Times New Roman"/>
          <w:color w:val="FF0000"/>
        </w:rPr>
        <w:object>
          <v:shape id="_x0000_i1031" o:spt="75" type="#_x0000_t75" style="height:251.45pt;width:430.6pt;" o:ole="t" filled="f" o:preferrelative="t" stroked="f" coordsize="21600,21600">
            <v:path/>
            <v:fill on="f" focussize="0,0"/>
            <v:stroke on="f"/>
            <v:imagedata r:id="rId58" o:title=""/>
            <o:lock v:ext="edit" aspectratio="t"/>
            <w10:wrap type="none"/>
            <w10:anchorlock/>
          </v:shape>
          <o:OLEObject Type="Embed" ProgID="Visio.Drawing.15" ShapeID="_x0000_i1031" DrawAspect="Content" ObjectID="_1468075731" r:id="rId57">
            <o:LockedField>false</o:LockedField>
          </o:OLEObject>
        </w:object>
      </w:r>
    </w:p>
    <w:p w14:paraId="031BAD52">
      <w:pPr>
        <w:pStyle w:val="2"/>
        <w:keepNext w:val="0"/>
        <w:keepLines w:val="0"/>
        <w:pageBreakBefore w:val="0"/>
        <w:kinsoku/>
        <w:wordWrap/>
        <w:overflowPunct/>
        <w:topLinePunct w:val="0"/>
        <w:bidi w:val="0"/>
        <w:adjustRightInd w:val="0"/>
        <w:snapToGrid w:val="0"/>
        <w:spacing w:after="0" w:line="360" w:lineRule="auto"/>
        <w:ind w:left="0" w:leftChars="0" w:right="0" w:firstLine="0" w:firstLineChars="0"/>
        <w:jc w:val="center"/>
        <w:textAlignment w:val="auto"/>
        <w:outlineLvl w:val="9"/>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图</w:t>
      </w:r>
      <w:r>
        <w:rPr>
          <w:rFonts w:hint="default" w:ascii="Times New Roman" w:hAnsi="Times New Roman" w:eastAsia="宋体" w:cs="Times New Roman"/>
          <w:b/>
          <w:bCs/>
          <w:color w:val="auto"/>
          <w:sz w:val="24"/>
          <w:lang w:val="en-US" w:eastAsia="zh-CN"/>
        </w:rPr>
        <w:t>7.</w:t>
      </w:r>
      <w:r>
        <w:rPr>
          <w:rFonts w:hint="eastAsia" w:cs="Times New Roman"/>
          <w:b/>
          <w:bCs/>
          <w:color w:val="auto"/>
          <w:sz w:val="24"/>
          <w:lang w:val="en-US" w:eastAsia="zh-CN"/>
        </w:rPr>
        <w:t>2</w:t>
      </w: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rPr>
        <w:t>水环境风险防范措施体系</w:t>
      </w:r>
    </w:p>
    <w:p w14:paraId="23471D23">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firstLine="480" w:firstLineChars="200"/>
        <w:jc w:val="both"/>
        <w:textAlignment w:val="auto"/>
        <w:outlineLvl w:val="9"/>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2、事故废水环境风险防范</w:t>
      </w:r>
    </w:p>
    <w:p w14:paraId="29E9B9E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为防止事故废水对地表水体造成污染，本评价要求企业建立“单元-厂区-园区/区域”的环境风险防控体系。</w:t>
      </w:r>
    </w:p>
    <w:p w14:paraId="1D50ECF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1</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单元级防控措施</w:t>
      </w:r>
    </w:p>
    <w:p w14:paraId="7490056B">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w:t>
      </w:r>
      <w:r>
        <w:rPr>
          <w:rFonts w:hint="eastAsia" w:cs="Times New Roman"/>
          <w:color w:val="auto"/>
          <w:kern w:val="0"/>
          <w:sz w:val="24"/>
          <w:szCs w:val="24"/>
          <w:lang w:val="en-US" w:eastAsia="zh-CN"/>
        </w:rPr>
        <w:t>盐酸仓库</w:t>
      </w:r>
      <w:r>
        <w:rPr>
          <w:rFonts w:hint="default" w:ascii="Times New Roman" w:hAnsi="Times New Roman" w:eastAsia="宋体" w:cs="Times New Roman"/>
          <w:color w:val="auto"/>
          <w:kern w:val="0"/>
          <w:sz w:val="24"/>
          <w:szCs w:val="24"/>
        </w:rPr>
        <w:t>四周应根据场地大小及地势情况，布设配套的雨、污水沟，便于厂区内雨污分流的践行。</w:t>
      </w:r>
    </w:p>
    <w:p w14:paraId="794780C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2</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厂区级防控措施</w:t>
      </w:r>
    </w:p>
    <w:p w14:paraId="3355DD6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本项目新建1座容积为</w:t>
      </w:r>
      <w:r>
        <w:rPr>
          <w:rFonts w:hint="eastAsia" w:cs="Times New Roman"/>
          <w:color w:val="auto"/>
          <w:kern w:val="0"/>
          <w:sz w:val="24"/>
          <w:szCs w:val="24"/>
          <w:lang w:val="en-US" w:eastAsia="zh-CN"/>
        </w:rPr>
        <w:t>200</w:t>
      </w: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的事故应急池，经核算，池体容积满足要求，可以作为事故污染排水的终端储存设施</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发生消防事故时，生产装置区内消防排水、事故污水首先收集进污水沟内，后排入事故池内。</w:t>
      </w:r>
    </w:p>
    <w:p w14:paraId="04885C0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3</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lang w:val="en-US" w:eastAsia="zh-CN"/>
        </w:rPr>
        <w:t>区域</w:t>
      </w:r>
      <w:r>
        <w:rPr>
          <w:rFonts w:hint="default" w:ascii="Times New Roman" w:hAnsi="Times New Roman" w:eastAsia="宋体" w:cs="Times New Roman"/>
          <w:color w:val="auto"/>
          <w:kern w:val="0"/>
          <w:sz w:val="24"/>
          <w:szCs w:val="24"/>
        </w:rPr>
        <w:t>级防控措施</w:t>
      </w:r>
    </w:p>
    <w:p w14:paraId="4229FB2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正常情况下，本项目事故水池可满足事故状态下厂区事故废水的储存需要。为防止极端情况下产生的大量事故废水超过事故水池存储能力漫流出厂，事故水处理除了与邻近企业的事故池及其污水处理实施联动外，还可与</w:t>
      </w:r>
      <w:r>
        <w:rPr>
          <w:rFonts w:hint="default" w:ascii="Times New Roman" w:hAnsi="Times New Roman" w:eastAsia="宋体" w:cs="Times New Roman"/>
          <w:color w:val="auto"/>
          <w:kern w:val="0"/>
          <w:sz w:val="24"/>
          <w:szCs w:val="24"/>
          <w:lang w:val="en-US" w:eastAsia="zh-CN"/>
        </w:rPr>
        <w:t>区域</w:t>
      </w:r>
      <w:r>
        <w:rPr>
          <w:rFonts w:hint="default" w:ascii="Times New Roman" w:hAnsi="Times New Roman" w:eastAsia="宋体" w:cs="Times New Roman"/>
          <w:color w:val="auto"/>
          <w:kern w:val="0"/>
          <w:sz w:val="24"/>
          <w:szCs w:val="24"/>
        </w:rPr>
        <w:t>事故废水处理实施联动，以满足在发生重大消防事故时间过长时，事故废水的截堵、收集和处理。</w:t>
      </w:r>
    </w:p>
    <w:p w14:paraId="366A9CB4">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4</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事故废水封堵</w:t>
      </w:r>
    </w:p>
    <w:p w14:paraId="0B4C703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事故废水一旦溢出界区外，为防止事故废水污染水环境，一旦发生事故，应立刻对排污沟进行封堵，根据现场地势，发生事故时，应在厂区地势相对最低处及厂区靠近河流一侧进行封堵。封堵地点可以根据实际事故现场进行调整，场地应宽敞，且便于人员和机械快速便捷的施工操作。</w:t>
      </w:r>
    </w:p>
    <w:p w14:paraId="604EA2A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b w:val="0"/>
          <w:bCs w:val="0"/>
          <w:color w:val="auto"/>
          <w:kern w:val="0"/>
          <w:sz w:val="24"/>
          <w:szCs w:val="24"/>
        </w:rPr>
      </w:pPr>
      <w:r>
        <w:rPr>
          <w:rFonts w:hint="default" w:ascii="Times New Roman" w:hAnsi="Times New Roman" w:eastAsia="宋体" w:cs="Times New Roman"/>
          <w:b w:val="0"/>
          <w:bCs w:val="0"/>
          <w:color w:val="auto"/>
          <w:kern w:val="0"/>
          <w:sz w:val="24"/>
          <w:szCs w:val="24"/>
        </w:rPr>
        <w:t>3、完善三级防控体系</w:t>
      </w:r>
    </w:p>
    <w:p w14:paraId="19E81E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bookmarkStart w:id="88" w:name="_Toc119"/>
      <w:r>
        <w:rPr>
          <w:rFonts w:hint="default" w:ascii="Times New Roman" w:hAnsi="Times New Roman" w:eastAsia="宋体" w:cs="Times New Roman"/>
          <w:color w:val="auto"/>
          <w:kern w:val="0"/>
          <w:sz w:val="24"/>
          <w:szCs w:val="24"/>
          <w:highlight w:val="none"/>
          <w:lang w:val="en-US" w:eastAsia="zh-CN" w:bidi="ar"/>
        </w:rPr>
        <w:t>按照《建设项目环境风险评价技术导则》（HJ169-2018）的规定，为防止此环节发生风险事故时对周围环境及受纳水体产生影响，其环境风险应设立三级应急防控体系</w:t>
      </w:r>
      <w:r>
        <w:rPr>
          <w:rFonts w:hint="eastAsia"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一级（单元）防控</w:t>
      </w:r>
      <w:r>
        <w:rPr>
          <w:rFonts w:hint="eastAsia" w:ascii="Times New Roman" w:hAnsi="Times New Roman" w:eastAsia="宋体" w:cs="Times New Roman"/>
          <w:color w:val="auto"/>
          <w:kern w:val="0"/>
          <w:sz w:val="24"/>
          <w:szCs w:val="24"/>
          <w:highlight w:val="none"/>
          <w:lang w:val="en-US" w:eastAsia="zh-CN" w:bidi="ar"/>
        </w:rPr>
        <w:t>体系</w:t>
      </w:r>
      <w:r>
        <w:rPr>
          <w:rFonts w:hint="default" w:ascii="Times New Roman" w:hAnsi="Times New Roman" w:eastAsia="宋体" w:cs="Times New Roman"/>
          <w:color w:val="auto"/>
          <w:kern w:val="0"/>
          <w:sz w:val="24"/>
          <w:szCs w:val="24"/>
          <w:highlight w:val="none"/>
          <w:lang w:val="en-US" w:eastAsia="zh-CN" w:bidi="ar"/>
        </w:rPr>
        <w:t>：将污染物控制在装置区和事故水池内；二级（厂区）防控</w:t>
      </w:r>
      <w:r>
        <w:rPr>
          <w:rFonts w:hint="eastAsia" w:ascii="Times New Roman" w:hAnsi="Times New Roman" w:eastAsia="宋体" w:cs="Times New Roman"/>
          <w:color w:val="auto"/>
          <w:kern w:val="0"/>
          <w:sz w:val="24"/>
          <w:szCs w:val="24"/>
          <w:highlight w:val="none"/>
          <w:lang w:val="en-US" w:eastAsia="zh-CN" w:bidi="ar"/>
        </w:rPr>
        <w:t>体系</w:t>
      </w:r>
      <w:r>
        <w:rPr>
          <w:rFonts w:hint="default" w:ascii="Times New Roman" w:hAnsi="Times New Roman" w:eastAsia="宋体" w:cs="Times New Roman"/>
          <w:color w:val="auto"/>
          <w:kern w:val="0"/>
          <w:sz w:val="24"/>
          <w:szCs w:val="24"/>
          <w:highlight w:val="none"/>
          <w:lang w:val="en-US" w:eastAsia="zh-CN" w:bidi="ar"/>
        </w:rPr>
        <w:t>将污染物控制在厂区内；三级（园区）防控</w:t>
      </w:r>
      <w:r>
        <w:rPr>
          <w:rFonts w:hint="eastAsia" w:ascii="Times New Roman" w:hAnsi="Times New Roman" w:eastAsia="宋体" w:cs="Times New Roman"/>
          <w:color w:val="auto"/>
          <w:kern w:val="0"/>
          <w:sz w:val="24"/>
          <w:szCs w:val="24"/>
          <w:highlight w:val="none"/>
          <w:lang w:val="en-US" w:eastAsia="zh-CN" w:bidi="ar"/>
        </w:rPr>
        <w:t>体系</w:t>
      </w:r>
      <w:r>
        <w:rPr>
          <w:rFonts w:hint="default" w:ascii="Times New Roman" w:hAnsi="Times New Roman" w:eastAsia="宋体" w:cs="Times New Roman"/>
          <w:color w:val="auto"/>
          <w:kern w:val="0"/>
          <w:sz w:val="24"/>
          <w:szCs w:val="24"/>
          <w:highlight w:val="none"/>
          <w:lang w:val="en-US" w:eastAsia="zh-CN" w:bidi="ar"/>
        </w:rPr>
        <w:t>将污染物控制在终端园区污水处理</w:t>
      </w:r>
      <w:r>
        <w:rPr>
          <w:rFonts w:hint="eastAsia" w:ascii="Times New Roman" w:hAnsi="Times New Roman" w:eastAsia="宋体" w:cs="Times New Roman"/>
          <w:color w:val="auto"/>
          <w:kern w:val="0"/>
          <w:sz w:val="24"/>
          <w:szCs w:val="24"/>
          <w:highlight w:val="none"/>
          <w:lang w:val="en-US" w:eastAsia="zh-CN" w:bidi="ar"/>
        </w:rPr>
        <w:t>厂</w:t>
      </w:r>
      <w:r>
        <w:rPr>
          <w:rFonts w:hint="default" w:ascii="Times New Roman" w:hAnsi="Times New Roman" w:eastAsia="宋体" w:cs="Times New Roman"/>
          <w:color w:val="auto"/>
          <w:kern w:val="0"/>
          <w:sz w:val="24"/>
          <w:szCs w:val="24"/>
          <w:highlight w:val="none"/>
          <w:lang w:val="en-US" w:eastAsia="zh-CN" w:bidi="ar"/>
        </w:rPr>
        <w:t>和事故水池</w:t>
      </w:r>
      <w:r>
        <w:rPr>
          <w:rFonts w:hint="eastAsia"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项目的环境风险应急</w:t>
      </w:r>
      <w:r>
        <w:rPr>
          <w:rFonts w:hint="eastAsia" w:ascii="Times New Roman" w:hAnsi="Times New Roman" w:eastAsia="宋体" w:cs="Times New Roman"/>
          <w:color w:val="auto"/>
          <w:kern w:val="0"/>
          <w:sz w:val="24"/>
          <w:szCs w:val="24"/>
          <w:highlight w:val="none"/>
          <w:lang w:val="en-US" w:eastAsia="zh-CN" w:bidi="ar"/>
        </w:rPr>
        <w:t>防控体系包括</w:t>
      </w:r>
      <w:r>
        <w:rPr>
          <w:rFonts w:hint="default" w:ascii="Times New Roman" w:hAnsi="Times New Roman" w:eastAsia="宋体" w:cs="Times New Roman"/>
          <w:color w:val="auto"/>
          <w:kern w:val="0"/>
          <w:sz w:val="24"/>
          <w:szCs w:val="24"/>
          <w:highlight w:val="none"/>
          <w:lang w:val="en-US" w:eastAsia="zh-CN" w:bidi="ar"/>
        </w:rPr>
        <w:t>如下几个方面：</w:t>
      </w:r>
    </w:p>
    <w:p w14:paraId="718469E2">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一级防控</w:t>
      </w:r>
      <w:r>
        <w:rPr>
          <w:rFonts w:hint="eastAsia" w:ascii="Times New Roman" w:hAnsi="Times New Roman" w:eastAsia="宋体" w:cs="Times New Roman"/>
          <w:color w:val="auto"/>
          <w:kern w:val="0"/>
          <w:sz w:val="24"/>
          <w:szCs w:val="24"/>
          <w:highlight w:val="none"/>
          <w:lang w:val="en-US" w:eastAsia="zh-CN" w:bidi="ar"/>
        </w:rPr>
        <w:t>体系</w:t>
      </w:r>
      <w:r>
        <w:rPr>
          <w:rFonts w:hint="default" w:ascii="Times New Roman" w:hAnsi="Times New Roman" w:eastAsia="宋体" w:cs="Times New Roman"/>
          <w:color w:val="auto"/>
          <w:kern w:val="0"/>
          <w:sz w:val="24"/>
          <w:szCs w:val="24"/>
          <w:highlight w:val="none"/>
          <w:lang w:val="en-US" w:eastAsia="zh-CN" w:bidi="ar"/>
        </w:rPr>
        <w:t>（单元）：</w:t>
      </w:r>
    </w:p>
    <w:p w14:paraId="16184BC6">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①在装置开工、停工、检修、生产过程中，以及可能发生含有可燃、有毒、对环境有污染液体漫流的装置单元区周围，装置区</w:t>
      </w:r>
      <w:r>
        <w:rPr>
          <w:rFonts w:hint="eastAsia"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仓库</w:t>
      </w:r>
      <w:r>
        <w:rPr>
          <w:rFonts w:hint="default" w:ascii="Times New Roman" w:hAnsi="Times New Roman" w:eastAsia="宋体" w:cs="Times New Roman"/>
          <w:color w:val="auto"/>
          <w:kern w:val="0"/>
          <w:sz w:val="24"/>
          <w:szCs w:val="24"/>
          <w:highlight w:val="none"/>
          <w:lang w:val="en-US" w:eastAsia="zh-CN" w:bidi="ar"/>
        </w:rPr>
        <w:t>周边设置围堰和导流设施；</w:t>
      </w:r>
    </w:p>
    <w:p w14:paraId="59DE1CA2">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②应根据围堰内可能泄漏液体的特性设置集水沟槽、排水口。</w:t>
      </w:r>
    </w:p>
    <w:p w14:paraId="62E827E6">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③在巡检通道经过的围堰处应设置指示标志和警示标识；</w:t>
      </w:r>
    </w:p>
    <w:p w14:paraId="09503309">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④在围堰内应设置混凝土地坪，并要求防渗达到重点防渗区要求。</w:t>
      </w:r>
    </w:p>
    <w:p w14:paraId="6B7A7DEF">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⑤在装置区四周设置事故废水导排系统，设置事故废水和雨水截止阀。项目事故废水导流系统按照厂区地势布置，最终全部导入至事故水池。厂区事故水池容积</w:t>
      </w:r>
      <w:r>
        <w:rPr>
          <w:rFonts w:hint="eastAsia" w:cs="Times New Roman"/>
          <w:color w:val="auto"/>
          <w:kern w:val="0"/>
          <w:sz w:val="24"/>
          <w:szCs w:val="24"/>
          <w:highlight w:val="none"/>
          <w:lang w:val="en-US" w:eastAsia="zh-CN" w:bidi="ar"/>
        </w:rPr>
        <w:t>200</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，能够满足项目事故废水的暂存要求，防止事故状态下物料外排。</w:t>
      </w:r>
    </w:p>
    <w:p w14:paraId="04DB7A0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二级防控</w:t>
      </w:r>
      <w:r>
        <w:rPr>
          <w:rFonts w:hint="eastAsia" w:ascii="Times New Roman" w:hAnsi="Times New Roman" w:eastAsia="宋体" w:cs="Times New Roman"/>
          <w:color w:val="auto"/>
          <w:kern w:val="0"/>
          <w:sz w:val="24"/>
          <w:szCs w:val="24"/>
          <w:highlight w:val="none"/>
          <w:lang w:val="en-US" w:eastAsia="zh-CN" w:bidi="ar"/>
        </w:rPr>
        <w:t>体系</w:t>
      </w:r>
      <w:r>
        <w:rPr>
          <w:rFonts w:hint="default" w:ascii="Times New Roman" w:hAnsi="Times New Roman" w:eastAsia="宋体" w:cs="Times New Roman"/>
          <w:color w:val="auto"/>
          <w:kern w:val="0"/>
          <w:sz w:val="24"/>
          <w:szCs w:val="24"/>
          <w:highlight w:val="none"/>
          <w:lang w:val="en-US" w:eastAsia="zh-CN" w:bidi="ar"/>
        </w:rPr>
        <w:t>（厂区）：对厂区污水及雨水总排口设置切断措施，</w:t>
      </w:r>
      <w:r>
        <w:rPr>
          <w:rFonts w:hint="eastAsia" w:ascii="宋体" w:hAnsi="宋体" w:eastAsia="宋体" w:cs="宋体"/>
          <w:color w:val="auto"/>
          <w:kern w:val="0"/>
          <w:sz w:val="24"/>
          <w:szCs w:val="24"/>
          <w:highlight w:val="none"/>
          <w:lang w:val="en-US" w:eastAsia="zh-CN" w:bidi="ar"/>
        </w:rPr>
        <w:t>切断污染物与外部的通道，</w:t>
      </w:r>
      <w:r>
        <w:rPr>
          <w:rFonts w:hint="default" w:ascii="Times New Roman" w:hAnsi="Times New Roman" w:eastAsia="宋体" w:cs="Times New Roman"/>
          <w:color w:val="auto"/>
          <w:kern w:val="0"/>
          <w:sz w:val="24"/>
          <w:szCs w:val="24"/>
          <w:highlight w:val="none"/>
          <w:lang w:val="en-US" w:eastAsia="zh-CN" w:bidi="ar"/>
        </w:rPr>
        <w:t>防止事故情况下物料经雨水及污水管线进入地表水水体。项目事故废水经事故水池暂存</w:t>
      </w:r>
      <w:r>
        <w:rPr>
          <w:rFonts w:hint="eastAsia" w:ascii="Times New Roman" w:hAnsi="Times New Roman" w:eastAsia="宋体" w:cs="Times New Roman"/>
          <w:color w:val="auto"/>
          <w:kern w:val="0"/>
          <w:sz w:val="24"/>
          <w:szCs w:val="24"/>
          <w:highlight w:val="none"/>
          <w:lang w:val="en-US" w:eastAsia="zh-CN" w:bidi="ar"/>
        </w:rPr>
        <w:t xml:space="preserve">，将污染控制在厂内，防止较大生产事故泄漏物料和污染消防水造成的环境污染。 </w:t>
      </w:r>
    </w:p>
    <w:p w14:paraId="57FC3C4B">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三级防控</w:t>
      </w:r>
      <w:r>
        <w:rPr>
          <w:rFonts w:hint="eastAsia" w:ascii="Times New Roman" w:hAnsi="Times New Roman" w:eastAsia="宋体" w:cs="Times New Roman"/>
          <w:color w:val="auto"/>
          <w:kern w:val="0"/>
          <w:sz w:val="24"/>
          <w:szCs w:val="24"/>
          <w:highlight w:val="none"/>
          <w:lang w:val="en-US" w:eastAsia="zh-CN" w:bidi="ar"/>
        </w:rPr>
        <w:t>体系</w:t>
      </w:r>
      <w:r>
        <w:rPr>
          <w:rFonts w:hint="default" w:ascii="Times New Roman" w:hAnsi="Times New Roman" w:eastAsia="宋体" w:cs="Times New Roman"/>
          <w:color w:val="auto"/>
          <w:kern w:val="0"/>
          <w:sz w:val="24"/>
          <w:szCs w:val="24"/>
          <w:highlight w:val="none"/>
          <w:lang w:val="en-US" w:eastAsia="zh-CN" w:bidi="ar"/>
        </w:rPr>
        <w:t>（园区）：</w:t>
      </w:r>
      <w:r>
        <w:rPr>
          <w:rFonts w:hint="eastAsia" w:ascii="Times New Roman" w:hAnsi="Times New Roman" w:eastAsia="宋体" w:cs="Times New Roman"/>
          <w:color w:val="auto"/>
          <w:kern w:val="0"/>
          <w:sz w:val="24"/>
          <w:szCs w:val="24"/>
          <w:highlight w:val="none"/>
          <w:lang w:val="en-US" w:eastAsia="zh-CN" w:bidi="ar"/>
        </w:rPr>
        <w:t>事故废水一旦穿越二级防控体系，可经污水管道进入</w:t>
      </w:r>
      <w:r>
        <w:rPr>
          <w:rFonts w:hint="eastAsia" w:cs="Times New Roman"/>
          <w:color w:val="auto"/>
          <w:kern w:val="0"/>
          <w:sz w:val="24"/>
          <w:szCs w:val="24"/>
          <w:highlight w:val="none"/>
          <w:lang w:val="en-US" w:eastAsia="zh-CN" w:bidi="ar"/>
        </w:rPr>
        <w:t>葛洲坝水务淄博淄川有限公司</w:t>
      </w:r>
      <w:r>
        <w:rPr>
          <w:rFonts w:hint="eastAsia" w:ascii="Times New Roman" w:hAnsi="Times New Roman" w:eastAsia="宋体" w:cs="Times New Roman"/>
          <w:color w:val="auto"/>
          <w:kern w:val="0"/>
          <w:sz w:val="24"/>
          <w:szCs w:val="24"/>
          <w:highlight w:val="none"/>
          <w:lang w:val="en-US" w:eastAsia="zh-CN" w:bidi="ar"/>
        </w:rPr>
        <w:t>，可利用</w:t>
      </w:r>
      <w:r>
        <w:rPr>
          <w:rFonts w:hint="eastAsia" w:cs="Times New Roman"/>
          <w:color w:val="auto"/>
          <w:kern w:val="0"/>
          <w:sz w:val="24"/>
          <w:szCs w:val="24"/>
          <w:highlight w:val="none"/>
          <w:lang w:val="en-US" w:eastAsia="zh-CN" w:bidi="ar"/>
        </w:rPr>
        <w:t>葛洲坝水务淄博淄川有限公司</w:t>
      </w:r>
      <w:r>
        <w:rPr>
          <w:rFonts w:hint="eastAsia" w:ascii="Times New Roman" w:hAnsi="Times New Roman" w:eastAsia="宋体" w:cs="Times New Roman"/>
          <w:color w:val="auto"/>
          <w:kern w:val="0"/>
          <w:sz w:val="24"/>
          <w:szCs w:val="24"/>
          <w:highlight w:val="none"/>
          <w:lang w:val="en-US" w:eastAsia="zh-CN" w:bidi="ar"/>
        </w:rPr>
        <w:t xml:space="preserve">的应急事故水池作为事故缓冲池，将污染物控制在园区内，防止重大事故泄漏物料和污染消防水造成的环境污染。 </w:t>
      </w:r>
    </w:p>
    <w:p w14:paraId="4245EB84">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目前，园区已形成“项目区事故水收集、厂区事故水暂存、区事故水调节处理”的多级保障措施。通过三级防控体系的设置可以有效拦截事故废水进入下游河流，防止园区事故废水对当地表水造成大的影响。</w:t>
      </w:r>
    </w:p>
    <w:p w14:paraId="64016023">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leftChars="200"/>
        <w:jc w:val="left"/>
        <w:textAlignment w:val="auto"/>
        <w:rPr>
          <w:rFonts w:hint="eastAsia" w:ascii="Times New Roman" w:hAnsi="Times New Roman" w:cs="Times New Roman"/>
          <w:color w:val="auto"/>
          <w:kern w:val="0"/>
          <w:sz w:val="24"/>
          <w:szCs w:val="24"/>
          <w:highlight w:val="none"/>
          <w:lang w:val="en-US" w:eastAsia="zh-CN" w:bidi="ar"/>
        </w:rPr>
      </w:pPr>
      <w:r>
        <w:rPr>
          <w:rFonts w:hint="eastAsia"/>
          <w:color w:val="auto"/>
          <w:sz w:val="24"/>
          <w:szCs w:val="24"/>
          <w:highlight w:val="none"/>
        </w:rPr>
        <w:t>事故</w:t>
      </w:r>
      <w:r>
        <w:rPr>
          <w:rFonts w:hint="eastAsia"/>
          <w:color w:val="auto"/>
          <w:sz w:val="24"/>
          <w:szCs w:val="24"/>
          <w:highlight w:val="none"/>
          <w:lang w:val="en-US" w:eastAsia="zh-CN"/>
        </w:rPr>
        <w:t>废</w:t>
      </w:r>
      <w:r>
        <w:rPr>
          <w:rFonts w:hint="eastAsia"/>
          <w:color w:val="auto"/>
          <w:sz w:val="24"/>
          <w:szCs w:val="24"/>
          <w:highlight w:val="none"/>
        </w:rPr>
        <w:t>水导排系统图</w:t>
      </w:r>
      <w:r>
        <w:rPr>
          <w:rFonts w:hint="eastAsia"/>
          <w:color w:val="auto"/>
          <w:sz w:val="24"/>
          <w:szCs w:val="24"/>
          <w:highlight w:val="none"/>
          <w:lang w:val="en-US" w:eastAsia="zh-CN"/>
        </w:rPr>
        <w:t>详见下图</w:t>
      </w:r>
      <w:r>
        <w:rPr>
          <w:rFonts w:hint="eastAsia" w:ascii="Times New Roman" w:hAnsi="Times New Roman" w:cs="Times New Roman"/>
          <w:color w:val="auto"/>
          <w:kern w:val="0"/>
          <w:sz w:val="24"/>
          <w:szCs w:val="24"/>
          <w:highlight w:val="none"/>
          <w:lang w:val="en-US" w:eastAsia="zh-CN" w:bidi="ar"/>
        </w:rPr>
        <w:t>。</w:t>
      </w:r>
    </w:p>
    <w:p w14:paraId="1FE05848">
      <w:pPr>
        <w:keepNext w:val="0"/>
        <w:keepLines w:val="0"/>
        <w:pageBreakBefore w:val="0"/>
        <w:widowControl w:val="0"/>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4"/>
          <w:szCs w:val="24"/>
          <w:highlight w:val="none"/>
          <w:lang w:val="en-US" w:eastAsia="zh-CN" w:bidi="ar"/>
        </w:rPr>
      </w:pPr>
      <w:r>
        <w:rPr>
          <w:rFonts w:hint="default" w:ascii="Times New Roman" w:hAnsi="Times New Roman" w:eastAsia="宋体" w:cs="Times New Roman"/>
          <w:color w:val="FF0000"/>
          <w:kern w:val="0"/>
          <w:sz w:val="24"/>
          <w:szCs w:val="24"/>
          <w:highlight w:val="none"/>
          <w:lang w:val="en-US" w:eastAsia="zh-CN" w:bidi="ar"/>
        </w:rPr>
        <w:drawing>
          <wp:inline distT="0" distB="0" distL="114300" distR="114300">
            <wp:extent cx="5550535" cy="2541270"/>
            <wp:effectExtent l="0" t="0" r="0" b="0"/>
            <wp:docPr id="377"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ECB019B1-382A-4266-B25C-5B523AA43C14-1" descr="wps"/>
                    <pic:cNvPicPr>
                      <a:picLocks noChangeAspect="1"/>
                    </pic:cNvPicPr>
                  </pic:nvPicPr>
                  <pic:blipFill>
                    <a:blip r:embed="rId59"/>
                    <a:srcRect t="3291" b="64706"/>
                    <a:stretch>
                      <a:fillRect/>
                    </a:stretch>
                  </pic:blipFill>
                  <pic:spPr>
                    <a:xfrm>
                      <a:off x="0" y="0"/>
                      <a:ext cx="5550535" cy="2541270"/>
                    </a:xfrm>
                    <a:prstGeom prst="rect">
                      <a:avLst/>
                    </a:prstGeom>
                  </pic:spPr>
                </pic:pic>
              </a:graphicData>
            </a:graphic>
          </wp:inline>
        </w:drawing>
      </w:r>
    </w:p>
    <w:p w14:paraId="46FBB5FB">
      <w:pPr>
        <w:pStyle w:val="2"/>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rPr>
          <w:rFonts w:hint="default" w:ascii="Times New Roman" w:hAnsi="Times New Roman"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eastAsia="zh-CN"/>
        </w:rPr>
        <w:t xml:space="preserve">图 </w:t>
      </w:r>
      <w:r>
        <w:rPr>
          <w:rFonts w:hint="eastAsia" w:ascii="Times New Roman" w:hAnsi="Times New Roman" w:cs="Times New Roman"/>
          <w:b/>
          <w:bCs/>
          <w:color w:val="auto"/>
          <w:sz w:val="24"/>
          <w:szCs w:val="24"/>
          <w:highlight w:val="none"/>
          <w:lang w:val="en-US" w:eastAsia="zh-CN"/>
        </w:rPr>
        <w:t>7.2-2</w:t>
      </w:r>
      <w:r>
        <w:rPr>
          <w:rFonts w:hint="default" w:ascii="Times New Roman" w:hAnsi="Times New Roman" w:cs="Times New Roman"/>
          <w:b/>
          <w:bCs/>
          <w:color w:val="auto"/>
          <w:sz w:val="24"/>
          <w:szCs w:val="24"/>
          <w:highlight w:val="none"/>
          <w:lang w:eastAsia="zh-CN"/>
        </w:rPr>
        <w:t xml:space="preserve"> 三级防控体系及事故废水导排示意图</w:t>
      </w:r>
    </w:p>
    <w:p w14:paraId="62447776">
      <w:pPr>
        <w:keepNext w:val="0"/>
        <w:keepLines w:val="0"/>
        <w:pageBreakBefore w:val="0"/>
        <w:widowControl w:val="0"/>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rPr>
        <w:t>经采取上述措施后</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highlight w:val="none"/>
          <w:lang w:val="en-US" w:eastAsia="zh-CN" w:bidi="ar"/>
        </w:rPr>
        <w:t>事故状态下产生的废水对周围环境的影响较小。</w:t>
      </w:r>
    </w:p>
    <w:p w14:paraId="1ED4F220">
      <w:pPr>
        <w:pStyle w:val="107"/>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val="en-US" w:eastAsia="zh-CN"/>
        </w:rPr>
      </w:pPr>
      <w:r>
        <w:rPr>
          <w:rFonts w:hint="default" w:ascii="Times New Roman" w:hAnsi="Times New Roman" w:eastAsia="宋体" w:cs="Times New Roman"/>
          <w:b/>
          <w:bCs w:val="0"/>
          <w:color w:val="auto"/>
          <w:sz w:val="30"/>
          <w:szCs w:val="30"/>
          <w:shd w:val="clear" w:color="auto" w:fill="auto"/>
          <w:lang w:val="en-US" w:eastAsia="zh-CN"/>
        </w:rPr>
        <w:t>7.3地下水环境风险防范措施</w:t>
      </w:r>
      <w:bookmarkEnd w:id="88"/>
    </w:p>
    <w:p w14:paraId="576BA28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1、源头控制措施</w:t>
      </w:r>
    </w:p>
    <w:p w14:paraId="436F92B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项目建设、生产过程中，应严格把关工程质量。</w:t>
      </w:r>
    </w:p>
    <w:p w14:paraId="5CE0A2AE">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1</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设备采购中要按照国家相关标准严格把关设备质量；</w:t>
      </w:r>
    </w:p>
    <w:p w14:paraId="4CC57B3C">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3</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定期对生产车间地面进行防渗和防腐检测；</w:t>
      </w:r>
    </w:p>
    <w:p w14:paraId="5B91E133">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2、严格做好工程</w:t>
      </w:r>
      <w:r>
        <w:rPr>
          <w:rFonts w:hint="default" w:ascii="Times New Roman" w:hAnsi="Times New Roman" w:eastAsia="宋体" w:cs="Times New Roman"/>
          <w:color w:val="auto"/>
          <w:kern w:val="0"/>
          <w:sz w:val="24"/>
          <w:szCs w:val="24"/>
          <w:highlight w:val="none"/>
        </w:rPr>
        <w:t>防渗</w:t>
      </w:r>
    </w:p>
    <w:p w14:paraId="6150AA0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本项目</w:t>
      </w:r>
      <w:r>
        <w:rPr>
          <w:rFonts w:hint="default" w:ascii="Times New Roman" w:hAnsi="Times New Roman" w:eastAsia="宋体" w:cs="Times New Roman"/>
          <w:color w:val="auto"/>
          <w:kern w:val="0"/>
          <w:sz w:val="24"/>
          <w:szCs w:val="24"/>
          <w:highlight w:val="none"/>
        </w:rPr>
        <w:t>事故情况下产生的废水中污染物主要为pH、COD</w:t>
      </w:r>
      <w:r>
        <w:rPr>
          <w:rFonts w:hint="default" w:ascii="Times New Roman" w:hAnsi="Times New Roman" w:eastAsia="宋体" w:cs="Times New Roman"/>
          <w:color w:val="auto"/>
          <w:kern w:val="0"/>
          <w:sz w:val="24"/>
          <w:szCs w:val="24"/>
          <w:highlight w:val="none"/>
          <w:vertAlign w:val="subscript"/>
        </w:rPr>
        <w:t>Cr</w:t>
      </w:r>
      <w:r>
        <w:rPr>
          <w:rFonts w:hint="default" w:ascii="Times New Roman" w:hAnsi="Times New Roman" w:eastAsia="宋体" w:cs="Times New Roman"/>
          <w:color w:val="auto"/>
          <w:kern w:val="0"/>
          <w:sz w:val="24"/>
          <w:szCs w:val="24"/>
          <w:highlight w:val="none"/>
        </w:rPr>
        <w:t>、SS、氨氮、</w:t>
      </w:r>
      <w:r>
        <w:rPr>
          <w:rFonts w:hint="default" w:ascii="Times New Roman" w:hAnsi="Times New Roman" w:eastAsia="宋体" w:cs="Times New Roman"/>
          <w:color w:val="auto"/>
          <w:kern w:val="0"/>
          <w:sz w:val="24"/>
          <w:szCs w:val="24"/>
          <w:highlight w:val="none"/>
          <w:lang w:val="en-US" w:eastAsia="zh-CN"/>
        </w:rPr>
        <w:t>总氮、总磷、悬浮物、石油类</w:t>
      </w:r>
      <w:r>
        <w:rPr>
          <w:rFonts w:hint="default" w:ascii="Times New Roman" w:hAnsi="Times New Roman" w:eastAsia="宋体" w:cs="Times New Roman"/>
          <w:color w:val="auto"/>
          <w:kern w:val="0"/>
          <w:sz w:val="24"/>
          <w:szCs w:val="24"/>
          <w:highlight w:val="none"/>
        </w:rPr>
        <w:t>等，项目</w:t>
      </w:r>
      <w:r>
        <w:rPr>
          <w:rFonts w:hint="default" w:ascii="Times New Roman" w:hAnsi="Times New Roman" w:eastAsia="宋体" w:cs="Times New Roman"/>
          <w:color w:val="auto"/>
          <w:kern w:val="0"/>
          <w:sz w:val="24"/>
          <w:szCs w:val="24"/>
          <w:highlight w:val="none"/>
          <w:lang w:val="en-US" w:eastAsia="zh-CN"/>
        </w:rPr>
        <w:t>建成后严格按要求进行防渗，</w:t>
      </w:r>
      <w:r>
        <w:rPr>
          <w:rFonts w:hint="default" w:ascii="Times New Roman" w:hAnsi="Times New Roman" w:eastAsia="宋体" w:cs="Times New Roman"/>
          <w:color w:val="auto"/>
          <w:kern w:val="0"/>
          <w:sz w:val="24"/>
          <w:szCs w:val="24"/>
          <w:highlight w:val="none"/>
        </w:rPr>
        <w:t>防渗效果等效粘土防渗层Mb&gt;6.0m，K≤1x10</w:t>
      </w:r>
      <w:r>
        <w:rPr>
          <w:rFonts w:hint="default" w:ascii="Times New Roman" w:hAnsi="Times New Roman" w:eastAsia="宋体" w:cs="Times New Roman"/>
          <w:color w:val="auto"/>
          <w:kern w:val="0"/>
          <w:sz w:val="24"/>
          <w:szCs w:val="24"/>
          <w:highlight w:val="none"/>
          <w:vertAlign w:val="superscript"/>
        </w:rPr>
        <w:t>-7</w:t>
      </w:r>
      <w:r>
        <w:rPr>
          <w:rFonts w:hint="default" w:ascii="Times New Roman" w:hAnsi="Times New Roman" w:eastAsia="宋体" w:cs="Times New Roman"/>
          <w:color w:val="auto"/>
          <w:kern w:val="0"/>
          <w:sz w:val="24"/>
          <w:szCs w:val="24"/>
          <w:highlight w:val="none"/>
        </w:rPr>
        <w:t>cm/s。</w:t>
      </w:r>
    </w:p>
    <w:p w14:paraId="1B31D84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3、防渗层维护</w:t>
      </w:r>
    </w:p>
    <w:p w14:paraId="4A1316A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highlight w:val="none"/>
        </w:rPr>
        <w:t>项目日常运营过程，要定</w:t>
      </w:r>
      <w:r>
        <w:rPr>
          <w:rFonts w:hint="default" w:ascii="Times New Roman" w:hAnsi="Times New Roman" w:eastAsia="宋体" w:cs="Times New Roman"/>
          <w:color w:val="auto"/>
          <w:kern w:val="0"/>
          <w:sz w:val="24"/>
          <w:szCs w:val="24"/>
        </w:rPr>
        <w:t>期对防渗措施进行检查和维护，确保防渗层的防渗效果，一旦发现防渗层有开裂、腐蚀等问题，应及时修补，避免事故状态下对厂区地下水造成污染。</w:t>
      </w:r>
    </w:p>
    <w:p w14:paraId="1276377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经采取上述措施后</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事故状态下产生的废水对区域地下水周围环境的影响较小。</w:t>
      </w:r>
    </w:p>
    <w:p w14:paraId="4886FAEF">
      <w:pPr>
        <w:pStyle w:val="107"/>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val="en-US" w:eastAsia="zh-CN"/>
        </w:rPr>
      </w:pPr>
      <w:bookmarkStart w:id="89" w:name="_Toc24090"/>
      <w:r>
        <w:rPr>
          <w:rFonts w:hint="default" w:ascii="Times New Roman" w:hAnsi="Times New Roman" w:eastAsia="宋体" w:cs="Times New Roman"/>
          <w:b/>
          <w:bCs w:val="0"/>
          <w:color w:val="auto"/>
          <w:sz w:val="30"/>
          <w:szCs w:val="30"/>
          <w:shd w:val="clear" w:color="auto" w:fill="auto"/>
          <w:lang w:val="en-US" w:eastAsia="zh-CN"/>
        </w:rPr>
        <w:t>7.4事故处理措施事故监测</w:t>
      </w:r>
      <w:bookmarkEnd w:id="89"/>
    </w:p>
    <w:p w14:paraId="33DBACD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lang w:eastAsia="zh-CN"/>
        </w:rPr>
      </w:pPr>
      <w:r>
        <w:rPr>
          <w:rFonts w:hint="default" w:ascii="Times New Roman" w:hAnsi="Times New Roman" w:eastAsia="宋体" w:cs="Times New Roman"/>
          <w:color w:val="auto"/>
          <w:kern w:val="0"/>
          <w:sz w:val="24"/>
          <w:szCs w:val="32"/>
        </w:rPr>
        <w:t>根据《突发环境事件应急监测技术规范》（HJ589-2021），加强对突发环境事件的预警和环境安全风险源单位的监管，健全环境安全预警体系，确保环境安全，特制定本方案</w:t>
      </w:r>
      <w:r>
        <w:rPr>
          <w:rFonts w:hint="default" w:ascii="Times New Roman" w:hAnsi="Times New Roman" w:eastAsia="宋体" w:cs="Times New Roman"/>
          <w:color w:val="auto"/>
          <w:kern w:val="0"/>
          <w:sz w:val="24"/>
          <w:szCs w:val="32"/>
          <w:lang w:eastAsia="zh-CN"/>
        </w:rPr>
        <w:t>。</w:t>
      </w:r>
    </w:p>
    <w:p w14:paraId="6BD7B2F1">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0" w:name="_Toc5981"/>
      <w:r>
        <w:rPr>
          <w:rFonts w:hint="default" w:ascii="Times New Roman" w:hAnsi="Times New Roman" w:eastAsia="宋体" w:cs="Times New Roman"/>
          <w:b/>
          <w:color w:val="auto"/>
          <w:sz w:val="28"/>
          <w:szCs w:val="28"/>
          <w:lang w:val="en-US" w:eastAsia="zh-CN"/>
        </w:rPr>
        <w:t>7.4.1 响应启动</w:t>
      </w:r>
      <w:bookmarkEnd w:id="90"/>
    </w:p>
    <w:p w14:paraId="6DDCB575">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lang w:eastAsia="zh-CN"/>
        </w:rPr>
      </w:pPr>
      <w:r>
        <w:rPr>
          <w:rFonts w:hint="default" w:ascii="Times New Roman" w:hAnsi="Times New Roman" w:eastAsia="宋体" w:cs="Times New Roman"/>
          <w:color w:val="auto"/>
          <w:kern w:val="0"/>
          <w:sz w:val="24"/>
          <w:szCs w:val="32"/>
        </w:rPr>
        <w:t>环境监测组成员在接到监测任务指令后，立即启动应急监测方案，快速组织本小组成员，赶赴事件现场开展应急监测。若需外部应急监测部门介入，企业环境监测组成员应将外部监测人员带至事故现场，协助监测部门进行环境监测，同时填写《突发环境事件应急监测任务单》，详细记录事件的情况</w:t>
      </w:r>
      <w:r>
        <w:rPr>
          <w:rFonts w:hint="default" w:ascii="Times New Roman" w:hAnsi="Times New Roman" w:eastAsia="宋体" w:cs="Times New Roman"/>
          <w:color w:val="auto"/>
          <w:kern w:val="0"/>
          <w:sz w:val="24"/>
          <w:szCs w:val="32"/>
          <w:lang w:eastAsia="zh-CN"/>
        </w:rPr>
        <w:t>。</w:t>
      </w:r>
    </w:p>
    <w:p w14:paraId="319DA79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rPr>
      </w:pPr>
      <w:r>
        <w:rPr>
          <w:rFonts w:hint="default" w:ascii="Times New Roman" w:hAnsi="Times New Roman" w:eastAsia="宋体" w:cs="Times New Roman"/>
          <w:color w:val="auto"/>
          <w:kern w:val="0"/>
          <w:sz w:val="24"/>
          <w:szCs w:val="32"/>
        </w:rPr>
        <w:t>公司内部应急监测可由</w:t>
      </w:r>
      <w:r>
        <w:rPr>
          <w:rFonts w:hint="default" w:ascii="Times New Roman" w:hAnsi="Times New Roman" w:eastAsia="宋体" w:cs="Times New Roman"/>
          <w:color w:val="auto"/>
          <w:kern w:val="0"/>
          <w:sz w:val="24"/>
          <w:szCs w:val="32"/>
          <w:lang w:val="en-US" w:eastAsia="zh-CN"/>
        </w:rPr>
        <w:t>应急监测组</w:t>
      </w:r>
      <w:r>
        <w:rPr>
          <w:rFonts w:hint="default" w:ascii="Times New Roman" w:hAnsi="Times New Roman" w:eastAsia="宋体" w:cs="Times New Roman"/>
          <w:color w:val="auto"/>
          <w:kern w:val="0"/>
          <w:sz w:val="24"/>
          <w:szCs w:val="32"/>
        </w:rPr>
        <w:t>组织，负责携带大气速测仪等必要监测设施及时到达现场，对大气及水体进行取样监测，并跟踪到下风向一定范围内进行采样。按事故类型，对相关地点进行紧急高频次监测，根据事故情况选择监测项目，随时监控污染状况，为应急指挥、紧急疏散及上级监测部门进行应急监测提供依据。</w:t>
      </w:r>
    </w:p>
    <w:p w14:paraId="6B60D406">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rPr>
      </w:pPr>
      <w:r>
        <w:rPr>
          <w:rFonts w:hint="default" w:ascii="Times New Roman" w:hAnsi="Times New Roman" w:eastAsia="宋体" w:cs="Times New Roman"/>
          <w:color w:val="auto"/>
          <w:kern w:val="0"/>
          <w:sz w:val="24"/>
          <w:szCs w:val="32"/>
        </w:rPr>
        <w:t>外部监测队伍由</w:t>
      </w:r>
      <w:r>
        <w:rPr>
          <w:rFonts w:hint="eastAsia" w:cs="Times New Roman"/>
          <w:color w:val="auto"/>
          <w:kern w:val="0"/>
          <w:sz w:val="24"/>
          <w:szCs w:val="32"/>
          <w:lang w:val="en-US" w:eastAsia="zh-CN"/>
        </w:rPr>
        <w:t>淄川区</w:t>
      </w:r>
      <w:r>
        <w:rPr>
          <w:rFonts w:hint="default" w:ascii="Times New Roman" w:hAnsi="Times New Roman" w:eastAsia="宋体" w:cs="Times New Roman"/>
          <w:color w:val="auto"/>
          <w:kern w:val="0"/>
          <w:sz w:val="24"/>
          <w:szCs w:val="32"/>
        </w:rPr>
        <w:t>突发环境事件应急监测组，淄博市生态环境局</w:t>
      </w:r>
      <w:r>
        <w:rPr>
          <w:rFonts w:hint="eastAsia" w:cs="Times New Roman"/>
          <w:color w:val="auto"/>
          <w:kern w:val="0"/>
          <w:sz w:val="24"/>
          <w:szCs w:val="32"/>
          <w:lang w:val="en-US" w:eastAsia="zh-CN"/>
        </w:rPr>
        <w:t>淄川分局</w:t>
      </w:r>
      <w:r>
        <w:rPr>
          <w:rFonts w:hint="default" w:ascii="Times New Roman" w:hAnsi="Times New Roman" w:eastAsia="宋体" w:cs="Times New Roman"/>
          <w:color w:val="auto"/>
          <w:kern w:val="0"/>
          <w:sz w:val="24"/>
          <w:szCs w:val="32"/>
        </w:rPr>
        <w:t>、</w:t>
      </w:r>
      <w:r>
        <w:rPr>
          <w:rFonts w:hint="default" w:ascii="Times New Roman" w:hAnsi="Times New Roman" w:eastAsia="宋体" w:cs="Times New Roman"/>
          <w:color w:val="auto"/>
          <w:kern w:val="0"/>
          <w:sz w:val="24"/>
          <w:szCs w:val="32"/>
          <w:lang w:val="en-US" w:eastAsia="zh-CN"/>
        </w:rPr>
        <w:t>第三方应急检测单位</w:t>
      </w:r>
      <w:r>
        <w:rPr>
          <w:rFonts w:hint="default" w:ascii="Times New Roman" w:hAnsi="Times New Roman" w:eastAsia="宋体" w:cs="Times New Roman"/>
          <w:color w:val="auto"/>
          <w:kern w:val="0"/>
          <w:sz w:val="24"/>
          <w:szCs w:val="32"/>
        </w:rPr>
        <w:t>有关人员组成。负责对污染现场的应急监测工作，指导检查各公司监测部门的应急监测工作；负责对污染实施跟踪监测，为应急工作终止提供科学依据。</w:t>
      </w:r>
    </w:p>
    <w:p w14:paraId="3B976F67">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1" w:name="_Toc6843"/>
      <w:r>
        <w:rPr>
          <w:rFonts w:hint="default" w:ascii="Times New Roman" w:hAnsi="Times New Roman" w:eastAsia="宋体" w:cs="Times New Roman"/>
          <w:b/>
          <w:color w:val="auto"/>
          <w:sz w:val="28"/>
          <w:szCs w:val="28"/>
          <w:lang w:val="en-US" w:eastAsia="zh-CN"/>
        </w:rPr>
        <w:t>7.4.2现场调查与污染物初步判别</w:t>
      </w:r>
      <w:bookmarkEnd w:id="91"/>
    </w:p>
    <w:p w14:paraId="34C3F2F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应急监测人员到达事件现场后，立即开展现场调查，填写《应急监测现场调查记录单》。主要调查内容包括：事件发生原因、过程；主要污染种类、理化性质及毒性；扩散途径，污染范围及污染程度；周边敏感目标等</w:t>
      </w:r>
      <w:r>
        <w:rPr>
          <w:rFonts w:hint="default" w:ascii="Times New Roman" w:hAnsi="Times New Roman" w:eastAsia="宋体" w:cs="Times New Roman"/>
          <w:color w:val="auto"/>
          <w:kern w:val="0"/>
          <w:sz w:val="24"/>
          <w:szCs w:val="24"/>
          <w:lang w:eastAsia="zh-CN"/>
        </w:rPr>
        <w:t>。</w:t>
      </w:r>
    </w:p>
    <w:p w14:paraId="6943F6C2">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2" w:name="_Toc21022"/>
      <w:r>
        <w:rPr>
          <w:rFonts w:hint="default" w:ascii="Times New Roman" w:hAnsi="Times New Roman" w:eastAsia="宋体" w:cs="Times New Roman"/>
          <w:b/>
          <w:color w:val="auto"/>
          <w:sz w:val="28"/>
          <w:szCs w:val="28"/>
          <w:lang w:val="en-US" w:eastAsia="zh-CN"/>
        </w:rPr>
        <w:t>7.4.3监测点位布设</w:t>
      </w:r>
      <w:bookmarkEnd w:id="92"/>
    </w:p>
    <w:p w14:paraId="212AC41E">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大气：应尽可能在事故发生地就近采样，并以事故点为中心，根据事故发生地的地理特点、风向及其他自然条件，在事故发生地下风向影响区域、掩体或低洼地等位置，按一定间隔的圆形布点采样，并根据污染物的特性在不同高度采样，同时在事故点的上风向适当位置布设对照点，在距事故发生地最近的居民住宅区布点采样，采样过程中应注意风向的变化，及时调整采样点位置</w:t>
      </w:r>
      <w:r>
        <w:rPr>
          <w:rFonts w:hint="eastAsia" w:cs="Times New Roman"/>
          <w:color w:val="auto"/>
          <w:kern w:val="0"/>
          <w:sz w:val="24"/>
          <w:szCs w:val="24"/>
          <w:lang w:val="en-US" w:eastAsia="zh-CN" w:bidi="ar"/>
        </w:rPr>
        <w:t>。</w:t>
      </w:r>
    </w:p>
    <w:p w14:paraId="0D2BDD3B">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2、地表水：监测点位以附近</w:t>
      </w:r>
      <w:r>
        <w:rPr>
          <w:rFonts w:hint="eastAsia" w:cs="Times New Roman"/>
          <w:color w:val="auto"/>
          <w:kern w:val="0"/>
          <w:sz w:val="24"/>
          <w:szCs w:val="24"/>
          <w:lang w:val="en-US" w:eastAsia="zh-CN"/>
        </w:rPr>
        <w:t>孝妇河</w:t>
      </w:r>
      <w:r>
        <w:rPr>
          <w:rFonts w:hint="default" w:ascii="Times New Roman" w:hAnsi="Times New Roman" w:eastAsia="宋体" w:cs="Times New Roman"/>
          <w:color w:val="auto"/>
          <w:kern w:val="0"/>
          <w:sz w:val="24"/>
          <w:szCs w:val="24"/>
        </w:rPr>
        <w:t>水体上下游断面为主，根据水流方向、扩散速度（或流速）和现场具体情况（如地形地貌等）进行布点采样，同时应测定流量。对厂区周边水体监测应在事故发生地及下游布设若干点，同时在事故发生地上游一定距离布设对照断面（点）。如河流流速很小或基本静止，可根据污染物的特性在不同水层采样；在事故影响区域内饮用水和农灌区取水口必须设置采样断面（点）。</w:t>
      </w:r>
    </w:p>
    <w:p w14:paraId="30233D3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3、地下水：应以事故发生地为中心，根据本地区地下水流向采用网格法或辐射法在周围2km内布设监测井采样，</w:t>
      </w:r>
      <w:r>
        <w:rPr>
          <w:rFonts w:hint="default" w:ascii="Times New Roman" w:hAnsi="Times New Roman" w:eastAsia="宋体" w:cs="Times New Roman"/>
          <w:color w:val="auto"/>
          <w:kern w:val="0"/>
          <w:sz w:val="24"/>
          <w:szCs w:val="24"/>
          <w:lang w:eastAsia="zh-CN"/>
        </w:rPr>
        <w:t>同时</w:t>
      </w:r>
      <w:r>
        <w:rPr>
          <w:rFonts w:hint="default" w:ascii="Times New Roman" w:hAnsi="Times New Roman" w:eastAsia="宋体" w:cs="Times New Roman"/>
          <w:color w:val="auto"/>
          <w:kern w:val="0"/>
          <w:sz w:val="24"/>
          <w:szCs w:val="24"/>
        </w:rPr>
        <w:t>视地下水主要补给来源，在垂直于地下水流的上方向，设置对照监测井采样，在以地下水为饮用水源的取水处必须设置采样点。</w:t>
      </w:r>
    </w:p>
    <w:p w14:paraId="72F1257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4、土壤：应以事故发生地为中心，在事故发生地及周围一定距离内的区域按一定的间隔圆形布点采样，并根据污染物的特性在不同深度采样，同时采集未受污染区域的样品作为对照样品。必要时还应采集事故地附近的作物样品。</w:t>
      </w:r>
    </w:p>
    <w:p w14:paraId="161C1872">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3" w:name="_Toc15026"/>
      <w:r>
        <w:rPr>
          <w:rFonts w:hint="default" w:ascii="Times New Roman" w:hAnsi="Times New Roman" w:eastAsia="宋体" w:cs="Times New Roman"/>
          <w:b/>
          <w:color w:val="auto"/>
          <w:sz w:val="28"/>
          <w:szCs w:val="28"/>
          <w:lang w:val="en-US" w:eastAsia="zh-CN"/>
        </w:rPr>
        <w:t>7.4.4 监测项目</w:t>
      </w:r>
      <w:bookmarkEnd w:id="93"/>
    </w:p>
    <w:p w14:paraId="3014F31D">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根据企业内部的污染物排放情况，本次突发环境事件情况下废水、废气的应急监测项目如下：</w:t>
      </w:r>
    </w:p>
    <w:p w14:paraId="0C4FFBB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1、地表水监测内容包括：pH、COD</w:t>
      </w:r>
      <w:r>
        <w:rPr>
          <w:rFonts w:hint="default" w:ascii="Times New Roman" w:hAnsi="Times New Roman" w:eastAsia="宋体" w:cs="Times New Roman"/>
          <w:color w:val="auto"/>
          <w:kern w:val="0"/>
          <w:sz w:val="24"/>
          <w:szCs w:val="24"/>
          <w:highlight w:val="none"/>
          <w:vertAlign w:val="subscript"/>
        </w:rPr>
        <w:t>Cr</w:t>
      </w:r>
      <w:r>
        <w:rPr>
          <w:rFonts w:hint="default" w:ascii="Times New Roman" w:hAnsi="Times New Roman" w:eastAsia="宋体" w:cs="Times New Roman"/>
          <w:color w:val="auto"/>
          <w:kern w:val="0"/>
          <w:sz w:val="24"/>
          <w:szCs w:val="24"/>
          <w:highlight w:val="none"/>
        </w:rPr>
        <w:t>、SS、氨氮、</w:t>
      </w:r>
      <w:r>
        <w:rPr>
          <w:rFonts w:hint="default" w:ascii="Times New Roman" w:hAnsi="Times New Roman" w:eastAsia="宋体" w:cs="Times New Roman"/>
          <w:color w:val="auto"/>
          <w:kern w:val="0"/>
          <w:sz w:val="24"/>
          <w:szCs w:val="24"/>
          <w:highlight w:val="none"/>
          <w:lang w:val="en-US" w:eastAsia="zh-CN"/>
        </w:rPr>
        <w:t>总氮、总磷、悬浮物、石油类</w:t>
      </w:r>
      <w:r>
        <w:rPr>
          <w:rFonts w:hint="default" w:ascii="Times New Roman" w:hAnsi="Times New Roman" w:eastAsia="宋体" w:cs="Times New Roman"/>
          <w:color w:val="auto"/>
          <w:kern w:val="0"/>
          <w:sz w:val="24"/>
          <w:szCs w:val="24"/>
          <w:highlight w:val="none"/>
        </w:rPr>
        <w:t>等；</w:t>
      </w:r>
    </w:p>
    <w:p w14:paraId="0E13084C">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地下水主要监测因子确定为</w:t>
      </w:r>
      <w:r>
        <w:rPr>
          <w:rFonts w:hint="default" w:ascii="Times New Roman" w:hAnsi="Times New Roman" w:eastAsia="宋体" w:cs="Times New Roman"/>
          <w:color w:val="auto"/>
          <w:sz w:val="24"/>
          <w:szCs w:val="24"/>
          <w:highlight w:val="none"/>
          <w:lang w:eastAsia="zh-CN"/>
        </w:rPr>
        <w:t>K</w:t>
      </w:r>
      <w:r>
        <w:rPr>
          <w:rFonts w:hint="default" w:ascii="Times New Roman" w:hAnsi="Times New Roman" w:eastAsia="宋体" w:cs="Times New Roman"/>
          <w:color w:val="auto"/>
          <w:sz w:val="24"/>
          <w:szCs w:val="24"/>
          <w:highlight w:val="none"/>
          <w:vertAlign w:val="superscript"/>
          <w:lang w:eastAsia="zh-CN"/>
        </w:rPr>
        <w:t>+</w:t>
      </w:r>
      <w:r>
        <w:rPr>
          <w:rFonts w:hint="default" w:ascii="Times New Roman" w:hAnsi="Times New Roman" w:eastAsia="宋体" w:cs="Times New Roman"/>
          <w:color w:val="auto"/>
          <w:sz w:val="24"/>
          <w:szCs w:val="24"/>
          <w:highlight w:val="none"/>
          <w:lang w:eastAsia="zh-CN"/>
        </w:rPr>
        <w:t>、Na</w:t>
      </w:r>
      <w:r>
        <w:rPr>
          <w:rFonts w:hint="default" w:ascii="Times New Roman" w:hAnsi="Times New Roman" w:eastAsia="宋体" w:cs="Times New Roman"/>
          <w:color w:val="auto"/>
          <w:sz w:val="24"/>
          <w:szCs w:val="24"/>
          <w:highlight w:val="none"/>
          <w:vertAlign w:val="superscript"/>
          <w:lang w:eastAsia="zh-CN"/>
        </w:rPr>
        <w:t>+</w:t>
      </w:r>
      <w:r>
        <w:rPr>
          <w:rFonts w:hint="default" w:ascii="Times New Roman" w:hAnsi="Times New Roman" w:eastAsia="宋体" w:cs="Times New Roman"/>
          <w:color w:val="auto"/>
          <w:sz w:val="24"/>
          <w:szCs w:val="24"/>
          <w:highlight w:val="none"/>
          <w:lang w:eastAsia="zh-CN"/>
        </w:rPr>
        <w:t>、Ca</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、Mg</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、CO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、HCO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vertAlign w:val="superscript"/>
          <w:lang w:eastAsia="zh-CN"/>
        </w:rPr>
        <w:t>-</w:t>
      </w:r>
      <w:r>
        <w:rPr>
          <w:rFonts w:hint="default" w:ascii="Times New Roman" w:hAnsi="Times New Roman" w:eastAsia="宋体" w:cs="Times New Roman"/>
          <w:color w:val="auto"/>
          <w:sz w:val="24"/>
          <w:szCs w:val="24"/>
          <w:highlight w:val="none"/>
          <w:lang w:eastAsia="zh-CN"/>
        </w:rPr>
        <w:t>、pH、总硬度、溶解性总固体、氨氮、耗氧量、硫酸盐、硝酸盐氮、亚硝酸盐氮、石油类、挥发酚、氟化物、氰化物、氯化物、铁、锰、铅、汞、镉、六价铬、砷、总大肠菌群、菌落总数等</w:t>
      </w:r>
      <w:r>
        <w:rPr>
          <w:rFonts w:hint="default" w:ascii="Times New Roman" w:hAnsi="Times New Roman" w:eastAsia="宋体" w:cs="Times New Roman"/>
          <w:color w:val="auto"/>
          <w:kern w:val="0"/>
          <w:sz w:val="24"/>
          <w:szCs w:val="24"/>
          <w:highlight w:val="none"/>
        </w:rPr>
        <w:t>。根据事故类型进行选取。</w:t>
      </w:r>
    </w:p>
    <w:p w14:paraId="30C4518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2、废气监测内容包括：烟尘、CO</w:t>
      </w:r>
      <w:r>
        <w:rPr>
          <w:rFonts w:hint="default" w:ascii="Times New Roman" w:hAnsi="Times New Roman" w:eastAsia="宋体"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臭气浓度</w:t>
      </w:r>
      <w:r>
        <w:rPr>
          <w:rFonts w:hint="default" w:ascii="Times New Roman" w:hAnsi="Times New Roman" w:eastAsia="宋体" w:cs="Times New Roman"/>
          <w:color w:val="auto"/>
          <w:kern w:val="0"/>
          <w:sz w:val="24"/>
          <w:szCs w:val="24"/>
          <w:highlight w:val="none"/>
        </w:rPr>
        <w:t>等。</w:t>
      </w:r>
    </w:p>
    <w:p w14:paraId="0574B75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3、土壤检测内容包括：</w:t>
      </w:r>
      <w:r>
        <w:rPr>
          <w:rFonts w:hint="default" w:ascii="Times New Roman" w:hAnsi="Times New Roman" w:eastAsia="宋体" w:cs="Times New Roman"/>
          <w:color w:val="auto"/>
          <w:kern w:val="0"/>
          <w:sz w:val="24"/>
          <w:szCs w:val="24"/>
          <w:highlight w:val="none"/>
          <w:lang w:val="en-US" w:eastAsia="zh-CN"/>
        </w:rPr>
        <w:t>pH</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kern w:val="0"/>
          <w:sz w:val="24"/>
          <w:szCs w:val="24"/>
          <w:highlight w:val="none"/>
          <w:lang w:val="en-US" w:eastAsia="zh-CN"/>
        </w:rPr>
        <w:t>石油烃</w:t>
      </w:r>
    </w:p>
    <w:p w14:paraId="76787EF1">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4" w:name="_Toc6953"/>
      <w:r>
        <w:rPr>
          <w:rFonts w:hint="default" w:ascii="Times New Roman" w:hAnsi="Times New Roman" w:eastAsia="宋体" w:cs="Times New Roman"/>
          <w:b/>
          <w:color w:val="auto"/>
          <w:sz w:val="28"/>
          <w:szCs w:val="28"/>
          <w:lang w:val="en-US" w:eastAsia="zh-CN"/>
        </w:rPr>
        <w:t>7.4.5 监测频次</w:t>
      </w:r>
      <w:bookmarkEnd w:id="94"/>
    </w:p>
    <w:p w14:paraId="0FB7A06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根据污染物泄漏未经收集进入附近河流持续的时间决定监测时间，根据事故严重性决定监测频次。一般情况下每</w:t>
      </w:r>
      <w:r>
        <w:rPr>
          <w:rFonts w:hint="default" w:ascii="Times New Roman" w:hAnsi="Times New Roman" w:eastAsia="宋体" w:cs="Times New Roman"/>
          <w:color w:val="auto"/>
          <w:kern w:val="0"/>
          <w:sz w:val="24"/>
          <w:szCs w:val="24"/>
          <w:highlight w:val="none"/>
          <w:lang w:val="en-US" w:eastAsia="zh-CN"/>
        </w:rPr>
        <w:t>15min</w:t>
      </w:r>
      <w:r>
        <w:rPr>
          <w:rFonts w:hint="default" w:ascii="Times New Roman" w:hAnsi="Times New Roman" w:eastAsia="宋体" w:cs="Times New Roman"/>
          <w:color w:val="auto"/>
          <w:kern w:val="0"/>
          <w:sz w:val="24"/>
          <w:szCs w:val="24"/>
          <w:highlight w:val="none"/>
        </w:rPr>
        <w:t>取样一次。随事故控制减弱，适当减少监测频次</w:t>
      </w:r>
      <w:r>
        <w:rPr>
          <w:rFonts w:hint="default" w:ascii="Times New Roman" w:hAnsi="Times New Roman" w:eastAsia="宋体" w:cs="Times New Roman"/>
          <w:color w:val="auto"/>
          <w:kern w:val="0"/>
          <w:sz w:val="24"/>
          <w:szCs w:val="24"/>
          <w:highlight w:val="none"/>
          <w:lang w:eastAsia="zh-CN"/>
        </w:rPr>
        <w:t>。</w:t>
      </w:r>
    </w:p>
    <w:p w14:paraId="606B319F">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5" w:name="_Toc6107"/>
      <w:r>
        <w:rPr>
          <w:rFonts w:hint="default" w:ascii="Times New Roman" w:hAnsi="Times New Roman" w:eastAsia="宋体" w:cs="Times New Roman"/>
          <w:b/>
          <w:color w:val="auto"/>
          <w:sz w:val="28"/>
          <w:szCs w:val="28"/>
          <w:lang w:val="en-US" w:eastAsia="zh-CN"/>
        </w:rPr>
        <w:t>7.4.6污染物现场应急监测方法</w:t>
      </w:r>
      <w:bookmarkEnd w:id="95"/>
    </w:p>
    <w:p w14:paraId="764CF6D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现场应急监测方法要求包括</w:t>
      </w:r>
      <w:r>
        <w:rPr>
          <w:rFonts w:hint="default" w:ascii="Times New Roman" w:hAnsi="Times New Roman" w:eastAsia="宋体" w:cs="Times New Roman"/>
          <w:color w:val="auto"/>
          <w:kern w:val="0"/>
          <w:sz w:val="24"/>
          <w:szCs w:val="24"/>
          <w:highlight w:val="none"/>
          <w:lang w:eastAsia="zh-CN"/>
        </w:rPr>
        <w:t>：</w:t>
      </w:r>
    </w:p>
    <w:p w14:paraId="35E004E5">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样品不易保存或对于污染追踪阶段，优先选用现场快速测定的方法，并在监测报告中注明，现场监测的项目，应首选对样品前处理要求低，可直接选数，能给出定性，半定最或定量检测结果的快速标准分析方法，无标准分析方法的项目，优先选择检测结果准确程度高的快速检测方法和检测仪器。现场无法测定的项目，应迅速送至实验室分析；</w:t>
      </w:r>
    </w:p>
    <w:p w14:paraId="09807CE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b</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可根据实际情况，利用事件现场周围的环境质量自动监测站和污染源在线监测系统等作为补充监测手段，也可采用生物监测、无人机监测、激光雷达探测等新型监测技术手段辅助监测；</w:t>
      </w:r>
    </w:p>
    <w:p w14:paraId="3F2A5B7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c</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对于影响事件处置、司法鉴定或损害评估判定结果的关键样品，应优先采用国家标准或行业标准方法测定；</w:t>
      </w:r>
    </w:p>
    <w:p w14:paraId="6EC47E63">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d</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当需要开展跨界联合监测或多地、多部门联动监测时，各监测方应统一采用应急监测现场指挥部确定的应急监测方法。不能统一监测方法的，应做好方法间的比对验证。</w:t>
      </w:r>
    </w:p>
    <w:p w14:paraId="0FA8BC7B">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6" w:name="_Toc16757"/>
      <w:r>
        <w:rPr>
          <w:rFonts w:hint="default" w:ascii="Times New Roman" w:hAnsi="Times New Roman" w:eastAsia="宋体" w:cs="Times New Roman"/>
          <w:b/>
          <w:color w:val="auto"/>
          <w:sz w:val="28"/>
          <w:szCs w:val="28"/>
          <w:lang w:val="en-US" w:eastAsia="zh-CN"/>
        </w:rPr>
        <w:t>7.4.7现场采样与监测</w:t>
      </w:r>
      <w:bookmarkEnd w:id="96"/>
    </w:p>
    <w:p w14:paraId="04656FD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采样人员应配备少量空气瓶等及现场气体采样器、采样袋，通讯联络器材、交通车辆等，配合并协助当地环保局进行监测。凡是具备现场测定条件的监测项目，应现场进行测定。需误实验室进行分析的样品，应按《突发环境事件应急监测技术规范》相关要求进行保存和运输。对于应急监测人员难以进入的污染核心区或其他监测点位，可采用无人机监测等监测手段进行。</w:t>
      </w:r>
    </w:p>
    <w:p w14:paraId="788F43E4">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7" w:name="_Toc14283"/>
      <w:r>
        <w:rPr>
          <w:rFonts w:hint="default" w:ascii="Times New Roman" w:hAnsi="Times New Roman" w:eastAsia="宋体" w:cs="Times New Roman"/>
          <w:b/>
          <w:color w:val="auto"/>
          <w:sz w:val="28"/>
          <w:szCs w:val="28"/>
          <w:lang w:val="en-US" w:eastAsia="zh-CN"/>
        </w:rPr>
        <w:t>7.4.8监测人员的防护措施</w:t>
      </w:r>
      <w:bookmarkEnd w:id="97"/>
    </w:p>
    <w:p w14:paraId="31641AB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进入事件现场的应急监测人员，应注意自身安全防护，至少2人同行。现场应急采样、监测人员应根据事故的工况，配齐防护用具，要求</w:t>
      </w:r>
      <w:r>
        <w:rPr>
          <w:rFonts w:hint="default" w:ascii="Times New Roman" w:hAnsi="Times New Roman" w:eastAsia="宋体" w:cs="Times New Roman"/>
          <w:color w:val="auto"/>
          <w:kern w:val="0"/>
          <w:sz w:val="24"/>
          <w:szCs w:val="24"/>
          <w:highlight w:val="none"/>
          <w:lang w:eastAsia="zh-CN"/>
        </w:rPr>
        <w:t>穿戴</w:t>
      </w:r>
      <w:r>
        <w:rPr>
          <w:rFonts w:hint="default" w:ascii="Times New Roman" w:hAnsi="Times New Roman" w:eastAsia="宋体" w:cs="Times New Roman"/>
          <w:color w:val="auto"/>
          <w:kern w:val="0"/>
          <w:sz w:val="24"/>
          <w:szCs w:val="24"/>
          <w:highlight w:val="none"/>
        </w:rPr>
        <w:t>防护服、防毒面具、安全报警装置等防护器材，未经现场指挥或警戒人员许可，不应随意进入事件现场进行采样监测。</w:t>
      </w:r>
    </w:p>
    <w:p w14:paraId="6C757F29">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98" w:name="_Toc17614"/>
      <w:r>
        <w:rPr>
          <w:rFonts w:hint="default" w:ascii="Times New Roman" w:hAnsi="Times New Roman" w:eastAsia="宋体" w:cs="Times New Roman"/>
          <w:b/>
          <w:color w:val="auto"/>
          <w:sz w:val="28"/>
          <w:szCs w:val="28"/>
          <w:lang w:val="en-US" w:eastAsia="zh-CN"/>
        </w:rPr>
        <w:t>7.4.9应急监测终止</w:t>
      </w:r>
      <w:bookmarkEnd w:id="98"/>
    </w:p>
    <w:p w14:paraId="7F3E9D75">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当应急指挥机构终止应急响应或批准应急监测终止建议时，方可终止应急监测。</w:t>
      </w:r>
    </w:p>
    <w:p w14:paraId="49B6EDAE">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highlight w:val="none"/>
          <w:lang w:val="en-US" w:eastAsia="zh-CN"/>
        </w:rPr>
      </w:pPr>
      <w:bookmarkStart w:id="99" w:name="_Toc12645"/>
      <w:r>
        <w:rPr>
          <w:rFonts w:hint="default" w:ascii="Times New Roman" w:hAnsi="Times New Roman" w:eastAsia="宋体" w:cs="Times New Roman"/>
          <w:b/>
          <w:color w:val="auto"/>
          <w:sz w:val="28"/>
          <w:szCs w:val="28"/>
          <w:highlight w:val="none"/>
          <w:lang w:val="en-US" w:eastAsia="zh-CN"/>
        </w:rPr>
        <w:t>7.4.10 区域环境风险防范措施</w:t>
      </w:r>
      <w:bookmarkEnd w:id="99"/>
    </w:p>
    <w:p w14:paraId="3D1E8FB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val="en-US" w:eastAsia="zh-CN"/>
        </w:rPr>
        <w:t xml:space="preserve">区域应建设水环境风险防范三级风险防控体系：第一级风险防控体系——企业设置围堰、防火堤、雨污切换阀等防范设施，确保事故废水在企业界区内得到有效收集、处理。第二级风险防控体系——区域雨水管网排放口设置截止阀，区域建立多个事故泄漏物料和消防液的收集池，确保事故废水在区域内得到有效收集。第三级风险防控体系——所在区域污水处理厂应急处置，包括设置事故应急池、集水池等事故废水暂存设施，采取分批处置的方式实现达标排放，确保事故废水的有效收集及处置。 </w:t>
      </w:r>
    </w:p>
    <w:p w14:paraId="07F5FD1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val="en-US" w:eastAsia="zh-CN"/>
        </w:rPr>
        <w:t>企业严格按设计规范进行生产装置、雨、污分流管道及厂区应急池的建设，发生泄漏事故或火灾爆炸事故时，封堵可能被污染的厂区雨水收集口，将事故消防废水引入厂区应急池；企业风险事故时收集的废液和消防废水，可委托资质单位进行处理。</w:t>
      </w:r>
    </w:p>
    <w:p w14:paraId="6497DA85">
      <w:pPr>
        <w:pStyle w:val="10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100" w:name="_Toc17838"/>
      <w:r>
        <w:rPr>
          <w:rFonts w:hint="default" w:ascii="Times New Roman" w:hAnsi="Times New Roman" w:eastAsia="宋体" w:cs="Times New Roman"/>
          <w:b/>
          <w:color w:val="auto"/>
          <w:sz w:val="28"/>
          <w:szCs w:val="28"/>
          <w:lang w:val="en-US" w:eastAsia="zh-CN"/>
        </w:rPr>
        <w:t>7.4.11其他风险防范措施</w:t>
      </w:r>
      <w:bookmarkEnd w:id="100"/>
      <w:r>
        <w:rPr>
          <w:rFonts w:hint="default" w:ascii="Times New Roman" w:hAnsi="Times New Roman" w:eastAsia="宋体" w:cs="Times New Roman"/>
          <w:b/>
          <w:color w:val="auto"/>
          <w:sz w:val="28"/>
          <w:szCs w:val="28"/>
          <w:lang w:val="en-US" w:eastAsia="zh-CN"/>
        </w:rPr>
        <w:t xml:space="preserve"> </w:t>
      </w:r>
    </w:p>
    <w:p w14:paraId="3C50439B">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项目采取的其他风险防范措施见</w:t>
      </w:r>
      <w:r>
        <w:rPr>
          <w:rFonts w:hint="default" w:ascii="Times New Roman" w:hAnsi="Times New Roman" w:eastAsia="宋体" w:cs="Times New Roman"/>
          <w:color w:val="auto"/>
          <w:kern w:val="0"/>
          <w:sz w:val="24"/>
          <w:szCs w:val="24"/>
          <w:lang w:val="en-US" w:eastAsia="zh-CN" w:bidi="ar"/>
        </w:rPr>
        <w:t xml:space="preserve">表7.4-1。 </w:t>
      </w:r>
    </w:p>
    <w:p w14:paraId="7A3051D6">
      <w:pPr>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color w:val="auto"/>
          <w:kern w:val="0"/>
          <w:szCs w:val="24"/>
        </w:rPr>
      </w:pPr>
      <w:r>
        <w:rPr>
          <w:rFonts w:hint="default" w:ascii="Times New Roman" w:hAnsi="Times New Roman" w:eastAsia="宋体" w:cs="Times New Roman"/>
          <w:b/>
          <w:bCs/>
          <w:color w:val="auto"/>
          <w:kern w:val="0"/>
          <w:sz w:val="24"/>
          <w:szCs w:val="24"/>
          <w:lang w:val="en-US" w:eastAsia="zh-CN"/>
        </w:rPr>
        <w:t>表7.4-1其它风险防范措施</w:t>
      </w:r>
    </w:p>
    <w:tbl>
      <w:tblPr>
        <w:tblStyle w:val="99"/>
        <w:tblW w:w="501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68"/>
        <w:gridCol w:w="7707"/>
      </w:tblGrid>
      <w:tr w14:paraId="437CD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trPr>
        <w:tc>
          <w:tcPr>
            <w:tcW w:w="1017" w:type="pct"/>
            <w:noWrap w:val="0"/>
            <w:vAlign w:val="center"/>
          </w:tcPr>
          <w:p w14:paraId="410D4D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总图布置</w:t>
            </w:r>
          </w:p>
        </w:tc>
        <w:tc>
          <w:tcPr>
            <w:tcW w:w="3982" w:type="pct"/>
            <w:noWrap w:val="0"/>
            <w:vAlign w:val="center"/>
          </w:tcPr>
          <w:p w14:paraId="622B15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项目由有资质单位</w:t>
            </w:r>
            <w:r>
              <w:rPr>
                <w:rFonts w:hint="default" w:ascii="Times New Roman" w:hAnsi="Times New Roman" w:eastAsia="宋体" w:cs="Times New Roman"/>
                <w:color w:val="auto"/>
                <w:spacing w:val="-2"/>
                <w:sz w:val="21"/>
                <w:szCs w:val="21"/>
              </w:rPr>
              <w:t>设计，厂内厂外卫生防护距离、安全防护距离和防火间距应满足相应要求</w:t>
            </w:r>
          </w:p>
        </w:tc>
      </w:tr>
      <w:tr w14:paraId="40F3E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1017" w:type="pct"/>
            <w:vMerge w:val="restart"/>
            <w:noWrap w:val="0"/>
            <w:vAlign w:val="center"/>
          </w:tcPr>
          <w:p w14:paraId="355C3A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建筑安全</w:t>
            </w:r>
          </w:p>
        </w:tc>
        <w:tc>
          <w:tcPr>
            <w:tcW w:w="3982" w:type="pct"/>
            <w:noWrap w:val="0"/>
            <w:vAlign w:val="center"/>
          </w:tcPr>
          <w:p w14:paraId="1DAD2C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所有建筑物均按《建筑设计防火规范》设置足够的安全疏散通道并满足其它防火疏散要求</w:t>
            </w:r>
          </w:p>
        </w:tc>
      </w:tr>
      <w:tr w14:paraId="3A494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1017" w:type="pct"/>
            <w:vMerge w:val="continue"/>
            <w:noWrap w:val="0"/>
            <w:vAlign w:val="center"/>
          </w:tcPr>
          <w:p w14:paraId="4222E3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tc>
        <w:tc>
          <w:tcPr>
            <w:tcW w:w="3982" w:type="pct"/>
            <w:noWrap w:val="0"/>
            <w:vAlign w:val="center"/>
          </w:tcPr>
          <w:p w14:paraId="4E3886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hanging="5"/>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遵照《工业建筑</w:t>
            </w:r>
            <w:r>
              <w:rPr>
                <w:rFonts w:hint="default" w:ascii="Times New Roman" w:hAnsi="Times New Roman" w:eastAsia="宋体" w:cs="Times New Roman"/>
                <w:color w:val="auto"/>
                <w:spacing w:val="-4"/>
                <w:sz w:val="21"/>
                <w:szCs w:val="21"/>
              </w:rPr>
              <w:t>防</w:t>
            </w:r>
            <w:r>
              <w:rPr>
                <w:rFonts w:hint="default" w:ascii="Times New Roman" w:hAnsi="Times New Roman" w:eastAsia="宋体" w:cs="Times New Roman"/>
                <w:color w:val="auto"/>
                <w:spacing w:val="-3"/>
                <w:sz w:val="21"/>
                <w:szCs w:val="21"/>
              </w:rPr>
              <w:t>腐蚀设计规范》，防腐蚀材料的选择应根据腐蚀介质的性质和作用条件，</w:t>
            </w:r>
            <w:r>
              <w:rPr>
                <w:rFonts w:hint="default" w:ascii="Times New Roman" w:hAnsi="Times New Roman" w:eastAsia="宋体" w:cs="Times New Roman"/>
                <w:color w:val="auto"/>
                <w:spacing w:val="-1"/>
                <w:sz w:val="21"/>
                <w:szCs w:val="21"/>
              </w:rPr>
              <w:t>结合材料的耐腐</w:t>
            </w:r>
            <w:r>
              <w:rPr>
                <w:rFonts w:hint="default" w:ascii="Times New Roman" w:hAnsi="Times New Roman" w:eastAsia="宋体" w:cs="Times New Roman"/>
                <w:color w:val="auto"/>
                <w:sz w:val="21"/>
                <w:szCs w:val="21"/>
              </w:rPr>
              <w:t>蚀性能和物理力学性能、使用位置的重要性等</w:t>
            </w:r>
          </w:p>
        </w:tc>
      </w:tr>
    </w:tbl>
    <w:p w14:paraId="71DC8A3F">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lang w:val="en-US" w:eastAsia="zh-CN"/>
        </w:rPr>
      </w:pPr>
      <w:bookmarkStart w:id="101" w:name="_Toc31704"/>
      <w:r>
        <w:rPr>
          <w:rFonts w:hint="default" w:ascii="Times New Roman" w:hAnsi="Times New Roman" w:eastAsia="宋体" w:cs="Times New Roman"/>
          <w:b/>
          <w:color w:val="auto"/>
          <w:sz w:val="30"/>
          <w:szCs w:val="30"/>
          <w:lang w:val="en-US" w:eastAsia="zh-CN"/>
        </w:rPr>
        <w:t>7.5 突发环境事件应急预案</w:t>
      </w:r>
      <w:bookmarkEnd w:id="101"/>
      <w:r>
        <w:rPr>
          <w:rFonts w:hint="default" w:ascii="Times New Roman" w:hAnsi="Times New Roman" w:eastAsia="宋体" w:cs="Times New Roman"/>
          <w:b/>
          <w:color w:val="auto"/>
          <w:sz w:val="30"/>
          <w:szCs w:val="30"/>
          <w:lang w:val="en-US" w:eastAsia="zh-CN"/>
        </w:rPr>
        <w:t xml:space="preserve"> </w:t>
      </w:r>
    </w:p>
    <w:p w14:paraId="47955D8D">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02" w:name="_Toc18636"/>
      <w:bookmarkStart w:id="103" w:name="_Toc15549"/>
      <w:bookmarkStart w:id="104" w:name="_Toc24488"/>
      <w:r>
        <w:rPr>
          <w:rFonts w:hint="default" w:ascii="Times New Roman" w:hAnsi="Times New Roman" w:eastAsia="宋体" w:cs="Times New Roman"/>
          <w:color w:val="auto"/>
          <w:kern w:val="0"/>
          <w:sz w:val="24"/>
          <w:szCs w:val="24"/>
          <w:highlight w:val="none"/>
          <w:lang w:val="en-US" w:eastAsia="zh-CN"/>
        </w:rPr>
        <w:t>项目依据《建设项目环境风险评价技术导则》（HJ169-2018）为指导，结合《突发事件应急预案管理办法》的通知（国办发〔2024〕5号）、《环境污染事故应急预案编制技术指南》、《山东省突发环境事件应急预案》（鲁政发〔2021〕14号）的规定，对新、改、扩建设项目的环境风险源识别、环境风险预测、选址及敏感目标、防范措施等如实作出评价，提出科学可行的预警监测措施、应急处置措施和应急预案。应急预案是在贯彻预防为主的前提下，针对建设项目可能出现的事故，为及时控制危害源、抢救受害人员、指导居民防护和组织撤离、消除危害后果而组织的救援活动的预想方案。</w:t>
      </w:r>
      <w:bookmarkEnd w:id="102"/>
      <w:bookmarkEnd w:id="103"/>
      <w:bookmarkEnd w:id="104"/>
    </w:p>
    <w:p w14:paraId="653B0B95">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05" w:name="_Toc24052"/>
      <w:bookmarkStart w:id="106" w:name="_Toc2831"/>
      <w:bookmarkStart w:id="107" w:name="_Toc23188"/>
      <w:r>
        <w:rPr>
          <w:rFonts w:hint="default" w:ascii="Times New Roman" w:hAnsi="Times New Roman" w:eastAsia="宋体" w:cs="Times New Roman"/>
          <w:color w:val="auto"/>
          <w:kern w:val="0"/>
          <w:sz w:val="24"/>
          <w:szCs w:val="24"/>
          <w:highlight w:val="none"/>
          <w:lang w:val="en-US" w:eastAsia="zh-CN"/>
        </w:rPr>
        <w:t>基本内容详见下表：</w:t>
      </w:r>
      <w:bookmarkEnd w:id="105"/>
      <w:bookmarkEnd w:id="106"/>
      <w:bookmarkEnd w:id="107"/>
    </w:p>
    <w:p w14:paraId="5A91E23C">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kern w:val="0"/>
          <w:sz w:val="24"/>
          <w:szCs w:val="24"/>
          <w:lang w:val="en-US" w:eastAsia="zh-CN" w:bidi="ar"/>
        </w:rPr>
      </w:pPr>
      <w:bookmarkStart w:id="108" w:name="_Toc32619"/>
      <w:bookmarkStart w:id="109" w:name="_Toc20632"/>
      <w:bookmarkStart w:id="110" w:name="_Toc9337"/>
      <w:r>
        <w:rPr>
          <w:rFonts w:hint="default" w:ascii="Times New Roman" w:hAnsi="Times New Roman" w:eastAsia="宋体" w:cs="Times New Roman"/>
          <w:b/>
          <w:bCs w:val="0"/>
          <w:color w:val="auto"/>
          <w:kern w:val="0"/>
          <w:sz w:val="24"/>
          <w:szCs w:val="24"/>
          <w:lang w:val="en-US" w:eastAsia="zh-CN" w:bidi="ar"/>
        </w:rPr>
        <w:t>表 7.5-1   应急预案基本内容</w:t>
      </w:r>
      <w:bookmarkEnd w:id="108"/>
      <w:bookmarkEnd w:id="109"/>
      <w:bookmarkEnd w:id="110"/>
    </w:p>
    <w:tbl>
      <w:tblPr>
        <w:tblStyle w:val="99"/>
        <w:tblW w:w="4998"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704"/>
        <w:gridCol w:w="2641"/>
        <w:gridCol w:w="6299"/>
      </w:tblGrid>
      <w:tr w14:paraId="6C189E6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365" w:type="pct"/>
            <w:tcBorders>
              <w:right w:val="single" w:color="000000" w:sz="4" w:space="0"/>
            </w:tcBorders>
            <w:noWrap w:val="0"/>
            <w:vAlign w:val="center"/>
          </w:tcPr>
          <w:p w14:paraId="012F69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sz w:val="21"/>
                <w:szCs w:val="21"/>
              </w:rPr>
              <w:t>序</w:t>
            </w:r>
            <w:r>
              <w:rPr>
                <w:rFonts w:hint="default" w:ascii="Times New Roman" w:hAnsi="Times New Roman" w:eastAsia="宋体" w:cs="Times New Roman"/>
                <w:b w:val="0"/>
                <w:bCs w:val="0"/>
                <w:color w:val="auto"/>
                <w:spacing w:val="-2"/>
                <w:sz w:val="21"/>
                <w:szCs w:val="21"/>
              </w:rPr>
              <w:t>号</w:t>
            </w:r>
          </w:p>
        </w:tc>
        <w:tc>
          <w:tcPr>
            <w:tcW w:w="1369" w:type="pct"/>
            <w:tcBorders>
              <w:left w:val="single" w:color="000000" w:sz="4" w:space="0"/>
              <w:right w:val="single" w:color="000000" w:sz="4" w:space="0"/>
            </w:tcBorders>
            <w:noWrap w:val="0"/>
            <w:vAlign w:val="center"/>
          </w:tcPr>
          <w:p w14:paraId="530856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项</w:t>
            </w:r>
            <w:r>
              <w:rPr>
                <w:rFonts w:hint="default" w:ascii="Times New Roman" w:hAnsi="Times New Roman" w:eastAsia="宋体" w:cs="Times New Roman"/>
                <w:b w:val="0"/>
                <w:bCs w:val="0"/>
                <w:color w:val="auto"/>
                <w:spacing w:val="-4"/>
                <w:sz w:val="21"/>
                <w:szCs w:val="21"/>
              </w:rPr>
              <w:t>目</w:t>
            </w:r>
          </w:p>
        </w:tc>
        <w:tc>
          <w:tcPr>
            <w:tcW w:w="3265" w:type="pct"/>
            <w:tcBorders>
              <w:left w:val="single" w:color="000000" w:sz="4" w:space="0"/>
            </w:tcBorders>
            <w:noWrap w:val="0"/>
            <w:vAlign w:val="center"/>
          </w:tcPr>
          <w:p w14:paraId="706C154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内容及要求</w:t>
            </w:r>
          </w:p>
        </w:tc>
      </w:tr>
      <w:tr w14:paraId="31611C3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3A8CD0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w:t>
            </w:r>
          </w:p>
        </w:tc>
        <w:tc>
          <w:tcPr>
            <w:tcW w:w="1369" w:type="pct"/>
            <w:tcBorders>
              <w:left w:val="single" w:color="000000" w:sz="4" w:space="0"/>
            </w:tcBorders>
            <w:noWrap w:val="0"/>
            <w:vAlign w:val="center"/>
          </w:tcPr>
          <w:p w14:paraId="27B80B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危险</w:t>
            </w:r>
            <w:r>
              <w:rPr>
                <w:rFonts w:hint="default" w:ascii="Times New Roman" w:hAnsi="Times New Roman" w:eastAsia="宋体" w:cs="Times New Roman"/>
                <w:b w:val="0"/>
                <w:bCs w:val="0"/>
                <w:color w:val="auto"/>
                <w:spacing w:val="-1"/>
                <w:sz w:val="21"/>
                <w:szCs w:val="21"/>
              </w:rPr>
              <w:t>源概况</w:t>
            </w:r>
          </w:p>
        </w:tc>
        <w:tc>
          <w:tcPr>
            <w:tcW w:w="3265" w:type="pct"/>
            <w:noWrap w:val="0"/>
            <w:vAlign w:val="center"/>
          </w:tcPr>
          <w:p w14:paraId="358A4CC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详述危险源类型</w:t>
            </w:r>
            <w:r>
              <w:rPr>
                <w:rFonts w:hint="default" w:ascii="Times New Roman" w:hAnsi="Times New Roman" w:eastAsia="宋体" w:cs="Times New Roman"/>
                <w:b w:val="0"/>
                <w:bCs w:val="0"/>
                <w:color w:val="auto"/>
                <w:sz w:val="21"/>
                <w:szCs w:val="21"/>
              </w:rPr>
              <w:t>、数量及其分布</w:t>
            </w:r>
          </w:p>
        </w:tc>
      </w:tr>
      <w:tr w14:paraId="7E966EC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5" w:hRule="atLeast"/>
        </w:trPr>
        <w:tc>
          <w:tcPr>
            <w:tcW w:w="365" w:type="pct"/>
            <w:tcBorders>
              <w:right w:val="single" w:color="000000" w:sz="4" w:space="0"/>
            </w:tcBorders>
            <w:noWrap w:val="0"/>
            <w:vAlign w:val="center"/>
          </w:tcPr>
          <w:p w14:paraId="17EAF1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w:t>
            </w:r>
          </w:p>
        </w:tc>
        <w:tc>
          <w:tcPr>
            <w:tcW w:w="1369" w:type="pct"/>
            <w:tcBorders>
              <w:left w:val="single" w:color="000000" w:sz="4" w:space="0"/>
            </w:tcBorders>
            <w:noWrap w:val="0"/>
            <w:vAlign w:val="center"/>
          </w:tcPr>
          <w:p w14:paraId="7EADC9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应急计划区</w:t>
            </w:r>
          </w:p>
        </w:tc>
        <w:tc>
          <w:tcPr>
            <w:tcW w:w="3265" w:type="pct"/>
            <w:noWrap w:val="0"/>
            <w:vAlign w:val="center"/>
          </w:tcPr>
          <w:p w14:paraId="48F21A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bCs/>
                <w:color w:val="auto"/>
                <w:sz w:val="21"/>
                <w:szCs w:val="21"/>
              </w:rPr>
              <w:t>危险目标：</w:t>
            </w:r>
            <w:r>
              <w:rPr>
                <w:rFonts w:hint="eastAsia"/>
                <w:bCs/>
                <w:color w:val="auto"/>
                <w:sz w:val="21"/>
                <w:szCs w:val="21"/>
                <w:lang w:val="en-US" w:eastAsia="zh-CN"/>
              </w:rPr>
              <w:t>盐酸仓库</w:t>
            </w:r>
          </w:p>
        </w:tc>
      </w:tr>
      <w:tr w14:paraId="5114495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089" w:hRule="atLeast"/>
        </w:trPr>
        <w:tc>
          <w:tcPr>
            <w:tcW w:w="365" w:type="pct"/>
            <w:tcBorders>
              <w:right w:val="single" w:color="000000" w:sz="4" w:space="0"/>
            </w:tcBorders>
            <w:noWrap w:val="0"/>
            <w:vAlign w:val="center"/>
          </w:tcPr>
          <w:p w14:paraId="77D9B8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w:t>
            </w:r>
          </w:p>
        </w:tc>
        <w:tc>
          <w:tcPr>
            <w:tcW w:w="1369" w:type="pct"/>
            <w:tcBorders>
              <w:left w:val="single" w:color="000000" w:sz="4" w:space="0"/>
            </w:tcBorders>
            <w:noWrap w:val="0"/>
            <w:vAlign w:val="center"/>
          </w:tcPr>
          <w:p w14:paraId="21F5B0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应急组织</w:t>
            </w:r>
            <w:r>
              <w:rPr>
                <w:rFonts w:hint="default" w:ascii="Times New Roman" w:hAnsi="Times New Roman" w:eastAsia="宋体" w:cs="Times New Roman"/>
                <w:b w:val="0"/>
                <w:bCs w:val="0"/>
                <w:color w:val="auto"/>
                <w:sz w:val="21"/>
                <w:szCs w:val="21"/>
              </w:rPr>
              <w:t>机构、人员</w:t>
            </w:r>
          </w:p>
        </w:tc>
        <w:tc>
          <w:tcPr>
            <w:tcW w:w="3265" w:type="pct"/>
            <w:noWrap w:val="0"/>
            <w:vAlign w:val="center"/>
          </w:tcPr>
          <w:p w14:paraId="61D7CD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0"/>
                <w:sz w:val="21"/>
                <w:szCs w:val="21"/>
              </w:rPr>
              <w:t>工厂：厂</w:t>
            </w:r>
            <w:r>
              <w:rPr>
                <w:rFonts w:hint="default" w:ascii="Times New Roman" w:hAnsi="Times New Roman" w:eastAsia="宋体" w:cs="Times New Roman"/>
                <w:b w:val="0"/>
                <w:bCs w:val="0"/>
                <w:color w:val="auto"/>
                <w:spacing w:val="-6"/>
                <w:sz w:val="21"/>
                <w:szCs w:val="21"/>
              </w:rPr>
              <w:t>指</w:t>
            </w:r>
            <w:r>
              <w:rPr>
                <w:rFonts w:hint="default" w:ascii="Times New Roman" w:hAnsi="Times New Roman" w:eastAsia="宋体" w:cs="Times New Roman"/>
                <w:b w:val="0"/>
                <w:bCs w:val="0"/>
                <w:color w:val="auto"/>
                <w:spacing w:val="-5"/>
                <w:sz w:val="21"/>
                <w:szCs w:val="21"/>
              </w:rPr>
              <w:t>挥部负责现场全面指挥；专业救援队伍负责事故控制、</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1"/>
                <w:sz w:val="21"/>
                <w:szCs w:val="21"/>
              </w:rPr>
              <w:t>救援、善后处</w:t>
            </w:r>
            <w:r>
              <w:rPr>
                <w:rFonts w:hint="default" w:ascii="Times New Roman" w:hAnsi="Times New Roman" w:eastAsia="宋体" w:cs="Times New Roman"/>
                <w:b w:val="0"/>
                <w:bCs w:val="0"/>
                <w:color w:val="auto"/>
                <w:sz w:val="21"/>
                <w:szCs w:val="21"/>
              </w:rPr>
              <w:t>理</w:t>
            </w:r>
          </w:p>
          <w:p w14:paraId="74220F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地区</w:t>
            </w:r>
            <w:r>
              <w:rPr>
                <w:rFonts w:hint="default" w:ascii="Times New Roman" w:hAnsi="Times New Roman" w:eastAsia="宋体" w:cs="Times New Roman"/>
                <w:b w:val="0"/>
                <w:bCs w:val="0"/>
                <w:color w:val="auto"/>
                <w:spacing w:val="-1"/>
                <w:sz w:val="21"/>
                <w:szCs w:val="21"/>
              </w:rPr>
              <w:t>：地区指挥部负责工厂附近地区全面指挥、救援、管制、疏</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1"/>
                <w:sz w:val="21"/>
                <w:szCs w:val="21"/>
              </w:rPr>
              <w:t>散；专</w:t>
            </w:r>
            <w:r>
              <w:rPr>
                <w:rFonts w:hint="default" w:ascii="Times New Roman" w:hAnsi="Times New Roman" w:eastAsia="宋体" w:cs="Times New Roman"/>
                <w:b w:val="0"/>
                <w:bCs w:val="0"/>
                <w:color w:val="auto"/>
                <w:sz w:val="21"/>
                <w:szCs w:val="21"/>
              </w:rPr>
              <w:t>业救援队伍负责对厂专业救援队伍的支援</w:t>
            </w:r>
          </w:p>
        </w:tc>
      </w:tr>
      <w:tr w14:paraId="21446C6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67326B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4</w:t>
            </w:r>
          </w:p>
        </w:tc>
        <w:tc>
          <w:tcPr>
            <w:tcW w:w="1369" w:type="pct"/>
            <w:tcBorders>
              <w:left w:val="single" w:color="000000" w:sz="4" w:space="0"/>
            </w:tcBorders>
            <w:noWrap w:val="0"/>
            <w:vAlign w:val="center"/>
          </w:tcPr>
          <w:p w14:paraId="244081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预案分级响应</w:t>
            </w:r>
            <w:r>
              <w:rPr>
                <w:rFonts w:hint="default" w:ascii="Times New Roman" w:hAnsi="Times New Roman" w:eastAsia="宋体" w:cs="Times New Roman"/>
                <w:b w:val="0"/>
                <w:bCs w:val="0"/>
                <w:color w:val="auto"/>
                <w:sz w:val="21"/>
                <w:szCs w:val="21"/>
              </w:rPr>
              <w:t>条件</w:t>
            </w:r>
          </w:p>
        </w:tc>
        <w:tc>
          <w:tcPr>
            <w:tcW w:w="3265" w:type="pct"/>
            <w:noWrap w:val="0"/>
            <w:vAlign w:val="center"/>
          </w:tcPr>
          <w:p w14:paraId="6ED5C2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规定预案的</w:t>
            </w:r>
            <w:r>
              <w:rPr>
                <w:rFonts w:hint="default" w:ascii="Times New Roman" w:hAnsi="Times New Roman" w:eastAsia="宋体" w:cs="Times New Roman"/>
                <w:b w:val="0"/>
                <w:bCs w:val="0"/>
                <w:color w:val="auto"/>
                <w:sz w:val="21"/>
                <w:szCs w:val="21"/>
              </w:rPr>
              <w:t>级别及分级响应程序</w:t>
            </w:r>
          </w:p>
        </w:tc>
      </w:tr>
      <w:tr w14:paraId="2020B69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5" w:hRule="atLeast"/>
        </w:trPr>
        <w:tc>
          <w:tcPr>
            <w:tcW w:w="365" w:type="pct"/>
            <w:tcBorders>
              <w:right w:val="single" w:color="000000" w:sz="4" w:space="0"/>
            </w:tcBorders>
            <w:noWrap w:val="0"/>
            <w:vAlign w:val="center"/>
          </w:tcPr>
          <w:p w14:paraId="2CB804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5</w:t>
            </w:r>
          </w:p>
        </w:tc>
        <w:tc>
          <w:tcPr>
            <w:tcW w:w="1369" w:type="pct"/>
            <w:tcBorders>
              <w:left w:val="single" w:color="000000" w:sz="4" w:space="0"/>
            </w:tcBorders>
            <w:noWrap w:val="0"/>
            <w:vAlign w:val="center"/>
          </w:tcPr>
          <w:p w14:paraId="568922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应急救援保</w:t>
            </w:r>
            <w:r>
              <w:rPr>
                <w:rFonts w:hint="default" w:ascii="Times New Roman" w:hAnsi="Times New Roman" w:eastAsia="宋体" w:cs="Times New Roman"/>
                <w:b w:val="0"/>
                <w:bCs w:val="0"/>
                <w:color w:val="auto"/>
                <w:sz w:val="21"/>
                <w:szCs w:val="21"/>
              </w:rPr>
              <w:t>障</w:t>
            </w:r>
          </w:p>
        </w:tc>
        <w:tc>
          <w:tcPr>
            <w:tcW w:w="3265" w:type="pct"/>
            <w:noWrap w:val="0"/>
            <w:vAlign w:val="center"/>
          </w:tcPr>
          <w:p w14:paraId="5FA401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应急设施，设</w:t>
            </w:r>
            <w:r>
              <w:rPr>
                <w:rFonts w:hint="default" w:ascii="Times New Roman" w:hAnsi="Times New Roman" w:eastAsia="宋体" w:cs="Times New Roman"/>
                <w:b w:val="0"/>
                <w:bCs w:val="0"/>
                <w:color w:val="auto"/>
                <w:sz w:val="21"/>
                <w:szCs w:val="21"/>
              </w:rPr>
              <w:t>备与器材等</w:t>
            </w:r>
          </w:p>
        </w:tc>
      </w:tr>
      <w:tr w14:paraId="277C19E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256729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6</w:t>
            </w:r>
          </w:p>
        </w:tc>
        <w:tc>
          <w:tcPr>
            <w:tcW w:w="1369" w:type="pct"/>
            <w:tcBorders>
              <w:left w:val="single" w:color="000000" w:sz="4" w:space="0"/>
            </w:tcBorders>
            <w:noWrap w:val="0"/>
            <w:vAlign w:val="center"/>
          </w:tcPr>
          <w:p w14:paraId="314D3E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报警、</w:t>
            </w:r>
            <w:r>
              <w:rPr>
                <w:rFonts w:hint="default" w:ascii="Times New Roman" w:hAnsi="Times New Roman" w:eastAsia="宋体" w:cs="Times New Roman"/>
                <w:b w:val="0"/>
                <w:bCs w:val="0"/>
                <w:color w:val="auto"/>
                <w:sz w:val="21"/>
                <w:szCs w:val="21"/>
              </w:rPr>
              <w:t>通讯联络方式</w:t>
            </w:r>
          </w:p>
        </w:tc>
        <w:tc>
          <w:tcPr>
            <w:tcW w:w="3265" w:type="pct"/>
            <w:noWrap w:val="0"/>
            <w:vAlign w:val="center"/>
          </w:tcPr>
          <w:p w14:paraId="22BAD7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规定应急状态下</w:t>
            </w:r>
            <w:r>
              <w:rPr>
                <w:rFonts w:hint="default" w:ascii="Times New Roman" w:hAnsi="Times New Roman" w:eastAsia="宋体" w:cs="Times New Roman"/>
                <w:b w:val="0"/>
                <w:bCs w:val="0"/>
                <w:color w:val="auto"/>
                <w:sz w:val="21"/>
                <w:szCs w:val="21"/>
              </w:rPr>
              <w:t>的报警通讯方式、通知方式和交通保障、管制。</w:t>
            </w:r>
          </w:p>
        </w:tc>
      </w:tr>
      <w:tr w14:paraId="3CE3A12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365" w:type="pct"/>
            <w:tcBorders>
              <w:right w:val="single" w:color="000000" w:sz="4" w:space="0"/>
            </w:tcBorders>
            <w:noWrap w:val="0"/>
            <w:vAlign w:val="center"/>
          </w:tcPr>
          <w:p w14:paraId="489E69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7</w:t>
            </w:r>
          </w:p>
        </w:tc>
        <w:tc>
          <w:tcPr>
            <w:tcW w:w="1369" w:type="pct"/>
            <w:tcBorders>
              <w:left w:val="single" w:color="000000" w:sz="4" w:space="0"/>
            </w:tcBorders>
            <w:noWrap w:val="0"/>
            <w:vAlign w:val="center"/>
          </w:tcPr>
          <w:p w14:paraId="4227E1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应急环境监测</w:t>
            </w:r>
            <w:r>
              <w:rPr>
                <w:rFonts w:hint="default" w:ascii="Times New Roman" w:hAnsi="Times New Roman" w:eastAsia="宋体" w:cs="Times New Roman"/>
                <w:b w:val="0"/>
                <w:bCs w:val="0"/>
                <w:color w:val="auto"/>
                <w:sz w:val="21"/>
                <w:szCs w:val="21"/>
              </w:rPr>
              <w:t xml:space="preserve">、抢险、救 </w:t>
            </w:r>
            <w:r>
              <w:rPr>
                <w:rFonts w:hint="default" w:ascii="Times New Roman" w:hAnsi="Times New Roman" w:eastAsia="宋体" w:cs="Times New Roman"/>
                <w:b w:val="0"/>
                <w:bCs w:val="0"/>
                <w:color w:val="auto"/>
                <w:spacing w:val="-1"/>
                <w:sz w:val="21"/>
                <w:szCs w:val="21"/>
              </w:rPr>
              <w:t>援及控制措</w:t>
            </w:r>
            <w:r>
              <w:rPr>
                <w:rFonts w:hint="default" w:ascii="Times New Roman" w:hAnsi="Times New Roman" w:eastAsia="宋体" w:cs="Times New Roman"/>
                <w:b w:val="0"/>
                <w:bCs w:val="0"/>
                <w:color w:val="auto"/>
                <w:sz w:val="21"/>
                <w:szCs w:val="21"/>
              </w:rPr>
              <w:t>施</w:t>
            </w:r>
          </w:p>
        </w:tc>
        <w:tc>
          <w:tcPr>
            <w:tcW w:w="3265" w:type="pct"/>
            <w:noWrap w:val="0"/>
            <w:vAlign w:val="center"/>
          </w:tcPr>
          <w:p w14:paraId="5F23868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由专业队伍负责对事故现场进行侦察监测，对事故性质、参</w:t>
            </w:r>
            <w:r>
              <w:rPr>
                <w:rFonts w:hint="default" w:ascii="Times New Roman" w:hAnsi="Times New Roman" w:eastAsia="宋体" w:cs="Times New Roman"/>
                <w:b w:val="0"/>
                <w:bCs w:val="0"/>
                <w:color w:val="auto"/>
                <w:spacing w:val="-1"/>
                <w:sz w:val="21"/>
                <w:szCs w:val="21"/>
              </w:rPr>
              <w:t>数</w:t>
            </w:r>
            <w:r>
              <w:rPr>
                <w:rFonts w:hint="default" w:ascii="Times New Roman" w:hAnsi="Times New Roman" w:eastAsia="宋体" w:cs="Times New Roman"/>
                <w:b w:val="0"/>
                <w:bCs w:val="0"/>
                <w:color w:val="auto"/>
                <w:sz w:val="21"/>
                <w:szCs w:val="21"/>
              </w:rPr>
              <w:t xml:space="preserve">与 </w:t>
            </w:r>
            <w:r>
              <w:rPr>
                <w:rFonts w:hint="default" w:ascii="Times New Roman" w:hAnsi="Times New Roman" w:eastAsia="宋体" w:cs="Times New Roman"/>
                <w:b w:val="0"/>
                <w:bCs w:val="0"/>
                <w:color w:val="auto"/>
                <w:spacing w:val="-1"/>
                <w:sz w:val="21"/>
                <w:szCs w:val="21"/>
              </w:rPr>
              <w:t>后果进行评估</w:t>
            </w:r>
            <w:r>
              <w:rPr>
                <w:rFonts w:hint="default" w:ascii="Times New Roman" w:hAnsi="Times New Roman" w:eastAsia="宋体" w:cs="Times New Roman"/>
                <w:b w:val="0"/>
                <w:bCs w:val="0"/>
                <w:color w:val="auto"/>
                <w:sz w:val="21"/>
                <w:szCs w:val="21"/>
              </w:rPr>
              <w:t>，为指挥部门提供决策依据。</w:t>
            </w:r>
          </w:p>
        </w:tc>
      </w:tr>
      <w:tr w14:paraId="0C7AEC7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365" w:type="pct"/>
            <w:tcBorders>
              <w:right w:val="single" w:color="000000" w:sz="4" w:space="0"/>
            </w:tcBorders>
            <w:noWrap w:val="0"/>
            <w:vAlign w:val="center"/>
          </w:tcPr>
          <w:p w14:paraId="12BD36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p>
          <w:p w14:paraId="0798FA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8</w:t>
            </w:r>
          </w:p>
        </w:tc>
        <w:tc>
          <w:tcPr>
            <w:tcW w:w="1369" w:type="pct"/>
            <w:tcBorders>
              <w:left w:val="single" w:color="000000" w:sz="4" w:space="0"/>
            </w:tcBorders>
            <w:noWrap w:val="0"/>
            <w:vAlign w:val="center"/>
          </w:tcPr>
          <w:p w14:paraId="33B7F7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应急检测、防</w:t>
            </w:r>
            <w:r>
              <w:rPr>
                <w:rFonts w:hint="default" w:ascii="Times New Roman" w:hAnsi="Times New Roman" w:eastAsia="宋体" w:cs="Times New Roman"/>
                <w:b w:val="0"/>
                <w:bCs w:val="0"/>
                <w:color w:val="auto"/>
                <w:sz w:val="21"/>
                <w:szCs w:val="21"/>
              </w:rPr>
              <w:t xml:space="preserve">护措施、清 </w:t>
            </w:r>
            <w:r>
              <w:rPr>
                <w:rFonts w:hint="default" w:ascii="Times New Roman" w:hAnsi="Times New Roman" w:eastAsia="宋体" w:cs="Times New Roman"/>
                <w:b w:val="0"/>
                <w:bCs w:val="0"/>
                <w:color w:val="auto"/>
                <w:spacing w:val="-3"/>
                <w:sz w:val="21"/>
                <w:szCs w:val="21"/>
              </w:rPr>
              <w:t>除</w:t>
            </w:r>
            <w:r>
              <w:rPr>
                <w:rFonts w:hint="default" w:ascii="Times New Roman" w:hAnsi="Times New Roman" w:eastAsia="宋体" w:cs="Times New Roman"/>
                <w:b w:val="0"/>
                <w:bCs w:val="0"/>
                <w:color w:val="auto"/>
                <w:spacing w:val="-2"/>
                <w:sz w:val="21"/>
                <w:szCs w:val="21"/>
              </w:rPr>
              <w:t>泄漏措施和器材</w:t>
            </w:r>
          </w:p>
        </w:tc>
        <w:tc>
          <w:tcPr>
            <w:tcW w:w="3265" w:type="pct"/>
            <w:noWrap w:val="0"/>
            <w:vAlign w:val="center"/>
          </w:tcPr>
          <w:p w14:paraId="4DA3F8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事故现场：控制事故、防止扩大、蔓延及链锁反应；清除现场泄</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1"/>
                <w:sz w:val="21"/>
                <w:szCs w:val="21"/>
              </w:rPr>
              <w:t>漏物，降</w:t>
            </w:r>
            <w:r>
              <w:rPr>
                <w:rFonts w:hint="default" w:ascii="Times New Roman" w:hAnsi="Times New Roman" w:eastAsia="宋体" w:cs="Times New Roman"/>
                <w:b w:val="0"/>
                <w:bCs w:val="0"/>
                <w:color w:val="auto"/>
                <w:sz w:val="21"/>
                <w:szCs w:val="21"/>
              </w:rPr>
              <w:t>低危害，相应的设施器材配备</w:t>
            </w:r>
          </w:p>
          <w:p w14:paraId="0D020B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邻近区</w:t>
            </w:r>
            <w:r>
              <w:rPr>
                <w:rFonts w:hint="default" w:ascii="Times New Roman" w:hAnsi="Times New Roman" w:eastAsia="宋体" w:cs="Times New Roman"/>
                <w:b w:val="0"/>
                <w:bCs w:val="0"/>
                <w:color w:val="auto"/>
                <w:sz w:val="21"/>
                <w:szCs w:val="21"/>
              </w:rPr>
              <w:t>域：控制和清除污染措施及相应设备配备</w:t>
            </w:r>
          </w:p>
        </w:tc>
      </w:tr>
      <w:tr w14:paraId="32FAA0C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365" w:type="pct"/>
            <w:tcBorders>
              <w:right w:val="single" w:color="000000" w:sz="4" w:space="0"/>
            </w:tcBorders>
            <w:noWrap w:val="0"/>
            <w:vAlign w:val="center"/>
          </w:tcPr>
          <w:p w14:paraId="4C4031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9</w:t>
            </w:r>
          </w:p>
        </w:tc>
        <w:tc>
          <w:tcPr>
            <w:tcW w:w="1369" w:type="pct"/>
            <w:tcBorders>
              <w:left w:val="single" w:color="000000" w:sz="4" w:space="0"/>
            </w:tcBorders>
            <w:noWrap w:val="0"/>
            <w:vAlign w:val="center"/>
          </w:tcPr>
          <w:p w14:paraId="635C6A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人员紧急撤离疏散</w:t>
            </w:r>
            <w:r>
              <w:rPr>
                <w:rFonts w:hint="default" w:ascii="Times New Roman" w:hAnsi="Times New Roman" w:eastAsia="宋体" w:cs="Times New Roman"/>
                <w:b w:val="0"/>
                <w:bCs w:val="0"/>
                <w:color w:val="auto"/>
                <w:sz w:val="21"/>
                <w:szCs w:val="21"/>
              </w:rPr>
              <w:t xml:space="preserve">，应急 </w:t>
            </w:r>
            <w:r>
              <w:rPr>
                <w:rFonts w:hint="default" w:ascii="Times New Roman" w:hAnsi="Times New Roman" w:eastAsia="宋体" w:cs="Times New Roman"/>
                <w:b w:val="0"/>
                <w:bCs w:val="0"/>
                <w:color w:val="auto"/>
                <w:spacing w:val="-1"/>
                <w:sz w:val="21"/>
                <w:szCs w:val="21"/>
              </w:rPr>
              <w:t>剂量控制、撤离</w:t>
            </w:r>
            <w:r>
              <w:rPr>
                <w:rFonts w:hint="default" w:ascii="Times New Roman" w:hAnsi="Times New Roman" w:eastAsia="宋体" w:cs="Times New Roman"/>
                <w:b w:val="0"/>
                <w:bCs w:val="0"/>
                <w:color w:val="auto"/>
                <w:sz w:val="21"/>
                <w:szCs w:val="21"/>
              </w:rPr>
              <w:t>组织计划</w:t>
            </w:r>
          </w:p>
        </w:tc>
        <w:tc>
          <w:tcPr>
            <w:tcW w:w="3265" w:type="pct"/>
            <w:noWrap w:val="0"/>
            <w:vAlign w:val="center"/>
          </w:tcPr>
          <w:p w14:paraId="715286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事故现场、工厂邻近区、受事故影响的区域人员及公众对毒物应</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2"/>
                <w:sz w:val="21"/>
                <w:szCs w:val="21"/>
              </w:rPr>
              <w:t>急剂量控制规定，撤离组织计划及救</w:t>
            </w:r>
            <w:r>
              <w:rPr>
                <w:rFonts w:hint="default" w:ascii="Times New Roman" w:hAnsi="Times New Roman" w:eastAsia="宋体" w:cs="Times New Roman"/>
                <w:b w:val="0"/>
                <w:bCs w:val="0"/>
                <w:color w:val="auto"/>
                <w:spacing w:val="-1"/>
                <w:sz w:val="21"/>
                <w:szCs w:val="21"/>
              </w:rPr>
              <w:t>护，医疗救护与公众健康。</w:t>
            </w:r>
          </w:p>
        </w:tc>
      </w:tr>
      <w:tr w14:paraId="5045B37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365" w:type="pct"/>
            <w:tcBorders>
              <w:right w:val="single" w:color="000000" w:sz="4" w:space="0"/>
            </w:tcBorders>
            <w:noWrap w:val="0"/>
            <w:vAlign w:val="center"/>
          </w:tcPr>
          <w:p w14:paraId="1C0ED3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0</w:t>
            </w:r>
          </w:p>
        </w:tc>
        <w:tc>
          <w:tcPr>
            <w:tcW w:w="1369" w:type="pct"/>
            <w:tcBorders>
              <w:left w:val="single" w:color="000000" w:sz="4" w:space="0"/>
            </w:tcBorders>
            <w:noWrap w:val="0"/>
            <w:vAlign w:val="center"/>
          </w:tcPr>
          <w:p w14:paraId="7FCFF2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事故应急救援</w:t>
            </w:r>
            <w:r>
              <w:rPr>
                <w:rFonts w:hint="default" w:ascii="Times New Roman" w:hAnsi="Times New Roman" w:eastAsia="宋体" w:cs="Times New Roman"/>
                <w:b w:val="0"/>
                <w:bCs w:val="0"/>
                <w:color w:val="auto"/>
                <w:sz w:val="21"/>
                <w:szCs w:val="21"/>
              </w:rPr>
              <w:t xml:space="preserve">关闭程序与 </w:t>
            </w:r>
            <w:r>
              <w:rPr>
                <w:rFonts w:hint="default" w:ascii="Times New Roman" w:hAnsi="Times New Roman" w:eastAsia="宋体" w:cs="Times New Roman"/>
                <w:b w:val="0"/>
                <w:bCs w:val="0"/>
                <w:color w:val="auto"/>
                <w:spacing w:val="-2"/>
                <w:sz w:val="21"/>
                <w:szCs w:val="21"/>
              </w:rPr>
              <w:t>恢复措</w:t>
            </w:r>
            <w:r>
              <w:rPr>
                <w:rFonts w:hint="default" w:ascii="Times New Roman" w:hAnsi="Times New Roman" w:eastAsia="宋体" w:cs="Times New Roman"/>
                <w:b w:val="0"/>
                <w:bCs w:val="0"/>
                <w:color w:val="auto"/>
                <w:spacing w:val="-1"/>
                <w:sz w:val="21"/>
                <w:szCs w:val="21"/>
              </w:rPr>
              <w:t>施</w:t>
            </w:r>
          </w:p>
        </w:tc>
        <w:tc>
          <w:tcPr>
            <w:tcW w:w="3265" w:type="pct"/>
            <w:noWrap w:val="0"/>
            <w:vAlign w:val="center"/>
          </w:tcPr>
          <w:p w14:paraId="28980FF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规定应急状态终止程序；事故现场善后处理，恢复措施；邻</w:t>
            </w:r>
            <w:r>
              <w:rPr>
                <w:rFonts w:hint="default" w:ascii="Times New Roman" w:hAnsi="Times New Roman" w:eastAsia="宋体" w:cs="Times New Roman"/>
                <w:b w:val="0"/>
                <w:bCs w:val="0"/>
                <w:color w:val="auto"/>
                <w:sz w:val="21"/>
                <w:szCs w:val="21"/>
              </w:rPr>
              <w:t xml:space="preserve">近区 </w:t>
            </w:r>
            <w:r>
              <w:rPr>
                <w:rFonts w:hint="default" w:ascii="Times New Roman" w:hAnsi="Times New Roman" w:eastAsia="宋体" w:cs="Times New Roman"/>
                <w:b w:val="0"/>
                <w:bCs w:val="0"/>
                <w:color w:val="auto"/>
                <w:spacing w:val="-1"/>
                <w:sz w:val="21"/>
                <w:szCs w:val="21"/>
              </w:rPr>
              <w:t>域解除事故</w:t>
            </w:r>
            <w:r>
              <w:rPr>
                <w:rFonts w:hint="default" w:ascii="Times New Roman" w:hAnsi="Times New Roman" w:eastAsia="宋体" w:cs="Times New Roman"/>
                <w:b w:val="0"/>
                <w:bCs w:val="0"/>
                <w:color w:val="auto"/>
                <w:sz w:val="21"/>
                <w:szCs w:val="21"/>
              </w:rPr>
              <w:t>警戒及善后恢复措施。</w:t>
            </w:r>
          </w:p>
        </w:tc>
      </w:tr>
      <w:tr w14:paraId="2DC3637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365" w:type="pct"/>
            <w:tcBorders>
              <w:right w:val="single" w:color="000000" w:sz="4" w:space="0"/>
            </w:tcBorders>
            <w:noWrap w:val="0"/>
            <w:vAlign w:val="center"/>
          </w:tcPr>
          <w:p w14:paraId="61C678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2"/>
                <w:sz w:val="21"/>
                <w:szCs w:val="21"/>
              </w:rPr>
              <w:t>1</w:t>
            </w:r>
          </w:p>
        </w:tc>
        <w:tc>
          <w:tcPr>
            <w:tcW w:w="1369" w:type="pct"/>
            <w:tcBorders>
              <w:left w:val="single" w:color="000000" w:sz="4" w:space="0"/>
            </w:tcBorders>
            <w:noWrap w:val="0"/>
            <w:vAlign w:val="center"/>
          </w:tcPr>
          <w:p w14:paraId="65281A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应急培训计</w:t>
            </w:r>
            <w:r>
              <w:rPr>
                <w:rFonts w:hint="default" w:ascii="Times New Roman" w:hAnsi="Times New Roman" w:eastAsia="宋体" w:cs="Times New Roman"/>
                <w:b w:val="0"/>
                <w:bCs w:val="0"/>
                <w:color w:val="auto"/>
                <w:sz w:val="21"/>
                <w:szCs w:val="21"/>
              </w:rPr>
              <w:t>划</w:t>
            </w:r>
          </w:p>
        </w:tc>
        <w:tc>
          <w:tcPr>
            <w:tcW w:w="3265" w:type="pct"/>
            <w:noWrap w:val="0"/>
            <w:vAlign w:val="center"/>
          </w:tcPr>
          <w:p w14:paraId="161A0B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应急计划</w:t>
            </w:r>
            <w:r>
              <w:rPr>
                <w:rFonts w:hint="default" w:ascii="Times New Roman" w:hAnsi="Times New Roman" w:eastAsia="宋体" w:cs="Times New Roman"/>
                <w:b w:val="0"/>
                <w:bCs w:val="0"/>
                <w:color w:val="auto"/>
                <w:sz w:val="21"/>
                <w:szCs w:val="21"/>
              </w:rPr>
              <w:t>制定后，平时安排人员培训与演练</w:t>
            </w:r>
          </w:p>
        </w:tc>
      </w:tr>
      <w:tr w14:paraId="0C51251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62C329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2</w:t>
            </w:r>
          </w:p>
        </w:tc>
        <w:tc>
          <w:tcPr>
            <w:tcW w:w="1369" w:type="pct"/>
            <w:tcBorders>
              <w:left w:val="single" w:color="000000" w:sz="4" w:space="0"/>
            </w:tcBorders>
            <w:noWrap w:val="0"/>
            <w:vAlign w:val="center"/>
          </w:tcPr>
          <w:p w14:paraId="2A13F9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公众教育</w:t>
            </w:r>
            <w:r>
              <w:rPr>
                <w:rFonts w:hint="default" w:ascii="Times New Roman" w:hAnsi="Times New Roman" w:eastAsia="宋体" w:cs="Times New Roman"/>
                <w:b w:val="0"/>
                <w:bCs w:val="0"/>
                <w:color w:val="auto"/>
                <w:spacing w:val="-1"/>
                <w:sz w:val="21"/>
                <w:szCs w:val="21"/>
              </w:rPr>
              <w:t>和信息</w:t>
            </w:r>
          </w:p>
        </w:tc>
        <w:tc>
          <w:tcPr>
            <w:tcW w:w="3265" w:type="pct"/>
            <w:noWrap w:val="0"/>
            <w:vAlign w:val="center"/>
          </w:tcPr>
          <w:p w14:paraId="689F35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对工</w:t>
            </w:r>
            <w:r>
              <w:rPr>
                <w:rFonts w:hint="default" w:ascii="Times New Roman" w:hAnsi="Times New Roman" w:eastAsia="宋体" w:cs="Times New Roman"/>
                <w:b w:val="0"/>
                <w:bCs w:val="0"/>
                <w:color w:val="auto"/>
                <w:sz w:val="21"/>
                <w:szCs w:val="21"/>
              </w:rPr>
              <w:t>厂邻近地区开展公众教育、培训和发布有关信息</w:t>
            </w:r>
          </w:p>
        </w:tc>
      </w:tr>
      <w:tr w14:paraId="13450D8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365" w:type="pct"/>
            <w:tcBorders>
              <w:right w:val="single" w:color="000000" w:sz="4" w:space="0"/>
            </w:tcBorders>
            <w:noWrap w:val="0"/>
            <w:vAlign w:val="center"/>
          </w:tcPr>
          <w:p w14:paraId="2401AF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3</w:t>
            </w:r>
          </w:p>
        </w:tc>
        <w:tc>
          <w:tcPr>
            <w:tcW w:w="1369" w:type="pct"/>
            <w:tcBorders>
              <w:left w:val="single" w:color="000000" w:sz="4" w:space="0"/>
            </w:tcBorders>
            <w:noWrap w:val="0"/>
            <w:vAlign w:val="center"/>
          </w:tcPr>
          <w:p w14:paraId="22AE77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记录和报</w:t>
            </w:r>
            <w:r>
              <w:rPr>
                <w:rFonts w:hint="default" w:ascii="Times New Roman" w:hAnsi="Times New Roman" w:eastAsia="宋体" w:cs="Times New Roman"/>
                <w:b w:val="0"/>
                <w:bCs w:val="0"/>
                <w:color w:val="auto"/>
                <w:sz w:val="21"/>
                <w:szCs w:val="21"/>
              </w:rPr>
              <w:t>告</w:t>
            </w:r>
          </w:p>
        </w:tc>
        <w:tc>
          <w:tcPr>
            <w:tcW w:w="3265" w:type="pct"/>
            <w:noWrap w:val="0"/>
            <w:vAlign w:val="center"/>
          </w:tcPr>
          <w:p w14:paraId="03BED8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设置应</w:t>
            </w:r>
            <w:r>
              <w:rPr>
                <w:rFonts w:hint="default" w:ascii="Times New Roman" w:hAnsi="Times New Roman" w:eastAsia="宋体" w:cs="Times New Roman"/>
                <w:b w:val="0"/>
                <w:bCs w:val="0"/>
                <w:color w:val="auto"/>
                <w:spacing w:val="-1"/>
                <w:sz w:val="21"/>
                <w:szCs w:val="21"/>
              </w:rPr>
              <w:t>急事故专门记录，建档案和专门报告制度，设专门部门和</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4"/>
                <w:sz w:val="21"/>
                <w:szCs w:val="21"/>
              </w:rPr>
              <w:t>负</w:t>
            </w:r>
            <w:r>
              <w:rPr>
                <w:rFonts w:hint="default" w:ascii="Times New Roman" w:hAnsi="Times New Roman" w:eastAsia="宋体" w:cs="Times New Roman"/>
                <w:b w:val="0"/>
                <w:bCs w:val="0"/>
                <w:color w:val="auto"/>
                <w:spacing w:val="-3"/>
                <w:sz w:val="21"/>
                <w:szCs w:val="21"/>
              </w:rPr>
              <w:t>责管理</w:t>
            </w:r>
          </w:p>
        </w:tc>
      </w:tr>
      <w:tr w14:paraId="3843BAB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24" w:hRule="atLeast"/>
        </w:trPr>
        <w:tc>
          <w:tcPr>
            <w:tcW w:w="365" w:type="pct"/>
            <w:noWrap w:val="0"/>
            <w:vAlign w:val="center"/>
          </w:tcPr>
          <w:p w14:paraId="12B8F7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4</w:t>
            </w:r>
          </w:p>
        </w:tc>
        <w:tc>
          <w:tcPr>
            <w:tcW w:w="1369" w:type="pct"/>
            <w:noWrap w:val="0"/>
            <w:vAlign w:val="center"/>
          </w:tcPr>
          <w:p w14:paraId="7DFBF4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2"/>
                <w:sz w:val="21"/>
                <w:szCs w:val="21"/>
              </w:rPr>
              <w:t>附</w:t>
            </w:r>
            <w:r>
              <w:rPr>
                <w:rFonts w:hint="default" w:ascii="Times New Roman" w:hAnsi="Times New Roman" w:eastAsia="宋体" w:cs="Times New Roman"/>
                <w:b w:val="0"/>
                <w:bCs w:val="0"/>
                <w:color w:val="auto"/>
                <w:spacing w:val="-11"/>
                <w:sz w:val="21"/>
                <w:szCs w:val="21"/>
              </w:rPr>
              <w:t>件</w:t>
            </w:r>
          </w:p>
        </w:tc>
        <w:tc>
          <w:tcPr>
            <w:tcW w:w="3265" w:type="pct"/>
            <w:noWrap w:val="0"/>
            <w:vAlign w:val="center"/>
          </w:tcPr>
          <w:p w14:paraId="59CB8A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与应急事故有关的</w:t>
            </w:r>
            <w:r>
              <w:rPr>
                <w:rFonts w:hint="default" w:ascii="Times New Roman" w:hAnsi="Times New Roman" w:eastAsia="宋体" w:cs="Times New Roman"/>
                <w:b w:val="0"/>
                <w:bCs w:val="0"/>
                <w:color w:val="auto"/>
                <w:sz w:val="21"/>
                <w:szCs w:val="21"/>
              </w:rPr>
              <w:t>多种附件材料的准备和形成</w:t>
            </w:r>
          </w:p>
        </w:tc>
      </w:tr>
    </w:tbl>
    <w:p w14:paraId="4FC1B4AA">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jc w:val="both"/>
        <w:textAlignment w:val="auto"/>
        <w:outlineLvl w:val="9"/>
        <w:rPr>
          <w:rFonts w:hint="default" w:ascii="Times New Roman" w:hAnsi="Times New Roman" w:eastAsia="宋体" w:cs="Times New Roman"/>
          <w:b/>
          <w:bCs w:val="0"/>
          <w:color w:val="auto"/>
          <w:kern w:val="30"/>
          <w:sz w:val="28"/>
          <w:szCs w:val="28"/>
          <w:lang w:val="en-US" w:eastAsia="zh-CN" w:bidi="ar-SA"/>
        </w:rPr>
      </w:pPr>
      <w:bookmarkStart w:id="111" w:name="_Toc30214"/>
      <w:r>
        <w:rPr>
          <w:rFonts w:hint="default" w:ascii="Times New Roman" w:hAnsi="Times New Roman" w:eastAsia="宋体" w:cs="Times New Roman"/>
          <w:b/>
          <w:bCs w:val="0"/>
          <w:color w:val="auto"/>
          <w:kern w:val="30"/>
          <w:sz w:val="28"/>
          <w:szCs w:val="28"/>
          <w:lang w:val="en-US" w:eastAsia="zh-CN" w:bidi="ar-SA"/>
        </w:rPr>
        <w:t>7.5.1 应急计划区</w:t>
      </w:r>
      <w:bookmarkEnd w:id="111"/>
    </w:p>
    <w:p w14:paraId="60A729EF">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12" w:name="_Toc577"/>
      <w:bookmarkStart w:id="113" w:name="_Toc27787"/>
      <w:bookmarkStart w:id="114" w:name="_Toc24525"/>
      <w:r>
        <w:rPr>
          <w:rFonts w:hint="default" w:ascii="Times New Roman" w:hAnsi="Times New Roman" w:eastAsia="宋体" w:cs="Times New Roman"/>
          <w:b w:val="0"/>
          <w:color w:val="auto"/>
          <w:kern w:val="0"/>
          <w:sz w:val="24"/>
          <w:szCs w:val="24"/>
          <w:lang w:val="en-US" w:eastAsia="zh-CN" w:bidi="ar"/>
        </w:rPr>
        <w:t>根据项目使用、生产和储运</w:t>
      </w:r>
      <w:r>
        <w:rPr>
          <w:rFonts w:hint="eastAsia" w:ascii="Times New Roman" w:hAnsi="Times New Roman" w:eastAsia="宋体" w:cs="Times New Roman"/>
          <w:b w:val="0"/>
          <w:color w:val="auto"/>
          <w:kern w:val="0"/>
          <w:sz w:val="24"/>
          <w:szCs w:val="24"/>
          <w:lang w:val="en-US" w:eastAsia="zh-CN" w:bidi="ar"/>
        </w:rPr>
        <w:t>的</w:t>
      </w:r>
      <w:r>
        <w:rPr>
          <w:rFonts w:hint="default" w:ascii="Times New Roman" w:hAnsi="Times New Roman" w:eastAsia="宋体" w:cs="Times New Roman"/>
          <w:b w:val="0"/>
          <w:color w:val="auto"/>
          <w:kern w:val="0"/>
          <w:sz w:val="24"/>
          <w:szCs w:val="24"/>
          <w:lang w:val="en-US" w:eastAsia="zh-CN" w:bidi="ar"/>
        </w:rPr>
        <w:t>危险物质以及可能引起的重大事故的特点，通过重大危险源辨识，确定</w:t>
      </w:r>
      <w:r>
        <w:rPr>
          <w:rFonts w:hint="eastAsia" w:ascii="Times New Roman" w:hAnsi="Times New Roman" w:eastAsia="宋体" w:cs="Times New Roman"/>
          <w:b w:val="0"/>
          <w:color w:val="auto"/>
          <w:kern w:val="0"/>
          <w:sz w:val="24"/>
          <w:szCs w:val="24"/>
          <w:lang w:val="en-US" w:eastAsia="zh-CN" w:bidi="ar"/>
        </w:rPr>
        <w:t>盐酸仓库</w:t>
      </w:r>
      <w:r>
        <w:rPr>
          <w:rFonts w:hint="default" w:ascii="Times New Roman" w:hAnsi="Times New Roman" w:eastAsia="宋体" w:cs="Times New Roman"/>
          <w:b w:val="0"/>
          <w:color w:val="auto"/>
          <w:kern w:val="0"/>
          <w:sz w:val="24"/>
          <w:szCs w:val="24"/>
          <w:lang w:val="en-US" w:eastAsia="zh-CN" w:bidi="ar"/>
        </w:rPr>
        <w:t>构成重大危险源；</w:t>
      </w:r>
      <w:r>
        <w:rPr>
          <w:rFonts w:hint="eastAsia" w:ascii="Times New Roman" w:hAnsi="Times New Roman" w:eastAsia="宋体" w:cs="Times New Roman"/>
          <w:b w:val="0"/>
          <w:color w:val="auto"/>
          <w:kern w:val="0"/>
          <w:sz w:val="24"/>
          <w:szCs w:val="24"/>
          <w:lang w:val="en-US" w:eastAsia="zh-CN" w:bidi="ar"/>
        </w:rPr>
        <w:t>盐酸仓库</w:t>
      </w:r>
      <w:r>
        <w:rPr>
          <w:rFonts w:hint="default" w:ascii="Times New Roman" w:hAnsi="Times New Roman" w:eastAsia="宋体" w:cs="Times New Roman"/>
          <w:b w:val="0"/>
          <w:color w:val="auto"/>
          <w:kern w:val="0"/>
          <w:sz w:val="24"/>
          <w:szCs w:val="24"/>
          <w:lang w:val="en-US" w:eastAsia="zh-CN" w:bidi="ar"/>
        </w:rPr>
        <w:t>作为公司的主要危险目标即应急计划区。</w:t>
      </w:r>
      <w:bookmarkEnd w:id="112"/>
      <w:bookmarkEnd w:id="113"/>
      <w:bookmarkEnd w:id="114"/>
    </w:p>
    <w:p w14:paraId="65644EDE">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15" w:name="_Toc26065"/>
      <w:bookmarkStart w:id="116" w:name="_Toc8754"/>
      <w:bookmarkStart w:id="117" w:name="_Toc28443"/>
      <w:r>
        <w:rPr>
          <w:rFonts w:hint="default" w:ascii="Times New Roman" w:hAnsi="Times New Roman" w:eastAsia="宋体" w:cs="Times New Roman"/>
          <w:b w:val="0"/>
          <w:color w:val="auto"/>
          <w:kern w:val="0"/>
          <w:sz w:val="24"/>
          <w:szCs w:val="24"/>
          <w:lang w:val="en-US" w:eastAsia="zh-CN" w:bidi="ar"/>
        </w:rPr>
        <w:t>根据发生事故的大小和应急监测的结果，以及发生时的气象条件，确立应急保护目标，应急撤离半径范围内的村庄作为重点应急保护目标，项目周边5km范围内的居民应作为关注目标，将根据事故的处理情况作进一步决定。</w:t>
      </w:r>
      <w:bookmarkEnd w:id="115"/>
      <w:bookmarkEnd w:id="116"/>
      <w:bookmarkEnd w:id="117"/>
    </w:p>
    <w:p w14:paraId="4D02F8C1">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jc w:val="both"/>
        <w:textAlignment w:val="auto"/>
        <w:outlineLvl w:val="9"/>
        <w:rPr>
          <w:rFonts w:hint="default" w:ascii="Times New Roman" w:hAnsi="Times New Roman" w:eastAsia="宋体" w:cs="Times New Roman"/>
          <w:b/>
          <w:bCs w:val="0"/>
          <w:color w:val="auto"/>
          <w:kern w:val="30"/>
          <w:sz w:val="28"/>
          <w:szCs w:val="28"/>
          <w:lang w:val="en-US" w:eastAsia="zh-CN" w:bidi="ar-SA"/>
        </w:rPr>
      </w:pPr>
      <w:bookmarkStart w:id="118" w:name="_Toc3806"/>
      <w:r>
        <w:rPr>
          <w:rFonts w:hint="default" w:ascii="Times New Roman" w:hAnsi="Times New Roman" w:eastAsia="宋体" w:cs="Times New Roman"/>
          <w:b/>
          <w:bCs w:val="0"/>
          <w:color w:val="auto"/>
          <w:kern w:val="30"/>
          <w:sz w:val="28"/>
          <w:szCs w:val="28"/>
          <w:lang w:val="en-US" w:eastAsia="zh-CN" w:bidi="ar-SA"/>
        </w:rPr>
        <w:t>7.5.2 应急组织机构、人员</w:t>
      </w:r>
      <w:bookmarkEnd w:id="118"/>
    </w:p>
    <w:p w14:paraId="2ECA4DC3">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19" w:name="_Toc12773"/>
      <w:bookmarkStart w:id="120" w:name="_Toc27600"/>
      <w:bookmarkStart w:id="121" w:name="_Toc9854"/>
      <w:r>
        <w:rPr>
          <w:rFonts w:hint="default" w:ascii="Times New Roman" w:hAnsi="Times New Roman" w:eastAsia="宋体" w:cs="Times New Roman"/>
          <w:b w:val="0"/>
          <w:color w:val="auto"/>
          <w:kern w:val="0"/>
          <w:sz w:val="24"/>
          <w:szCs w:val="24"/>
          <w:lang w:val="en-US" w:eastAsia="zh-CN" w:bidi="ar"/>
        </w:rPr>
        <w:t>公司设立应急指挥中心，总指挥由公司总经理担任，副总经理任副总指挥。成员由各部门负责人组成。预案本着专业对口，便于领导、集结的原则，明确了各部门的职责和分工。一旦发生事故，即可负责事故控制、救援、善后处理，应急预案机构设置及人员组成见下表。</w:t>
      </w:r>
      <w:bookmarkEnd w:id="119"/>
      <w:bookmarkEnd w:id="120"/>
      <w:bookmarkEnd w:id="121"/>
    </w:p>
    <w:p w14:paraId="73F60CEC">
      <w:pPr>
        <w:pStyle w:val="107"/>
        <w:keepNext w:val="0"/>
        <w:keepLines w:val="0"/>
        <w:pageBreakBefore w:val="0"/>
        <w:kinsoku/>
        <w:wordWrap/>
        <w:overflowPunct/>
        <w:topLinePunct w:val="0"/>
        <w:bidi w:val="0"/>
        <w:adjustRightInd w:val="0"/>
        <w:snapToGrid w:val="0"/>
        <w:spacing w:before="0" w:beforeAutospacing="0" w:after="0" w:afterAutospacing="0" w:line="360" w:lineRule="auto"/>
        <w:ind w:right="0"/>
        <w:jc w:val="center"/>
        <w:textAlignment w:val="auto"/>
        <w:outlineLvl w:val="9"/>
        <w:rPr>
          <w:rFonts w:hint="default" w:ascii="Times New Roman" w:hAnsi="Times New Roman" w:eastAsia="宋体" w:cs="Times New Roman"/>
          <w:b/>
          <w:bCs w:val="0"/>
          <w:color w:val="auto"/>
          <w:kern w:val="0"/>
          <w:sz w:val="24"/>
          <w:szCs w:val="24"/>
          <w:lang w:val="en-US" w:eastAsia="zh-CN" w:bidi="ar"/>
        </w:rPr>
      </w:pPr>
      <w:bookmarkStart w:id="122" w:name="_Toc4797"/>
      <w:bookmarkStart w:id="123" w:name="_Toc6915"/>
      <w:bookmarkStart w:id="124" w:name="_Toc4607"/>
      <w:r>
        <w:rPr>
          <w:rFonts w:hint="default" w:ascii="Times New Roman" w:hAnsi="Times New Roman" w:eastAsia="宋体" w:cs="Times New Roman"/>
          <w:b/>
          <w:bCs w:val="0"/>
          <w:color w:val="auto"/>
          <w:kern w:val="0"/>
          <w:sz w:val="24"/>
          <w:szCs w:val="24"/>
          <w:lang w:val="en-US" w:eastAsia="zh-CN" w:bidi="ar"/>
        </w:rPr>
        <w:t>表7.5-2   应急预案机构组成人员一览</w:t>
      </w:r>
      <w:bookmarkEnd w:id="122"/>
      <w:bookmarkEnd w:id="123"/>
      <w:bookmarkEnd w:id="124"/>
    </w:p>
    <w:tbl>
      <w:tblPr>
        <w:tblStyle w:val="99"/>
        <w:tblW w:w="4998"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1565"/>
        <w:gridCol w:w="5486"/>
        <w:gridCol w:w="2593"/>
      </w:tblGrid>
      <w:tr w14:paraId="7A50E55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11" w:type="pct"/>
            <w:tcBorders>
              <w:right w:val="single" w:color="000000" w:sz="4" w:space="0"/>
            </w:tcBorders>
            <w:noWrap w:val="0"/>
            <w:vAlign w:val="center"/>
          </w:tcPr>
          <w:p w14:paraId="6F84F4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预案组成</w:t>
            </w:r>
          </w:p>
        </w:tc>
        <w:tc>
          <w:tcPr>
            <w:tcW w:w="2843" w:type="pct"/>
            <w:tcBorders>
              <w:left w:val="single" w:color="000000" w:sz="4" w:space="0"/>
              <w:right w:val="single" w:color="000000" w:sz="4" w:space="0"/>
            </w:tcBorders>
            <w:noWrap w:val="0"/>
            <w:vAlign w:val="center"/>
          </w:tcPr>
          <w:p w14:paraId="5F6253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预案机构负责人</w:t>
            </w:r>
          </w:p>
        </w:tc>
        <w:tc>
          <w:tcPr>
            <w:tcW w:w="1344" w:type="pct"/>
            <w:tcBorders>
              <w:left w:val="single" w:color="000000" w:sz="4" w:space="0"/>
            </w:tcBorders>
            <w:noWrap w:val="0"/>
            <w:vAlign w:val="center"/>
          </w:tcPr>
          <w:p w14:paraId="7179A9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下属负责人</w:t>
            </w:r>
          </w:p>
        </w:tc>
      </w:tr>
      <w:tr w14:paraId="259A6B3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2" w:hRule="atLeast"/>
          <w:jc w:val="center"/>
        </w:trPr>
        <w:tc>
          <w:tcPr>
            <w:tcW w:w="811" w:type="pct"/>
            <w:tcBorders>
              <w:right w:val="single" w:color="000000" w:sz="4" w:space="0"/>
            </w:tcBorders>
            <w:noWrap w:val="0"/>
            <w:vAlign w:val="center"/>
          </w:tcPr>
          <w:p w14:paraId="3ED012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应急指挥中心</w:t>
            </w:r>
          </w:p>
        </w:tc>
        <w:tc>
          <w:tcPr>
            <w:tcW w:w="2843" w:type="pct"/>
            <w:tcBorders>
              <w:left w:val="single" w:color="000000" w:sz="4" w:space="0"/>
            </w:tcBorders>
            <w:noWrap w:val="0"/>
            <w:vAlign w:val="center"/>
          </w:tcPr>
          <w:p w14:paraId="0AAC16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总经理任总指挥，主管生产、设备、技术、经营的副总 经理任副总指挥</w:t>
            </w:r>
          </w:p>
        </w:tc>
        <w:tc>
          <w:tcPr>
            <w:tcW w:w="1344" w:type="pct"/>
            <w:noWrap w:val="0"/>
            <w:vAlign w:val="center"/>
          </w:tcPr>
          <w:p w14:paraId="6686B1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各下属部门负责人</w:t>
            </w:r>
          </w:p>
        </w:tc>
      </w:tr>
      <w:tr w14:paraId="7AF0B03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811" w:type="pct"/>
            <w:noWrap w:val="0"/>
            <w:vAlign w:val="center"/>
          </w:tcPr>
          <w:p w14:paraId="663AB6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分指挥中心</w:t>
            </w:r>
          </w:p>
        </w:tc>
        <w:tc>
          <w:tcPr>
            <w:tcW w:w="2843" w:type="pct"/>
            <w:noWrap w:val="0"/>
            <w:vAlign w:val="center"/>
          </w:tcPr>
          <w:p w14:paraId="7BC5A3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各车间主任担任指挥组长，工艺、设备副主任任副组长</w:t>
            </w:r>
          </w:p>
        </w:tc>
        <w:tc>
          <w:tcPr>
            <w:tcW w:w="1344" w:type="pct"/>
            <w:noWrap w:val="0"/>
            <w:vAlign w:val="center"/>
          </w:tcPr>
          <w:p w14:paraId="6BD407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工段长、技术员、安全员、 班组长</w:t>
            </w:r>
          </w:p>
        </w:tc>
      </w:tr>
    </w:tbl>
    <w:p w14:paraId="0DC8E1E5">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jc w:val="both"/>
        <w:textAlignment w:val="auto"/>
        <w:outlineLvl w:val="9"/>
        <w:rPr>
          <w:rFonts w:hint="default" w:ascii="Times New Roman" w:hAnsi="Times New Roman" w:eastAsia="宋体" w:cs="Times New Roman"/>
          <w:b/>
          <w:bCs w:val="0"/>
          <w:color w:val="auto"/>
          <w:kern w:val="30"/>
          <w:sz w:val="28"/>
          <w:szCs w:val="28"/>
          <w:lang w:val="en-US" w:eastAsia="zh-CN" w:bidi="ar-SA"/>
        </w:rPr>
      </w:pPr>
      <w:bookmarkStart w:id="125" w:name="_Toc19807"/>
      <w:r>
        <w:rPr>
          <w:rFonts w:hint="default" w:ascii="Times New Roman" w:hAnsi="Times New Roman" w:eastAsia="宋体" w:cs="Times New Roman"/>
          <w:b/>
          <w:bCs w:val="0"/>
          <w:color w:val="auto"/>
          <w:kern w:val="30"/>
          <w:sz w:val="28"/>
          <w:szCs w:val="28"/>
          <w:lang w:val="en-US" w:eastAsia="zh-CN" w:bidi="ar-SA"/>
        </w:rPr>
        <w:t>7.5.3 预案分级响应</w:t>
      </w:r>
      <w:bookmarkEnd w:id="125"/>
    </w:p>
    <w:p w14:paraId="46AEBEF6">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outlineLvl w:val="9"/>
        <w:rPr>
          <w:rFonts w:hint="default" w:ascii="Times New Roman" w:hAnsi="Times New Roman" w:eastAsia="宋体" w:cs="Times New Roman"/>
          <w:b w:val="0"/>
          <w:bCs w:val="0"/>
          <w:color w:val="auto"/>
          <w:kern w:val="0"/>
          <w:sz w:val="24"/>
          <w:szCs w:val="24"/>
          <w:lang w:val="en-US" w:eastAsia="zh-CN" w:bidi="ar"/>
        </w:rPr>
      </w:pPr>
      <w:bookmarkStart w:id="126" w:name="_Toc15657"/>
      <w:bookmarkStart w:id="127" w:name="_Toc5422"/>
      <w:bookmarkStart w:id="128" w:name="_Toc31308"/>
      <w:r>
        <w:rPr>
          <w:rFonts w:hint="default" w:ascii="Times New Roman" w:hAnsi="Times New Roman" w:eastAsia="宋体" w:cs="Times New Roman"/>
          <w:b w:val="0"/>
          <w:bCs w:val="0"/>
          <w:color w:val="auto"/>
          <w:kern w:val="0"/>
          <w:sz w:val="24"/>
          <w:szCs w:val="24"/>
          <w:lang w:val="en-US" w:eastAsia="zh-CN" w:bidi="ar"/>
        </w:rPr>
        <w:t>（一）突发事故应急响应机制</w:t>
      </w:r>
      <w:bookmarkEnd w:id="126"/>
      <w:bookmarkEnd w:id="127"/>
      <w:bookmarkEnd w:id="128"/>
    </w:p>
    <w:p w14:paraId="1A5625FF">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kern w:val="0"/>
          <w:sz w:val="24"/>
          <w:szCs w:val="24"/>
          <w:lang w:val="en-US" w:eastAsia="zh-CN" w:bidi="ar"/>
        </w:rPr>
      </w:pPr>
      <w:bookmarkStart w:id="129" w:name="_Toc1229"/>
      <w:bookmarkStart w:id="130" w:name="_Toc10989"/>
      <w:bookmarkStart w:id="131" w:name="_Toc25828"/>
      <w:r>
        <w:rPr>
          <w:rFonts w:hint="default" w:ascii="Times New Roman" w:hAnsi="Times New Roman" w:eastAsia="宋体" w:cs="Times New Roman"/>
          <w:b/>
          <w:bCs w:val="0"/>
          <w:color w:val="auto"/>
          <w:kern w:val="0"/>
          <w:sz w:val="24"/>
          <w:szCs w:val="24"/>
          <w:lang w:val="en-US" w:eastAsia="zh-CN" w:bidi="ar"/>
        </w:rPr>
        <w:t>表 7.5-3   突发事故应急响应机制</w:t>
      </w:r>
      <w:bookmarkEnd w:id="129"/>
      <w:bookmarkEnd w:id="130"/>
      <w:bookmarkEnd w:id="131"/>
    </w:p>
    <w:tbl>
      <w:tblPr>
        <w:tblStyle w:val="99"/>
        <w:tblW w:w="5003"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1053"/>
        <w:gridCol w:w="1116"/>
        <w:gridCol w:w="3233"/>
        <w:gridCol w:w="4252"/>
      </w:tblGrid>
      <w:tr w14:paraId="3E8EEA7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545" w:type="pct"/>
            <w:tcBorders>
              <w:right w:val="single" w:color="000000" w:sz="4" w:space="0"/>
            </w:tcBorders>
            <w:noWrap w:val="0"/>
            <w:vAlign w:val="center"/>
          </w:tcPr>
          <w:p w14:paraId="49ADAD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分级类别</w:t>
            </w:r>
          </w:p>
        </w:tc>
        <w:tc>
          <w:tcPr>
            <w:tcW w:w="578" w:type="pct"/>
            <w:tcBorders>
              <w:left w:val="single" w:color="000000" w:sz="4" w:space="0"/>
              <w:right w:val="single" w:color="000000" w:sz="6" w:space="0"/>
            </w:tcBorders>
            <w:noWrap w:val="0"/>
            <w:vAlign w:val="center"/>
          </w:tcPr>
          <w:p w14:paraId="3CF367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响应级别</w:t>
            </w:r>
          </w:p>
        </w:tc>
        <w:tc>
          <w:tcPr>
            <w:tcW w:w="1674" w:type="pct"/>
            <w:tcBorders>
              <w:left w:val="single" w:color="000000" w:sz="6" w:space="0"/>
              <w:right w:val="single" w:color="000000" w:sz="4" w:space="0"/>
            </w:tcBorders>
            <w:noWrap w:val="0"/>
            <w:vAlign w:val="center"/>
          </w:tcPr>
          <w:p w14:paraId="45083B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分级条件</w:t>
            </w:r>
          </w:p>
        </w:tc>
        <w:tc>
          <w:tcPr>
            <w:tcW w:w="2201" w:type="pct"/>
            <w:tcBorders>
              <w:left w:val="single" w:color="000000" w:sz="4" w:space="0"/>
            </w:tcBorders>
            <w:noWrap w:val="0"/>
            <w:vAlign w:val="center"/>
          </w:tcPr>
          <w:p w14:paraId="7CCD79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响应内容</w:t>
            </w:r>
          </w:p>
        </w:tc>
      </w:tr>
      <w:tr w14:paraId="3ECF057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817" w:hRule="atLeast"/>
        </w:trPr>
        <w:tc>
          <w:tcPr>
            <w:tcW w:w="545" w:type="pct"/>
            <w:tcBorders>
              <w:right w:val="single" w:color="000000" w:sz="4" w:space="0"/>
            </w:tcBorders>
            <w:noWrap w:val="0"/>
            <w:vAlign w:val="center"/>
          </w:tcPr>
          <w:p w14:paraId="5C1F64C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工段级事故</w:t>
            </w:r>
          </w:p>
        </w:tc>
        <w:tc>
          <w:tcPr>
            <w:tcW w:w="578" w:type="pct"/>
            <w:tcBorders>
              <w:left w:val="single" w:color="000000" w:sz="4" w:space="0"/>
              <w:right w:val="single" w:color="000000" w:sz="6" w:space="0"/>
            </w:tcBorders>
            <w:noWrap w:val="0"/>
            <w:vAlign w:val="center"/>
          </w:tcPr>
          <w:p w14:paraId="7579FB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lang w:val="en-US" w:eastAsia="zh-CN"/>
              </w:rPr>
              <w:t>一</w:t>
            </w:r>
            <w:r>
              <w:rPr>
                <w:rFonts w:hint="default" w:ascii="Times New Roman" w:hAnsi="Times New Roman" w:eastAsia="宋体" w:cs="Times New Roman"/>
                <w:b w:val="0"/>
                <w:bCs w:val="0"/>
                <w:color w:val="auto"/>
                <w:spacing w:val="-1"/>
                <w:sz w:val="21"/>
                <w:szCs w:val="21"/>
              </w:rPr>
              <w:t>级预案响应</w:t>
            </w:r>
          </w:p>
        </w:tc>
        <w:tc>
          <w:tcPr>
            <w:tcW w:w="1674" w:type="pct"/>
            <w:tcBorders>
              <w:left w:val="single" w:color="000000" w:sz="6" w:space="0"/>
            </w:tcBorders>
            <w:noWrap w:val="0"/>
            <w:vAlign w:val="center"/>
          </w:tcPr>
          <w:p w14:paraId="119F21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此类事故可由本工段技术人员简单控制，并能有效阻止危险物质扩散，及时修复并恢复生产。</w:t>
            </w:r>
          </w:p>
        </w:tc>
        <w:tc>
          <w:tcPr>
            <w:tcW w:w="2201" w:type="pct"/>
            <w:noWrap w:val="0"/>
            <w:vAlign w:val="center"/>
          </w:tcPr>
          <w:p w14:paraId="1E8966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此类事故直接上报工段负责人，并由工段技术人员尽快控制事故源。若事故未能有效控制则提升事故响应级别</w:t>
            </w:r>
          </w:p>
        </w:tc>
      </w:tr>
      <w:tr w14:paraId="654F9EF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632" w:hRule="atLeast"/>
        </w:trPr>
        <w:tc>
          <w:tcPr>
            <w:tcW w:w="545" w:type="pct"/>
            <w:tcBorders>
              <w:right w:val="single" w:color="000000" w:sz="4" w:space="0"/>
            </w:tcBorders>
            <w:noWrap w:val="0"/>
            <w:vAlign w:val="center"/>
          </w:tcPr>
          <w:p w14:paraId="2392F9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公司级事故</w:t>
            </w:r>
          </w:p>
        </w:tc>
        <w:tc>
          <w:tcPr>
            <w:tcW w:w="578" w:type="pct"/>
            <w:tcBorders>
              <w:left w:val="single" w:color="000000" w:sz="4" w:space="0"/>
              <w:right w:val="single" w:color="000000" w:sz="6" w:space="0"/>
            </w:tcBorders>
            <w:noWrap w:val="0"/>
            <w:vAlign w:val="center"/>
          </w:tcPr>
          <w:p w14:paraId="3573C8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二级预案响应</w:t>
            </w:r>
          </w:p>
        </w:tc>
        <w:tc>
          <w:tcPr>
            <w:tcW w:w="1674" w:type="pct"/>
            <w:tcBorders>
              <w:left w:val="single" w:color="000000" w:sz="6" w:space="0"/>
            </w:tcBorders>
            <w:noWrap w:val="0"/>
            <w:vAlign w:val="center"/>
          </w:tcPr>
          <w:p w14:paraId="2F0A20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此类事故应可以由公司技术人员控制，将危险物质控制与分厂范围内，并能够将事故影响控制在厂区、公司范围内，能够尽快恢复或在停产的情况下控制事故影响，阻止危险物质进入外环境。</w:t>
            </w:r>
          </w:p>
        </w:tc>
        <w:tc>
          <w:tcPr>
            <w:tcW w:w="2201" w:type="pct"/>
            <w:noWrap w:val="0"/>
            <w:vAlign w:val="center"/>
          </w:tcPr>
          <w:p w14:paraId="31CF67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由当班技术人员向工段负责人汇报，并及时转报车间负责人、分厂负责人、公司负责人，由公司技术人员汇总并对事故进行综合控制，将事故影响控制于公司范围内。若事故未能及时控制则提升事故响应级别</w:t>
            </w:r>
          </w:p>
        </w:tc>
      </w:tr>
      <w:tr w14:paraId="05AAA39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114" w:hRule="atLeast"/>
        </w:trPr>
        <w:tc>
          <w:tcPr>
            <w:tcW w:w="545" w:type="pct"/>
            <w:noWrap w:val="0"/>
            <w:vAlign w:val="center"/>
          </w:tcPr>
          <w:p w14:paraId="359C5E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区域环境事故</w:t>
            </w:r>
          </w:p>
        </w:tc>
        <w:tc>
          <w:tcPr>
            <w:tcW w:w="578" w:type="pct"/>
            <w:noWrap w:val="0"/>
            <w:vAlign w:val="center"/>
          </w:tcPr>
          <w:p w14:paraId="4CC7190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三级预案响应</w:t>
            </w:r>
          </w:p>
        </w:tc>
        <w:tc>
          <w:tcPr>
            <w:tcW w:w="1674" w:type="pct"/>
            <w:noWrap w:val="0"/>
            <w:vAlign w:val="center"/>
          </w:tcPr>
          <w:p w14:paraId="07C6194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由项目事故引发的外环境污染事故</w:t>
            </w:r>
          </w:p>
        </w:tc>
        <w:tc>
          <w:tcPr>
            <w:tcW w:w="2201" w:type="pct"/>
            <w:noWrap w:val="0"/>
            <w:vAlign w:val="center"/>
          </w:tcPr>
          <w:p w14:paraId="061CFB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公司预案执行未能及时控制事故影响，并对外环境产生影响，由公司指挥中心向区域救援中心汇报，区域救援中心负责人上升为事故第一响应人</w:t>
            </w:r>
          </w:p>
        </w:tc>
      </w:tr>
    </w:tbl>
    <w:p w14:paraId="54E17EC4">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32" w:name="_Toc5685"/>
      <w:bookmarkStart w:id="133" w:name="_Toc25180"/>
      <w:bookmarkStart w:id="134" w:name="_Toc6616"/>
      <w:r>
        <w:rPr>
          <w:rFonts w:hint="default" w:ascii="Times New Roman" w:hAnsi="Times New Roman" w:eastAsia="宋体" w:cs="Times New Roman"/>
          <w:b w:val="0"/>
          <w:color w:val="auto"/>
          <w:kern w:val="0"/>
          <w:sz w:val="24"/>
          <w:szCs w:val="24"/>
          <w:lang w:val="en-US" w:eastAsia="zh-CN" w:bidi="ar"/>
        </w:rPr>
        <w:t>（二）区域应急联动</w:t>
      </w:r>
      <w:bookmarkEnd w:id="132"/>
      <w:bookmarkEnd w:id="133"/>
      <w:bookmarkEnd w:id="134"/>
    </w:p>
    <w:p w14:paraId="1F5C5104">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35" w:name="_Toc6250"/>
      <w:bookmarkStart w:id="136" w:name="_Toc24803"/>
      <w:bookmarkStart w:id="137" w:name="_Toc21172"/>
      <w:r>
        <w:rPr>
          <w:rFonts w:hint="default" w:ascii="Times New Roman" w:hAnsi="Times New Roman" w:eastAsia="宋体" w:cs="Times New Roman"/>
          <w:b w:val="0"/>
          <w:color w:val="auto"/>
          <w:kern w:val="0"/>
          <w:sz w:val="24"/>
          <w:szCs w:val="24"/>
          <w:lang w:val="en-US" w:eastAsia="zh-CN" w:bidi="ar"/>
        </w:rPr>
        <w:t>当厂区发生突发环境事件时首先启动企业应急预案进行紧急处理，若污染物扩散出厂界、企业应急预案无法应对时应启动区域应急预案，进行区域范围内应急响应，企业应急预案同时保持响应；若污染物扩散出区域边界时应及时通知</w:t>
      </w:r>
      <w:r>
        <w:rPr>
          <w:rFonts w:hint="eastAsia" w:ascii="Times New Roman" w:hAnsi="Times New Roman" w:eastAsia="宋体" w:cs="Times New Roman"/>
          <w:b w:val="0"/>
          <w:color w:val="auto"/>
          <w:kern w:val="0"/>
          <w:sz w:val="24"/>
          <w:szCs w:val="24"/>
          <w:lang w:val="en-US" w:eastAsia="zh-CN" w:bidi="ar"/>
        </w:rPr>
        <w:t>淄川区</w:t>
      </w:r>
      <w:r>
        <w:rPr>
          <w:rFonts w:hint="default" w:ascii="Times New Roman" w:hAnsi="Times New Roman" w:eastAsia="宋体" w:cs="Times New Roman"/>
          <w:b w:val="0"/>
          <w:color w:val="auto"/>
          <w:kern w:val="0"/>
          <w:sz w:val="24"/>
          <w:szCs w:val="24"/>
          <w:lang w:val="en-US" w:eastAsia="zh-CN" w:bidi="ar"/>
        </w:rPr>
        <w:t>人民政府及周边区县政府，启动区域突发环境事件应急预案，进行区县范围内应急响应，区域应急预案和企业应急预案同时保持响应。</w:t>
      </w:r>
      <w:bookmarkEnd w:id="135"/>
      <w:bookmarkEnd w:id="136"/>
      <w:bookmarkEnd w:id="137"/>
    </w:p>
    <w:p w14:paraId="4C4B40BD">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38" w:name="_Toc13479"/>
      <w:bookmarkStart w:id="139" w:name="_Toc25885"/>
      <w:bookmarkStart w:id="140" w:name="_Toc24191"/>
      <w:r>
        <w:rPr>
          <w:rFonts w:hint="default" w:ascii="Times New Roman" w:hAnsi="Times New Roman" w:eastAsia="宋体" w:cs="Times New Roman"/>
          <w:b w:val="0"/>
          <w:color w:val="auto"/>
          <w:kern w:val="0"/>
          <w:sz w:val="24"/>
          <w:szCs w:val="24"/>
          <w:lang w:val="en-US" w:eastAsia="zh-CN" w:bidi="ar"/>
        </w:rPr>
        <w:t>当发生火灾时，企业安全预案和突发环境事件应急预案同时启动，安全应急预案关注企业内部和外部的生命安全，突发环境事件应急预案关注火灾事故发生后的环境后果及次生污染危害，两预案相互补充、相互配合，能使企业内部和周围生命财产安全及周边环境得到最大程度的保护。随着火灾增大，安全处置更加关注火势的蔓延及控制情况，环境应急处置需要关注灭火过程中产生的消防废水，防止消防废水漫流出厂界造成污染。</w:t>
      </w:r>
      <w:bookmarkEnd w:id="138"/>
      <w:bookmarkEnd w:id="139"/>
      <w:bookmarkEnd w:id="140"/>
    </w:p>
    <w:p w14:paraId="71C6CE4D">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41" w:name="_Toc18637"/>
      <w:bookmarkStart w:id="142" w:name="_Toc32645"/>
      <w:bookmarkStart w:id="143" w:name="_Toc15126"/>
      <w:r>
        <w:rPr>
          <w:rFonts w:hint="default" w:ascii="Times New Roman" w:hAnsi="Times New Roman" w:eastAsia="宋体" w:cs="Times New Roman"/>
          <w:b w:val="0"/>
          <w:color w:val="auto"/>
          <w:kern w:val="0"/>
          <w:sz w:val="24"/>
          <w:szCs w:val="24"/>
          <w:lang w:val="en-US" w:eastAsia="zh-CN" w:bidi="ar"/>
        </w:rPr>
        <w:t>区域应急预案联动方案详见下表：</w:t>
      </w:r>
      <w:bookmarkEnd w:id="141"/>
      <w:bookmarkEnd w:id="142"/>
      <w:bookmarkEnd w:id="143"/>
      <w:bookmarkStart w:id="144" w:name="_bookmark61"/>
      <w:bookmarkEnd w:id="144"/>
      <w:bookmarkStart w:id="145" w:name="_Toc8731"/>
      <w:bookmarkStart w:id="146" w:name="_Toc18904"/>
      <w:bookmarkStart w:id="147" w:name="_Toc13583"/>
    </w:p>
    <w:p w14:paraId="20DF7F0F">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kern w:val="0"/>
          <w:sz w:val="24"/>
          <w:szCs w:val="24"/>
          <w:lang w:val="en-US" w:eastAsia="zh-CN" w:bidi="ar"/>
        </w:rPr>
      </w:pPr>
      <w:r>
        <w:rPr>
          <w:rFonts w:hint="default" w:ascii="Times New Roman" w:hAnsi="Times New Roman" w:eastAsia="宋体" w:cs="Times New Roman"/>
          <w:b/>
          <w:bCs w:val="0"/>
          <w:color w:val="auto"/>
          <w:kern w:val="0"/>
          <w:sz w:val="24"/>
          <w:szCs w:val="24"/>
          <w:lang w:val="en-US" w:eastAsia="zh-CN" w:bidi="ar"/>
        </w:rPr>
        <w:t>表 7.5-</w:t>
      </w:r>
      <w:r>
        <w:rPr>
          <w:rFonts w:hint="eastAsia" w:ascii="Times New Roman" w:hAnsi="Times New Roman" w:eastAsia="宋体" w:cs="Times New Roman"/>
          <w:b/>
          <w:bCs w:val="0"/>
          <w:color w:val="auto"/>
          <w:kern w:val="0"/>
          <w:sz w:val="24"/>
          <w:szCs w:val="24"/>
          <w:lang w:val="en-US" w:eastAsia="zh-CN" w:bidi="ar"/>
        </w:rPr>
        <w:t>4</w:t>
      </w:r>
      <w:r>
        <w:rPr>
          <w:rFonts w:hint="default" w:ascii="Times New Roman" w:hAnsi="Times New Roman" w:eastAsia="宋体" w:cs="Times New Roman"/>
          <w:b/>
          <w:bCs w:val="0"/>
          <w:color w:val="auto"/>
          <w:kern w:val="0"/>
          <w:sz w:val="24"/>
          <w:szCs w:val="24"/>
          <w:lang w:val="en-US" w:eastAsia="zh-CN" w:bidi="ar"/>
        </w:rPr>
        <w:t xml:space="preserve">  突发环境事故区域应急预案联动方案</w:t>
      </w:r>
      <w:bookmarkEnd w:id="145"/>
      <w:bookmarkEnd w:id="146"/>
      <w:bookmarkEnd w:id="147"/>
    </w:p>
    <w:tbl>
      <w:tblPr>
        <w:tblStyle w:val="99"/>
        <w:tblW w:w="9384" w:type="dxa"/>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018"/>
        <w:gridCol w:w="8366"/>
      </w:tblGrid>
      <w:tr w14:paraId="16B7670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018" w:type="dxa"/>
            <w:noWrap w:val="0"/>
            <w:vAlign w:val="center"/>
          </w:tcPr>
          <w:p w14:paraId="4D05AC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预案名称</w:t>
            </w:r>
          </w:p>
        </w:tc>
        <w:tc>
          <w:tcPr>
            <w:tcW w:w="8366" w:type="dxa"/>
            <w:noWrap w:val="0"/>
            <w:vAlign w:val="center"/>
          </w:tcPr>
          <w:p w14:paraId="5209F7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联动方案</w:t>
            </w:r>
          </w:p>
        </w:tc>
      </w:tr>
      <w:tr w14:paraId="49F82F5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restart"/>
            <w:tcBorders>
              <w:bottom w:val="nil"/>
            </w:tcBorders>
            <w:noWrap w:val="0"/>
            <w:vAlign w:val="center"/>
          </w:tcPr>
          <w:p w14:paraId="2A637F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lang w:val="en-US" w:eastAsia="zh-CN"/>
              </w:rPr>
              <w:t>区域</w:t>
            </w:r>
            <w:r>
              <w:rPr>
                <w:rFonts w:hint="default" w:ascii="Times New Roman" w:hAnsi="Times New Roman" w:eastAsia="宋体" w:cs="Times New Roman"/>
                <w:b w:val="0"/>
                <w:bCs w:val="0"/>
                <w:color w:val="auto"/>
                <w:spacing w:val="-1"/>
                <w:sz w:val="21"/>
                <w:szCs w:val="21"/>
              </w:rPr>
              <w:t>预案</w:t>
            </w:r>
          </w:p>
        </w:tc>
        <w:tc>
          <w:tcPr>
            <w:tcW w:w="8366" w:type="dxa"/>
            <w:noWrap w:val="0"/>
            <w:vAlign w:val="center"/>
          </w:tcPr>
          <w:p w14:paraId="05F39E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明确区域应急预案组成，将项目的预案组成及相关职能部门的负责人进行相互联系，实现事 故状态信息联通“1对 1”</w:t>
            </w:r>
          </w:p>
        </w:tc>
      </w:tr>
      <w:tr w14:paraId="145BD9D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18" w:type="dxa"/>
            <w:vMerge w:val="continue"/>
            <w:tcBorders>
              <w:top w:val="nil"/>
              <w:bottom w:val="nil"/>
            </w:tcBorders>
            <w:noWrap w:val="0"/>
            <w:vAlign w:val="center"/>
          </w:tcPr>
          <w:p w14:paraId="19A9C67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29BCFC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事故响应条件下，应根据园区响应分级方式拟定事故上报、响应方案</w:t>
            </w:r>
          </w:p>
        </w:tc>
      </w:tr>
      <w:tr w14:paraId="009E6CC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818" w:hRule="atLeast"/>
        </w:trPr>
        <w:tc>
          <w:tcPr>
            <w:tcW w:w="1018" w:type="dxa"/>
            <w:vMerge w:val="continue"/>
            <w:tcBorders>
              <w:top w:val="nil"/>
              <w:bottom w:val="nil"/>
            </w:tcBorders>
            <w:noWrap w:val="0"/>
            <w:vAlign w:val="center"/>
          </w:tcPr>
          <w:p w14:paraId="57A3E7E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53A21B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事故状态下应拟定事故中心区、波及区、影响区域的划分和控制，将职责分配到人。区域范围大小的确定应依据园区预案确定的范围</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≤300m、300</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500m、500</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1000m、1000</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2000m、 ≥2000m</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 xml:space="preserve"> 为基础，根据事故大小进行适当调整</w:t>
            </w:r>
          </w:p>
        </w:tc>
      </w:tr>
      <w:tr w14:paraId="6BA2D8B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18" w:type="dxa"/>
            <w:vMerge w:val="continue"/>
            <w:tcBorders>
              <w:top w:val="nil"/>
              <w:bottom w:val="nil"/>
            </w:tcBorders>
            <w:noWrap w:val="0"/>
            <w:vAlign w:val="center"/>
          </w:tcPr>
          <w:p w14:paraId="4075DC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26BAFE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项目事故状态下，可依托</w:t>
            </w:r>
            <w:r>
              <w:rPr>
                <w:rFonts w:hint="default" w:ascii="Times New Roman" w:hAnsi="Times New Roman" w:eastAsia="宋体" w:cs="Times New Roman"/>
                <w:b w:val="0"/>
                <w:bCs w:val="0"/>
                <w:color w:val="auto"/>
                <w:spacing w:val="-1"/>
                <w:sz w:val="21"/>
                <w:szCs w:val="21"/>
                <w:lang w:val="en-US" w:eastAsia="zh-CN"/>
              </w:rPr>
              <w:t>区域</w:t>
            </w:r>
            <w:r>
              <w:rPr>
                <w:rFonts w:hint="default" w:ascii="Times New Roman" w:hAnsi="Times New Roman" w:eastAsia="宋体" w:cs="Times New Roman"/>
                <w:b w:val="0"/>
                <w:bCs w:val="0"/>
                <w:color w:val="auto"/>
                <w:spacing w:val="-1"/>
                <w:sz w:val="21"/>
                <w:szCs w:val="21"/>
              </w:rPr>
              <w:t>应急监测队伍的力量，申请援助</w:t>
            </w:r>
          </w:p>
        </w:tc>
      </w:tr>
      <w:tr w14:paraId="1207DC4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18" w:type="dxa"/>
            <w:vMerge w:val="continue"/>
            <w:tcBorders>
              <w:top w:val="nil"/>
            </w:tcBorders>
            <w:noWrap w:val="0"/>
            <w:vAlign w:val="center"/>
          </w:tcPr>
          <w:p w14:paraId="3093046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0C2FD9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根据</w:t>
            </w:r>
            <w:r>
              <w:rPr>
                <w:rFonts w:hint="default" w:ascii="Times New Roman" w:hAnsi="Times New Roman" w:eastAsia="宋体" w:cs="Times New Roman"/>
                <w:b w:val="0"/>
                <w:bCs w:val="0"/>
                <w:color w:val="auto"/>
                <w:spacing w:val="-1"/>
                <w:sz w:val="21"/>
                <w:szCs w:val="21"/>
                <w:lang w:val="en-US" w:eastAsia="zh-CN"/>
              </w:rPr>
              <w:t>区域</w:t>
            </w:r>
            <w:r>
              <w:rPr>
                <w:rFonts w:hint="default" w:ascii="Times New Roman" w:hAnsi="Times New Roman" w:eastAsia="宋体" w:cs="Times New Roman"/>
                <w:b w:val="0"/>
                <w:bCs w:val="0"/>
                <w:color w:val="auto"/>
                <w:spacing w:val="-1"/>
                <w:sz w:val="21"/>
                <w:szCs w:val="21"/>
              </w:rPr>
              <w:t>预案的要求制定事故后评估报告</w:t>
            </w:r>
          </w:p>
        </w:tc>
      </w:tr>
      <w:tr w14:paraId="16506D7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restart"/>
            <w:tcBorders>
              <w:bottom w:val="nil"/>
            </w:tcBorders>
            <w:noWrap w:val="0"/>
            <w:vAlign w:val="center"/>
          </w:tcPr>
          <w:p w14:paraId="3825EF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eastAsia" w:cs="Times New Roman"/>
                <w:b w:val="0"/>
                <w:bCs w:val="0"/>
                <w:color w:val="auto"/>
                <w:spacing w:val="-1"/>
                <w:sz w:val="21"/>
                <w:szCs w:val="21"/>
                <w:lang w:val="en-US" w:eastAsia="zh-CN"/>
              </w:rPr>
              <w:t>淄川区</w:t>
            </w:r>
            <w:r>
              <w:rPr>
                <w:rFonts w:hint="default" w:ascii="Times New Roman" w:hAnsi="Times New Roman" w:eastAsia="宋体" w:cs="Times New Roman"/>
                <w:b w:val="0"/>
                <w:bCs w:val="0"/>
                <w:color w:val="auto"/>
                <w:spacing w:val="-1"/>
                <w:sz w:val="21"/>
                <w:szCs w:val="21"/>
              </w:rPr>
              <w:t>突</w:t>
            </w:r>
          </w:p>
          <w:p w14:paraId="70719E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发环境事</w:t>
            </w:r>
          </w:p>
          <w:p w14:paraId="3AE2F3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件预案</w:t>
            </w:r>
          </w:p>
        </w:tc>
        <w:tc>
          <w:tcPr>
            <w:tcW w:w="8366" w:type="dxa"/>
            <w:noWrap w:val="0"/>
            <w:vAlign w:val="center"/>
          </w:tcPr>
          <w:p w14:paraId="432465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项目应遵循此预案事故等级划分原则，准确做出应急响应</w:t>
            </w:r>
          </w:p>
        </w:tc>
      </w:tr>
      <w:tr w14:paraId="27FA0E3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bottom w:val="nil"/>
            </w:tcBorders>
            <w:noWrap w:val="0"/>
            <w:vAlign w:val="center"/>
          </w:tcPr>
          <w:p w14:paraId="2E29D8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3EDC98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在发生突发事故发生后，应依托市级预案成立的应急队伍</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环境监察支队、市环境监测站</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 对突发事故进行环境应急监测</w:t>
            </w:r>
          </w:p>
        </w:tc>
      </w:tr>
      <w:tr w14:paraId="74D0EEA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2CD516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17A86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本预案应纳入</w:t>
            </w:r>
            <w:r>
              <w:rPr>
                <w:rFonts w:hint="eastAsia" w:cs="Times New Roman"/>
                <w:b w:val="0"/>
                <w:bCs w:val="0"/>
                <w:color w:val="auto"/>
                <w:spacing w:val="-1"/>
                <w:sz w:val="21"/>
                <w:szCs w:val="21"/>
                <w:lang w:val="en-US" w:eastAsia="zh-CN"/>
              </w:rPr>
              <w:t>淄川区</w:t>
            </w:r>
            <w:r>
              <w:rPr>
                <w:rFonts w:hint="default" w:ascii="Times New Roman" w:hAnsi="Times New Roman" w:eastAsia="宋体" w:cs="Times New Roman"/>
                <w:b w:val="0"/>
                <w:bCs w:val="0"/>
                <w:color w:val="auto"/>
                <w:spacing w:val="-1"/>
                <w:sz w:val="21"/>
                <w:szCs w:val="21"/>
              </w:rPr>
              <w:t>应急响应小组联系方式、名单详细等，作为本预案的附件</w:t>
            </w:r>
          </w:p>
        </w:tc>
      </w:tr>
      <w:tr w14:paraId="455B902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5FE740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49BE1F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本预案应遵循</w:t>
            </w:r>
            <w:r>
              <w:rPr>
                <w:rFonts w:hint="eastAsia" w:cs="Times New Roman"/>
                <w:b w:val="0"/>
                <w:bCs w:val="0"/>
                <w:color w:val="auto"/>
                <w:spacing w:val="-1"/>
                <w:sz w:val="21"/>
                <w:szCs w:val="21"/>
                <w:lang w:val="en-US" w:eastAsia="zh-CN"/>
              </w:rPr>
              <w:t>淄川区</w:t>
            </w:r>
            <w:r>
              <w:rPr>
                <w:rFonts w:hint="default" w:ascii="Times New Roman" w:hAnsi="Times New Roman" w:eastAsia="宋体" w:cs="Times New Roman"/>
                <w:b w:val="0"/>
                <w:bCs w:val="0"/>
                <w:color w:val="auto"/>
                <w:spacing w:val="-1"/>
                <w:sz w:val="21"/>
                <w:szCs w:val="21"/>
              </w:rPr>
              <w:t>应急预案的速报制度，严格按照初报、续报和处理结果报告的程序执行</w:t>
            </w:r>
          </w:p>
        </w:tc>
      </w:tr>
      <w:tr w14:paraId="655D5BD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3677C5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44B859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本预案应将各工段、类型事故信息上报人员进行落实，与</w:t>
            </w:r>
            <w:r>
              <w:rPr>
                <w:rFonts w:hint="eastAsia" w:cs="Times New Roman"/>
                <w:b w:val="0"/>
                <w:bCs w:val="0"/>
                <w:color w:val="auto"/>
                <w:spacing w:val="-1"/>
                <w:sz w:val="21"/>
                <w:szCs w:val="21"/>
                <w:lang w:val="en-US" w:eastAsia="zh-CN"/>
              </w:rPr>
              <w:t>淄川区</w:t>
            </w:r>
            <w:r>
              <w:rPr>
                <w:rFonts w:hint="default" w:ascii="Times New Roman" w:hAnsi="Times New Roman" w:eastAsia="宋体" w:cs="Times New Roman"/>
                <w:b w:val="0"/>
                <w:bCs w:val="0"/>
                <w:color w:val="auto"/>
                <w:spacing w:val="-1"/>
                <w:sz w:val="21"/>
                <w:szCs w:val="21"/>
              </w:rPr>
              <w:t>应急指挥中心联系</w:t>
            </w:r>
          </w:p>
        </w:tc>
      </w:tr>
      <w:tr w14:paraId="07DFDEA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tcBorders>
            <w:noWrap w:val="0"/>
            <w:vAlign w:val="center"/>
          </w:tcPr>
          <w:p w14:paraId="0D7057A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A5F7A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本预案应将应急防范措施、人力、物力资源进行汇总，并上报淄博市应急指挥中心，以便实现资源共享和补充</w:t>
            </w:r>
          </w:p>
        </w:tc>
      </w:tr>
      <w:tr w14:paraId="1E7E671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restart"/>
            <w:tcBorders>
              <w:bottom w:val="nil"/>
            </w:tcBorders>
            <w:noWrap w:val="0"/>
            <w:vAlign w:val="center"/>
          </w:tcPr>
          <w:p w14:paraId="0F9E57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淄博市突</w:t>
            </w:r>
          </w:p>
          <w:p w14:paraId="79CBE9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发环境事</w:t>
            </w:r>
          </w:p>
          <w:p w14:paraId="531B08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件预案</w:t>
            </w:r>
          </w:p>
        </w:tc>
        <w:tc>
          <w:tcPr>
            <w:tcW w:w="8366" w:type="dxa"/>
            <w:noWrap w:val="0"/>
            <w:vAlign w:val="center"/>
          </w:tcPr>
          <w:p w14:paraId="4F4914D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项目应遵循此预案事故等级划分原则，准确做出应急响应</w:t>
            </w:r>
          </w:p>
        </w:tc>
      </w:tr>
      <w:tr w14:paraId="484E0E2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bottom w:val="nil"/>
            </w:tcBorders>
            <w:noWrap w:val="0"/>
            <w:vAlign w:val="center"/>
          </w:tcPr>
          <w:p w14:paraId="17454B3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033B41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在发生突发事故发生后，应依托市级预案成立的应急队伍</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环境监察支队、市环境监测站</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 对突发事故进行环境应急监测</w:t>
            </w:r>
          </w:p>
        </w:tc>
      </w:tr>
      <w:tr w14:paraId="3EAB52E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266750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6E1D6F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本预案应纳入淄博市应急响应小组联系方式、名单详细等，作为本预案的附件</w:t>
            </w:r>
          </w:p>
        </w:tc>
      </w:tr>
      <w:tr w14:paraId="6600717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229D2C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65848A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本预案应遵循淄博市应急预案的速报制度，严格按照初报、续报和处理结果报告的程序执行</w:t>
            </w:r>
          </w:p>
        </w:tc>
      </w:tr>
      <w:tr w14:paraId="713AC3D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1018" w:type="dxa"/>
            <w:vMerge w:val="continue"/>
            <w:tcBorders>
              <w:top w:val="nil"/>
              <w:bottom w:val="nil"/>
            </w:tcBorders>
            <w:noWrap w:val="0"/>
            <w:vAlign w:val="center"/>
          </w:tcPr>
          <w:p w14:paraId="3569D77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0198B3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本预案应将各工段、类型事故信息上报人员进行落实，与淄博市应急指挥中心联系</w:t>
            </w:r>
          </w:p>
        </w:tc>
      </w:tr>
      <w:tr w14:paraId="275F61C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tcBorders>
            <w:noWrap w:val="0"/>
            <w:vAlign w:val="center"/>
          </w:tcPr>
          <w:p w14:paraId="654FA5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EAF1A0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本预案应将应急防范措施、人力、物力资源进行汇总，并上报山东省应急指挥中心，以便实现资源共享和补充</w:t>
            </w:r>
          </w:p>
        </w:tc>
      </w:tr>
      <w:tr w14:paraId="0028B2F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restart"/>
            <w:tcBorders>
              <w:bottom w:val="nil"/>
            </w:tcBorders>
            <w:noWrap w:val="0"/>
            <w:vAlign w:val="center"/>
          </w:tcPr>
          <w:p w14:paraId="22E4BB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山东省突</w:t>
            </w:r>
          </w:p>
          <w:p w14:paraId="1FDFE6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发环境事</w:t>
            </w:r>
          </w:p>
          <w:p w14:paraId="4FC4AD7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件预案</w:t>
            </w:r>
          </w:p>
        </w:tc>
        <w:tc>
          <w:tcPr>
            <w:tcW w:w="8366" w:type="dxa"/>
            <w:noWrap w:val="0"/>
            <w:vAlign w:val="center"/>
          </w:tcPr>
          <w:p w14:paraId="7B9AD3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本预案遵循山东省应急预案预警标识设置要求，便于突发事故应急响应</w:t>
            </w:r>
          </w:p>
        </w:tc>
      </w:tr>
      <w:tr w14:paraId="146FDC7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3BDF80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6A355C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本预案应按照省级应急预案的响应程序，制定详细的上报响应方式</w:t>
            </w:r>
          </w:p>
        </w:tc>
      </w:tr>
      <w:tr w14:paraId="57297C3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bottom w:val="nil"/>
            </w:tcBorders>
            <w:noWrap w:val="0"/>
            <w:vAlign w:val="center"/>
          </w:tcPr>
          <w:p w14:paraId="50CFAD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0D9E15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本预案应依托省级应急预案的各种应急保障措施，发生突发事故后应立即向预案指挥中心上 报，要求获得交通运输、物资、治安及经费等保障</w:t>
            </w:r>
          </w:p>
        </w:tc>
      </w:tr>
      <w:tr w14:paraId="341707D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1018" w:type="dxa"/>
            <w:vMerge w:val="continue"/>
            <w:tcBorders>
              <w:top w:val="nil"/>
            </w:tcBorders>
            <w:noWrap w:val="0"/>
            <w:vAlign w:val="center"/>
          </w:tcPr>
          <w:p w14:paraId="6F2FE51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126E5B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本预案应详细标识省级应急预案指挥中心的联系电话、联系人等，作为本预案的附件</w:t>
            </w:r>
          </w:p>
        </w:tc>
      </w:tr>
    </w:tbl>
    <w:p w14:paraId="48689626">
      <w:pPr>
        <w:pStyle w:val="107"/>
        <w:keepNext w:val="0"/>
        <w:keepLines w:val="0"/>
        <w:pageBreakBefore w:val="0"/>
        <w:kinsoku/>
        <w:wordWrap/>
        <w:overflowPunct/>
        <w:topLinePunct w:val="0"/>
        <w:bidi w:val="0"/>
        <w:adjustRightInd w:val="0"/>
        <w:snapToGrid w:val="0"/>
        <w:spacing w:line="360" w:lineRule="auto"/>
        <w:ind w:right="0"/>
        <w:jc w:val="center"/>
        <w:textAlignment w:val="auto"/>
        <w:outlineLvl w:val="9"/>
        <w:rPr>
          <w:rFonts w:hint="default"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lang w:val="en-US" w:eastAsia="zh-CN"/>
        </w:rPr>
        <w:object>
          <v:shape id="_x0000_i1032" o:spt="75" type="#_x0000_t75" style="height:276.05pt;width:388.5pt;" o:ole="t" filled="f" o:preferrelative="t" stroked="f" coordsize="21600,21600">
            <v:path/>
            <v:fill on="f" focussize="0,0"/>
            <v:stroke on="f"/>
            <v:imagedata r:id="rId61" o:title=""/>
            <o:lock v:ext="edit" aspectratio="f"/>
            <w10:wrap type="none"/>
            <w10:anchorlock/>
          </v:shape>
          <o:OLEObject Type="Embed" ProgID="Visio.Drawing.15" ShapeID="_x0000_i1032" DrawAspect="Content" ObjectID="_1468075732" r:id="rId60">
            <o:LockedField>false</o:LockedField>
          </o:OLEObject>
        </w:object>
      </w:r>
    </w:p>
    <w:p w14:paraId="0F4CA238">
      <w:pPr>
        <w:pStyle w:val="107"/>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sz w:val="24"/>
          <w:szCs w:val="22"/>
          <w:lang w:val="en-US" w:eastAsia="zh-CN"/>
        </w:rPr>
      </w:pPr>
      <w:bookmarkStart w:id="148" w:name="_Toc9961"/>
      <w:bookmarkStart w:id="149" w:name="_Toc19597"/>
      <w:bookmarkStart w:id="150" w:name="_Toc13346"/>
      <w:r>
        <w:rPr>
          <w:rFonts w:hint="default" w:ascii="Times New Roman" w:hAnsi="Times New Roman" w:eastAsia="宋体" w:cs="Times New Roman"/>
          <w:b/>
          <w:bCs w:val="0"/>
          <w:color w:val="auto"/>
          <w:sz w:val="24"/>
          <w:szCs w:val="22"/>
          <w:lang w:val="en-US" w:eastAsia="zh-CN"/>
        </w:rPr>
        <w:t>图 7.5-</w:t>
      </w:r>
      <w:r>
        <w:rPr>
          <w:rFonts w:hint="eastAsia" w:ascii="Times New Roman" w:hAnsi="Times New Roman" w:eastAsia="宋体" w:cs="Times New Roman"/>
          <w:b/>
          <w:bCs w:val="0"/>
          <w:color w:val="auto"/>
          <w:sz w:val="24"/>
          <w:szCs w:val="22"/>
          <w:lang w:val="en-US" w:eastAsia="zh-CN"/>
        </w:rPr>
        <w:t>1</w:t>
      </w:r>
      <w:r>
        <w:rPr>
          <w:rFonts w:hint="default" w:ascii="Times New Roman" w:hAnsi="Times New Roman" w:eastAsia="宋体" w:cs="Times New Roman"/>
          <w:b/>
          <w:bCs w:val="0"/>
          <w:color w:val="auto"/>
          <w:sz w:val="24"/>
          <w:szCs w:val="22"/>
          <w:lang w:val="en-US" w:eastAsia="zh-CN"/>
        </w:rPr>
        <w:t xml:space="preserve">   应急预案响应联动方案</w:t>
      </w:r>
      <w:bookmarkEnd w:id="148"/>
      <w:bookmarkEnd w:id="149"/>
      <w:bookmarkEnd w:id="150"/>
    </w:p>
    <w:p w14:paraId="46B805AF">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textAlignment w:val="auto"/>
        <w:outlineLvl w:val="9"/>
        <w:rPr>
          <w:rFonts w:hint="default" w:ascii="Times New Roman" w:hAnsi="Times New Roman" w:eastAsia="宋体" w:cs="Times New Roman"/>
          <w:b/>
          <w:bCs w:val="0"/>
          <w:color w:val="auto"/>
          <w:sz w:val="28"/>
          <w:szCs w:val="24"/>
          <w:lang w:eastAsia="zh-CN"/>
        </w:rPr>
      </w:pPr>
      <w:bookmarkStart w:id="151" w:name="_Toc17445"/>
      <w:r>
        <w:rPr>
          <w:rFonts w:hint="default" w:ascii="Times New Roman" w:hAnsi="Times New Roman" w:eastAsia="宋体" w:cs="Times New Roman"/>
          <w:b/>
          <w:bCs w:val="0"/>
          <w:color w:val="auto"/>
          <w:sz w:val="28"/>
          <w:szCs w:val="24"/>
          <w:lang w:val="en-US" w:eastAsia="zh-CN"/>
        </w:rPr>
        <w:t>7.5.4 应急救援保障</w:t>
      </w:r>
      <w:bookmarkEnd w:id="151"/>
      <w:r>
        <w:rPr>
          <w:rFonts w:hint="default" w:ascii="Times New Roman" w:hAnsi="Times New Roman" w:eastAsia="宋体" w:cs="Times New Roman"/>
          <w:b/>
          <w:bCs w:val="0"/>
          <w:color w:val="auto"/>
          <w:sz w:val="28"/>
          <w:szCs w:val="24"/>
          <w:lang w:val="en-US" w:eastAsia="zh-CN"/>
        </w:rPr>
        <w:t xml:space="preserve"> </w:t>
      </w:r>
    </w:p>
    <w:p w14:paraId="639120A4">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52" w:name="_Toc31515"/>
      <w:bookmarkStart w:id="153" w:name="_Toc6313"/>
      <w:bookmarkStart w:id="154" w:name="_Toc9543"/>
      <w:r>
        <w:rPr>
          <w:rFonts w:hint="default" w:ascii="Times New Roman" w:hAnsi="Times New Roman" w:eastAsia="宋体" w:cs="Times New Roman"/>
          <w:b w:val="0"/>
          <w:color w:val="auto"/>
          <w:kern w:val="0"/>
          <w:sz w:val="24"/>
          <w:szCs w:val="24"/>
          <w:lang w:val="en-US" w:eastAsia="zh-CN" w:bidi="ar"/>
        </w:rPr>
        <w:t>（一）通信与信息保障</w:t>
      </w:r>
      <w:bookmarkEnd w:id="152"/>
      <w:bookmarkEnd w:id="153"/>
      <w:bookmarkEnd w:id="154"/>
    </w:p>
    <w:p w14:paraId="62667F93">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55" w:name="_Toc30525"/>
      <w:bookmarkStart w:id="156" w:name="_Toc18406"/>
      <w:bookmarkStart w:id="157" w:name="_Toc13041"/>
      <w:r>
        <w:rPr>
          <w:rFonts w:hint="default" w:ascii="Times New Roman" w:hAnsi="Times New Roman" w:eastAsia="宋体" w:cs="Times New Roman"/>
          <w:b w:val="0"/>
          <w:color w:val="auto"/>
          <w:kern w:val="0"/>
          <w:sz w:val="24"/>
          <w:szCs w:val="24"/>
          <w:lang w:val="en-US" w:eastAsia="zh-CN" w:bidi="ar"/>
        </w:rPr>
        <w:t>为保障信息通畅，采用公司内部电话、车间固定电话及涉及本预案人员办公室电话、手机等多种渠道进行相互之间的联系，应急救援指挥部人员的手机必须24小时开机，确保能够及时沟通信息。事故发生时，动力部电话线路维护人员随时待命，一旦出现线路故障，及时修理，确保应急期间信息通畅。</w:t>
      </w:r>
      <w:bookmarkEnd w:id="155"/>
      <w:bookmarkEnd w:id="156"/>
      <w:bookmarkEnd w:id="157"/>
    </w:p>
    <w:p w14:paraId="5A49936F">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58" w:name="_Toc23835"/>
      <w:bookmarkStart w:id="159" w:name="_Toc29551"/>
      <w:bookmarkStart w:id="160" w:name="_Toc2322"/>
      <w:r>
        <w:rPr>
          <w:rFonts w:hint="default" w:ascii="Times New Roman" w:hAnsi="Times New Roman" w:eastAsia="宋体" w:cs="Times New Roman"/>
          <w:b w:val="0"/>
          <w:color w:val="auto"/>
          <w:kern w:val="0"/>
          <w:sz w:val="24"/>
          <w:szCs w:val="24"/>
          <w:lang w:val="en-US" w:eastAsia="zh-CN" w:bidi="ar"/>
        </w:rPr>
        <w:t>事故发生较大，无法控制时，需要外部支援，要求员工熟知常用的救援电话。</w:t>
      </w:r>
      <w:bookmarkEnd w:id="158"/>
      <w:bookmarkEnd w:id="159"/>
      <w:bookmarkEnd w:id="160"/>
    </w:p>
    <w:p w14:paraId="5EC2F525">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61" w:name="_Toc1727"/>
      <w:bookmarkStart w:id="162" w:name="_Toc13095"/>
      <w:bookmarkStart w:id="163" w:name="_Toc17991"/>
      <w:r>
        <w:rPr>
          <w:rFonts w:hint="default" w:ascii="Times New Roman" w:hAnsi="Times New Roman" w:eastAsia="宋体" w:cs="Times New Roman"/>
          <w:b w:val="0"/>
          <w:color w:val="auto"/>
          <w:kern w:val="0"/>
          <w:sz w:val="24"/>
          <w:szCs w:val="24"/>
          <w:lang w:val="en-US" w:eastAsia="zh-CN" w:bidi="ar"/>
        </w:rPr>
        <w:t>遇到紧急事故及时采取应对措施，所有信息上报安全科并建立严密的联系网络。</w:t>
      </w:r>
      <w:bookmarkEnd w:id="161"/>
      <w:bookmarkEnd w:id="162"/>
      <w:bookmarkEnd w:id="163"/>
    </w:p>
    <w:p w14:paraId="45AD3675">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64" w:name="_Toc21822"/>
      <w:bookmarkStart w:id="165" w:name="_Toc27602"/>
      <w:bookmarkStart w:id="166" w:name="_Toc13500"/>
      <w:r>
        <w:rPr>
          <w:rFonts w:hint="default" w:ascii="Times New Roman" w:hAnsi="Times New Roman" w:eastAsia="宋体" w:cs="Times New Roman"/>
          <w:b w:val="0"/>
          <w:color w:val="auto"/>
          <w:kern w:val="0"/>
          <w:sz w:val="24"/>
          <w:szCs w:val="24"/>
          <w:lang w:val="en-US" w:eastAsia="zh-CN" w:bidi="ar"/>
        </w:rPr>
        <w:t>（二）应急物资装备保障</w:t>
      </w:r>
      <w:bookmarkEnd w:id="164"/>
      <w:bookmarkEnd w:id="165"/>
      <w:bookmarkEnd w:id="166"/>
    </w:p>
    <w:p w14:paraId="3F2E86E0">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67" w:name="_Toc5308"/>
      <w:bookmarkStart w:id="168" w:name="_Toc31776"/>
      <w:bookmarkStart w:id="169" w:name="_Toc1454"/>
      <w:r>
        <w:rPr>
          <w:rFonts w:hint="default" w:ascii="Times New Roman" w:hAnsi="Times New Roman" w:eastAsia="宋体" w:cs="Times New Roman"/>
          <w:b w:val="0"/>
          <w:color w:val="auto"/>
          <w:kern w:val="0"/>
          <w:sz w:val="24"/>
          <w:szCs w:val="24"/>
          <w:lang w:val="en-US" w:eastAsia="zh-CN" w:bidi="ar"/>
        </w:rPr>
        <w:t>本项目根据项目实际情况</w:t>
      </w:r>
      <w:r>
        <w:rPr>
          <w:rFonts w:hint="eastAsia" w:ascii="Times New Roman" w:hAnsi="Times New Roman" w:eastAsia="宋体" w:cs="Times New Roman"/>
          <w:b w:val="0"/>
          <w:color w:val="auto"/>
          <w:kern w:val="0"/>
          <w:sz w:val="24"/>
          <w:szCs w:val="24"/>
          <w:lang w:val="en-US" w:eastAsia="zh-CN" w:bidi="ar"/>
        </w:rPr>
        <w:t>购买</w:t>
      </w:r>
      <w:r>
        <w:rPr>
          <w:rFonts w:hint="default" w:ascii="Times New Roman" w:hAnsi="Times New Roman" w:eastAsia="宋体" w:cs="Times New Roman"/>
          <w:b w:val="0"/>
          <w:color w:val="auto"/>
          <w:kern w:val="0"/>
          <w:sz w:val="24"/>
          <w:szCs w:val="24"/>
          <w:lang w:val="en-US" w:eastAsia="zh-CN" w:bidi="ar"/>
        </w:rPr>
        <w:t>灭火器、</w:t>
      </w:r>
      <w:r>
        <w:rPr>
          <w:rFonts w:hint="eastAsia" w:ascii="Times New Roman" w:hAnsi="Times New Roman" w:eastAsia="宋体" w:cs="Times New Roman"/>
          <w:b w:val="0"/>
          <w:color w:val="auto"/>
          <w:kern w:val="0"/>
          <w:sz w:val="24"/>
          <w:szCs w:val="24"/>
          <w:lang w:val="en-US" w:eastAsia="zh-CN" w:bidi="ar"/>
        </w:rPr>
        <w:t>铁锹、砂袋、</w:t>
      </w:r>
      <w:r>
        <w:rPr>
          <w:rFonts w:hint="default" w:ascii="Times New Roman" w:hAnsi="Times New Roman" w:eastAsia="宋体" w:cs="Times New Roman"/>
          <w:b w:val="0"/>
          <w:color w:val="auto"/>
          <w:kern w:val="0"/>
          <w:sz w:val="24"/>
          <w:szCs w:val="24"/>
          <w:lang w:val="en-US" w:eastAsia="zh-CN" w:bidi="ar"/>
        </w:rPr>
        <w:t>消防栓、消防管网、个体防护装备等</w:t>
      </w:r>
      <w:r>
        <w:rPr>
          <w:rFonts w:hint="eastAsia" w:ascii="Times New Roman" w:hAnsi="Times New Roman" w:eastAsia="宋体" w:cs="Times New Roman"/>
          <w:b w:val="0"/>
          <w:color w:val="auto"/>
          <w:kern w:val="0"/>
          <w:sz w:val="24"/>
          <w:szCs w:val="24"/>
          <w:lang w:val="en-US" w:eastAsia="zh-CN" w:bidi="ar"/>
        </w:rPr>
        <w:t>工具</w:t>
      </w:r>
      <w:r>
        <w:rPr>
          <w:rFonts w:hint="default" w:ascii="Times New Roman" w:hAnsi="Times New Roman" w:eastAsia="宋体" w:cs="Times New Roman"/>
          <w:b w:val="0"/>
          <w:color w:val="auto"/>
          <w:kern w:val="0"/>
          <w:sz w:val="24"/>
          <w:szCs w:val="24"/>
          <w:lang w:val="en-US" w:eastAsia="zh-CN" w:bidi="ar"/>
        </w:rPr>
        <w:t>。发生事故时，可以立即调度公司应急抢险专用工具、设备，进行抢险救援。</w:t>
      </w:r>
      <w:bookmarkEnd w:id="167"/>
      <w:bookmarkEnd w:id="168"/>
      <w:bookmarkEnd w:id="169"/>
    </w:p>
    <w:p w14:paraId="0EE135DF">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70" w:name="_Toc21899"/>
      <w:bookmarkStart w:id="171" w:name="_Toc10902"/>
      <w:bookmarkStart w:id="172" w:name="_Toc14000"/>
      <w:r>
        <w:rPr>
          <w:rFonts w:hint="default" w:ascii="Times New Roman" w:hAnsi="Times New Roman" w:eastAsia="宋体" w:cs="Times New Roman"/>
          <w:b w:val="0"/>
          <w:color w:val="auto"/>
          <w:kern w:val="0"/>
          <w:sz w:val="24"/>
          <w:szCs w:val="24"/>
          <w:lang w:val="en-US" w:eastAsia="zh-CN" w:bidi="ar"/>
        </w:rPr>
        <w:t>（三）其它保障</w:t>
      </w:r>
      <w:bookmarkEnd w:id="170"/>
      <w:bookmarkEnd w:id="171"/>
      <w:bookmarkEnd w:id="172"/>
    </w:p>
    <w:p w14:paraId="562FEB9C">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73" w:name="_Toc3975"/>
      <w:bookmarkStart w:id="174" w:name="_Toc28310"/>
      <w:bookmarkStart w:id="175" w:name="_Toc31333"/>
      <w:r>
        <w:rPr>
          <w:rFonts w:hint="default" w:ascii="Times New Roman" w:hAnsi="Times New Roman" w:eastAsia="宋体" w:cs="Times New Roman"/>
          <w:b w:val="0"/>
          <w:color w:val="auto"/>
          <w:kern w:val="0"/>
          <w:sz w:val="24"/>
          <w:szCs w:val="24"/>
          <w:lang w:val="en-US" w:eastAsia="zh-CN" w:bidi="ar"/>
        </w:rPr>
        <w:t>1、责任制：同应急救援组织机构组成人员的职责。</w:t>
      </w:r>
      <w:bookmarkEnd w:id="173"/>
      <w:bookmarkEnd w:id="174"/>
      <w:bookmarkEnd w:id="175"/>
    </w:p>
    <w:p w14:paraId="7D032111">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76" w:name="_Toc11227"/>
      <w:bookmarkStart w:id="177" w:name="_Toc9285"/>
      <w:bookmarkStart w:id="178" w:name="_Toc15759"/>
      <w:r>
        <w:rPr>
          <w:rFonts w:hint="default" w:ascii="Times New Roman" w:hAnsi="Times New Roman" w:eastAsia="宋体" w:cs="Times New Roman"/>
          <w:b w:val="0"/>
          <w:color w:val="auto"/>
          <w:kern w:val="0"/>
          <w:sz w:val="24"/>
          <w:szCs w:val="24"/>
          <w:lang w:val="en-US" w:eastAsia="zh-CN" w:bidi="ar"/>
        </w:rPr>
        <w:t>2、值班制度：值班时间24小时，值班人员由后勤值班人员组成，遇有问题及时处理，并及时报指挥部。</w:t>
      </w:r>
      <w:bookmarkEnd w:id="176"/>
      <w:bookmarkEnd w:id="177"/>
      <w:bookmarkEnd w:id="178"/>
    </w:p>
    <w:p w14:paraId="7974D36B">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79" w:name="_Toc21361"/>
      <w:bookmarkStart w:id="180" w:name="_Toc13297"/>
      <w:bookmarkStart w:id="181" w:name="_Toc12956"/>
      <w:r>
        <w:rPr>
          <w:rFonts w:hint="default" w:ascii="Times New Roman" w:hAnsi="Times New Roman" w:eastAsia="宋体" w:cs="Times New Roman"/>
          <w:b w:val="0"/>
          <w:color w:val="auto"/>
          <w:kern w:val="0"/>
          <w:sz w:val="24"/>
          <w:szCs w:val="24"/>
          <w:lang w:val="en-US" w:eastAsia="zh-CN" w:bidi="ar"/>
        </w:rPr>
        <w:t>3、培训制度：每年进行一次公司内职工安全培训，针对</w:t>
      </w:r>
      <w:r>
        <w:rPr>
          <w:rFonts w:hint="eastAsia" w:ascii="Times New Roman" w:hAnsi="Times New Roman" w:eastAsia="宋体" w:cs="Times New Roman"/>
          <w:b w:val="0"/>
          <w:color w:val="auto"/>
          <w:kern w:val="0"/>
          <w:sz w:val="24"/>
          <w:szCs w:val="24"/>
          <w:lang w:val="en-US" w:eastAsia="zh-CN" w:bidi="ar"/>
        </w:rPr>
        <w:t>风</w:t>
      </w:r>
      <w:r>
        <w:rPr>
          <w:rFonts w:hint="default" w:ascii="Times New Roman" w:hAnsi="Times New Roman" w:eastAsia="宋体" w:cs="Times New Roman"/>
          <w:b w:val="0"/>
          <w:color w:val="auto"/>
          <w:kern w:val="0"/>
          <w:sz w:val="24"/>
          <w:szCs w:val="24"/>
          <w:lang w:val="en-US" w:eastAsia="zh-CN" w:bidi="ar"/>
        </w:rPr>
        <w:t>险</w:t>
      </w:r>
      <w:r>
        <w:rPr>
          <w:rFonts w:hint="eastAsia" w:ascii="Times New Roman" w:hAnsi="Times New Roman" w:eastAsia="宋体" w:cs="Times New Roman"/>
          <w:b w:val="0"/>
          <w:color w:val="auto"/>
          <w:kern w:val="0"/>
          <w:sz w:val="24"/>
          <w:szCs w:val="24"/>
          <w:lang w:val="en-US" w:eastAsia="zh-CN" w:bidi="ar"/>
        </w:rPr>
        <w:t>物质</w:t>
      </w:r>
      <w:r>
        <w:rPr>
          <w:rFonts w:hint="default" w:ascii="Times New Roman" w:hAnsi="Times New Roman" w:eastAsia="宋体" w:cs="Times New Roman"/>
          <w:b w:val="0"/>
          <w:color w:val="auto"/>
          <w:kern w:val="0"/>
          <w:sz w:val="24"/>
          <w:szCs w:val="24"/>
          <w:lang w:val="en-US" w:eastAsia="zh-CN" w:bidi="ar"/>
        </w:rPr>
        <w:t>特性及防护措施重点培训，努力提高全员的安全防范能力。</w:t>
      </w:r>
      <w:bookmarkEnd w:id="179"/>
      <w:bookmarkEnd w:id="180"/>
      <w:bookmarkEnd w:id="181"/>
    </w:p>
    <w:p w14:paraId="40ED6890">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82" w:name="_Toc659"/>
      <w:bookmarkStart w:id="183" w:name="_Toc21753"/>
      <w:bookmarkStart w:id="184" w:name="_Toc31608"/>
      <w:r>
        <w:rPr>
          <w:rFonts w:hint="eastAsia" w:ascii="Times New Roman" w:hAnsi="Times New Roman" w:eastAsia="宋体" w:cs="Times New Roman"/>
          <w:b w:val="0"/>
          <w:color w:val="auto"/>
          <w:kern w:val="0"/>
          <w:sz w:val="24"/>
          <w:szCs w:val="24"/>
          <w:lang w:val="en-US" w:eastAsia="zh-CN" w:bidi="ar"/>
        </w:rPr>
        <w:t>4</w:t>
      </w:r>
      <w:r>
        <w:rPr>
          <w:rFonts w:hint="default" w:ascii="Times New Roman" w:hAnsi="Times New Roman" w:eastAsia="宋体" w:cs="Times New Roman"/>
          <w:b w:val="0"/>
          <w:color w:val="auto"/>
          <w:kern w:val="0"/>
          <w:sz w:val="24"/>
          <w:szCs w:val="24"/>
          <w:lang w:val="en-US" w:eastAsia="zh-CN" w:bidi="ar"/>
        </w:rPr>
        <w:t>、检查制度：每月由应急指挥部组织结合安全生产工作对应急救援组织、材料、装备情况检查一次，发现问题及时整改。</w:t>
      </w:r>
      <w:bookmarkEnd w:id="182"/>
      <w:bookmarkEnd w:id="183"/>
      <w:bookmarkEnd w:id="184"/>
    </w:p>
    <w:p w14:paraId="6EC7121C">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85" w:name="_Toc2486"/>
      <w:bookmarkStart w:id="186" w:name="_Toc2722"/>
      <w:bookmarkStart w:id="187" w:name="_Toc25556"/>
      <w:r>
        <w:rPr>
          <w:rFonts w:hint="eastAsia" w:ascii="Times New Roman" w:hAnsi="Times New Roman" w:eastAsia="宋体" w:cs="Times New Roman"/>
          <w:b w:val="0"/>
          <w:color w:val="auto"/>
          <w:kern w:val="0"/>
          <w:sz w:val="24"/>
          <w:szCs w:val="24"/>
          <w:lang w:val="en-US" w:eastAsia="zh-CN" w:bidi="ar"/>
        </w:rPr>
        <w:t>5</w:t>
      </w:r>
      <w:r>
        <w:rPr>
          <w:rFonts w:hint="default" w:ascii="Times New Roman" w:hAnsi="Times New Roman" w:eastAsia="宋体" w:cs="Times New Roman"/>
          <w:b w:val="0"/>
          <w:color w:val="auto"/>
          <w:kern w:val="0"/>
          <w:sz w:val="24"/>
          <w:szCs w:val="24"/>
          <w:lang w:val="en-US" w:eastAsia="zh-CN" w:bidi="ar"/>
        </w:rPr>
        <w:t>、演练制度：每年组织2次公司级的应急预案演练。</w:t>
      </w:r>
      <w:bookmarkEnd w:id="185"/>
      <w:bookmarkEnd w:id="186"/>
      <w:bookmarkEnd w:id="187"/>
    </w:p>
    <w:p w14:paraId="103A6117">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88" w:name="_Toc4879"/>
      <w:bookmarkStart w:id="189" w:name="_Toc17859"/>
      <w:bookmarkStart w:id="190" w:name="_Toc28013"/>
      <w:r>
        <w:rPr>
          <w:rFonts w:hint="eastAsia" w:ascii="Times New Roman" w:hAnsi="Times New Roman" w:eastAsia="宋体" w:cs="Times New Roman"/>
          <w:b w:val="0"/>
          <w:color w:val="auto"/>
          <w:kern w:val="0"/>
          <w:sz w:val="24"/>
          <w:szCs w:val="24"/>
          <w:lang w:val="en-US" w:eastAsia="zh-CN" w:bidi="ar"/>
        </w:rPr>
        <w:t>6</w:t>
      </w:r>
      <w:r>
        <w:rPr>
          <w:rFonts w:hint="default" w:ascii="Times New Roman" w:hAnsi="Times New Roman" w:eastAsia="宋体" w:cs="Times New Roman"/>
          <w:b w:val="0"/>
          <w:color w:val="auto"/>
          <w:kern w:val="0"/>
          <w:sz w:val="24"/>
          <w:szCs w:val="24"/>
          <w:lang w:val="en-US" w:eastAsia="zh-CN" w:bidi="ar"/>
        </w:rPr>
        <w:t>、交通运输保障：根据事故应积救援需要，调集厂内的救护车。</w:t>
      </w:r>
      <w:bookmarkEnd w:id="188"/>
      <w:bookmarkEnd w:id="189"/>
      <w:bookmarkEnd w:id="190"/>
    </w:p>
    <w:p w14:paraId="063D3516">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91" w:name="_Toc30211"/>
      <w:bookmarkStart w:id="192" w:name="_Toc22058"/>
      <w:bookmarkStart w:id="193" w:name="_Toc16521"/>
      <w:r>
        <w:rPr>
          <w:rFonts w:hint="eastAsia" w:ascii="Times New Roman" w:hAnsi="Times New Roman" w:eastAsia="宋体" w:cs="Times New Roman"/>
          <w:b w:val="0"/>
          <w:color w:val="auto"/>
          <w:kern w:val="0"/>
          <w:sz w:val="24"/>
          <w:szCs w:val="24"/>
          <w:lang w:val="en-US" w:eastAsia="zh-CN" w:bidi="ar"/>
        </w:rPr>
        <w:t>7</w:t>
      </w:r>
      <w:r>
        <w:rPr>
          <w:rFonts w:hint="default" w:ascii="Times New Roman" w:hAnsi="Times New Roman" w:eastAsia="宋体" w:cs="Times New Roman"/>
          <w:b w:val="0"/>
          <w:color w:val="auto"/>
          <w:kern w:val="0"/>
          <w:sz w:val="24"/>
          <w:szCs w:val="24"/>
          <w:lang w:val="en-US" w:eastAsia="zh-CN" w:bidi="ar"/>
        </w:rPr>
        <w:t>、治安保障：根据事故应急救援需要，调集联防人员进行协助管理。</w:t>
      </w:r>
      <w:bookmarkEnd w:id="191"/>
      <w:bookmarkEnd w:id="192"/>
      <w:bookmarkEnd w:id="193"/>
    </w:p>
    <w:p w14:paraId="09ADFD11">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94" w:name="_Toc4012"/>
      <w:bookmarkStart w:id="195" w:name="_Toc32033"/>
      <w:bookmarkStart w:id="196" w:name="_Toc7805"/>
      <w:r>
        <w:rPr>
          <w:rFonts w:hint="default" w:ascii="Times New Roman" w:hAnsi="Times New Roman" w:eastAsia="宋体" w:cs="Times New Roman"/>
          <w:b w:val="0"/>
          <w:color w:val="auto"/>
          <w:kern w:val="0"/>
          <w:sz w:val="24"/>
          <w:szCs w:val="24"/>
          <w:lang w:val="en-US" w:eastAsia="zh-CN" w:bidi="ar"/>
        </w:rPr>
        <w:t>（四）注意事项</w:t>
      </w:r>
      <w:bookmarkEnd w:id="194"/>
      <w:bookmarkEnd w:id="195"/>
      <w:bookmarkEnd w:id="196"/>
    </w:p>
    <w:p w14:paraId="2171870D">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197" w:name="_Toc1548"/>
      <w:bookmarkStart w:id="198" w:name="_Toc16462"/>
      <w:bookmarkStart w:id="199" w:name="_Toc26389"/>
      <w:r>
        <w:rPr>
          <w:rFonts w:hint="default" w:ascii="Times New Roman" w:hAnsi="Times New Roman" w:eastAsia="宋体" w:cs="Times New Roman"/>
          <w:b w:val="0"/>
          <w:color w:val="auto"/>
          <w:kern w:val="0"/>
          <w:sz w:val="24"/>
          <w:szCs w:val="24"/>
          <w:lang w:val="en-US" w:eastAsia="zh-CN" w:bidi="ar"/>
        </w:rPr>
        <w:t>1、落实应急救援组织，确保事故发生时能及时集合并开展救援。</w:t>
      </w:r>
      <w:bookmarkEnd w:id="197"/>
      <w:bookmarkEnd w:id="198"/>
      <w:bookmarkEnd w:id="199"/>
    </w:p>
    <w:p w14:paraId="24B4E92A">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00" w:name="_Toc15778"/>
      <w:bookmarkStart w:id="201" w:name="_Toc18006"/>
      <w:bookmarkStart w:id="202" w:name="_Toc11767"/>
      <w:r>
        <w:rPr>
          <w:rFonts w:hint="default" w:ascii="Times New Roman" w:hAnsi="Times New Roman" w:eastAsia="宋体" w:cs="Times New Roman"/>
          <w:b w:val="0"/>
          <w:color w:val="auto"/>
          <w:kern w:val="0"/>
          <w:sz w:val="24"/>
          <w:szCs w:val="24"/>
          <w:lang w:val="en-US" w:eastAsia="zh-CN" w:bidi="ar"/>
        </w:rPr>
        <w:t>2、各项应急救援器材和资料由专人保管，确保完好可随时调用。应急救援器材包括报警、通讯设备、灭火器材、防护设施等，定期检查、保养，确保处于良好状态。应急救援相关资料包括消防设施配置图、工艺流程图、平面布置图和周边地区图、气象资料等。</w:t>
      </w:r>
      <w:bookmarkEnd w:id="200"/>
      <w:bookmarkEnd w:id="201"/>
      <w:bookmarkEnd w:id="202"/>
    </w:p>
    <w:p w14:paraId="60A27C3A">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03" w:name="_Toc4803"/>
      <w:bookmarkStart w:id="204" w:name="_Toc6460"/>
      <w:bookmarkStart w:id="205" w:name="_Toc10734"/>
      <w:r>
        <w:rPr>
          <w:rFonts w:hint="default" w:ascii="Times New Roman" w:hAnsi="Times New Roman" w:eastAsia="宋体" w:cs="Times New Roman"/>
          <w:b w:val="0"/>
          <w:color w:val="auto"/>
          <w:kern w:val="0"/>
          <w:sz w:val="24"/>
          <w:szCs w:val="24"/>
          <w:lang w:val="en-US" w:eastAsia="zh-CN" w:bidi="ar"/>
        </w:rPr>
        <w:t>3、加强应急救援培训和演练。定期组织应急救援训练和学习，对全厂职工进行经常性的救护常识教育。</w:t>
      </w:r>
      <w:bookmarkEnd w:id="203"/>
      <w:bookmarkEnd w:id="204"/>
      <w:bookmarkEnd w:id="205"/>
    </w:p>
    <w:p w14:paraId="797DCDFC">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06" w:name="_Toc19873"/>
      <w:bookmarkStart w:id="207" w:name="_Toc28426"/>
      <w:bookmarkStart w:id="208" w:name="_Toc25054"/>
      <w:r>
        <w:rPr>
          <w:rFonts w:hint="default" w:ascii="Times New Roman" w:hAnsi="Times New Roman" w:eastAsia="宋体" w:cs="Times New Roman"/>
          <w:b w:val="0"/>
          <w:color w:val="auto"/>
          <w:kern w:val="0"/>
          <w:sz w:val="24"/>
          <w:szCs w:val="24"/>
          <w:lang w:val="en-US" w:eastAsia="zh-CN" w:bidi="ar"/>
        </w:rPr>
        <w:t>4、加强安全管理，落实各项安全管理制度，包括值班制度、检查制度等，确保事 故发生后能迅速组织应急救援。</w:t>
      </w:r>
      <w:bookmarkEnd w:id="206"/>
      <w:bookmarkEnd w:id="207"/>
      <w:bookmarkEnd w:id="208"/>
    </w:p>
    <w:p w14:paraId="5127401E">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textAlignment w:val="auto"/>
        <w:outlineLvl w:val="9"/>
        <w:rPr>
          <w:rFonts w:hint="default" w:ascii="Times New Roman" w:hAnsi="Times New Roman" w:eastAsia="宋体" w:cs="Times New Roman"/>
          <w:b/>
          <w:bCs w:val="0"/>
          <w:color w:val="auto"/>
          <w:sz w:val="28"/>
          <w:szCs w:val="24"/>
          <w:lang w:val="en-US" w:eastAsia="zh-CN"/>
        </w:rPr>
      </w:pPr>
      <w:bookmarkStart w:id="209" w:name="_Toc13081"/>
      <w:r>
        <w:rPr>
          <w:rFonts w:hint="default" w:ascii="Times New Roman" w:hAnsi="Times New Roman" w:eastAsia="宋体" w:cs="Times New Roman"/>
          <w:b/>
          <w:bCs w:val="0"/>
          <w:color w:val="auto"/>
          <w:sz w:val="28"/>
          <w:szCs w:val="24"/>
          <w:lang w:val="en-US" w:eastAsia="zh-CN"/>
        </w:rPr>
        <w:t>7.5.5紧急安全疏散</w:t>
      </w:r>
      <w:bookmarkEnd w:id="209"/>
    </w:p>
    <w:p w14:paraId="50710AC6">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10" w:name="_Toc20255"/>
      <w:bookmarkStart w:id="211" w:name="_Toc7861"/>
      <w:bookmarkStart w:id="212" w:name="_Toc4728"/>
      <w:r>
        <w:rPr>
          <w:rFonts w:hint="default" w:ascii="Times New Roman" w:hAnsi="Times New Roman" w:eastAsia="宋体" w:cs="Times New Roman"/>
          <w:b w:val="0"/>
          <w:color w:val="auto"/>
          <w:kern w:val="0"/>
          <w:sz w:val="24"/>
          <w:szCs w:val="24"/>
          <w:lang w:val="en-US" w:eastAsia="zh-CN" w:bidi="ar"/>
        </w:rPr>
        <w:t>（一）警戒疏散</w:t>
      </w:r>
      <w:bookmarkEnd w:id="210"/>
      <w:bookmarkEnd w:id="211"/>
      <w:bookmarkEnd w:id="212"/>
    </w:p>
    <w:p w14:paraId="7B211863">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13" w:name="_Toc24694"/>
      <w:bookmarkStart w:id="214" w:name="_Toc15584"/>
      <w:bookmarkStart w:id="215" w:name="_Toc23526"/>
      <w:r>
        <w:rPr>
          <w:rFonts w:hint="default" w:ascii="Times New Roman" w:hAnsi="Times New Roman" w:eastAsia="宋体" w:cs="Times New Roman"/>
          <w:b w:val="0"/>
          <w:color w:val="auto"/>
          <w:kern w:val="0"/>
          <w:sz w:val="24"/>
          <w:szCs w:val="24"/>
          <w:lang w:val="en-US" w:eastAsia="zh-CN" w:bidi="ar"/>
        </w:rPr>
        <w:t>当发生火灾、</w:t>
      </w:r>
      <w:r>
        <w:rPr>
          <w:rFonts w:hint="eastAsia" w:ascii="Times New Roman" w:hAnsi="Times New Roman" w:eastAsia="宋体" w:cs="Times New Roman"/>
          <w:b w:val="0"/>
          <w:color w:val="auto"/>
          <w:kern w:val="0"/>
          <w:sz w:val="24"/>
          <w:szCs w:val="24"/>
          <w:lang w:val="en-US" w:eastAsia="zh-CN" w:bidi="ar"/>
        </w:rPr>
        <w:t>风险物质</w:t>
      </w:r>
      <w:r>
        <w:rPr>
          <w:rFonts w:hint="default" w:ascii="Times New Roman" w:hAnsi="Times New Roman" w:eastAsia="宋体" w:cs="Times New Roman"/>
          <w:b w:val="0"/>
          <w:color w:val="auto"/>
          <w:kern w:val="0"/>
          <w:sz w:val="24"/>
          <w:szCs w:val="24"/>
          <w:lang w:val="en-US" w:eastAsia="zh-CN" w:bidi="ar"/>
        </w:rPr>
        <w:t>泄漏等事故时，警戒组应立即警戒事故现场，并打开最近通道，当消防车辆到达后，引导消防车辆进入事故现场，同时，禁止无关人员进入事故现场，组织与施救无关人员到安全地带。</w:t>
      </w:r>
      <w:bookmarkEnd w:id="213"/>
      <w:bookmarkEnd w:id="214"/>
      <w:bookmarkEnd w:id="215"/>
    </w:p>
    <w:p w14:paraId="4B1BB588">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16" w:name="_Toc2680"/>
      <w:bookmarkStart w:id="217" w:name="_Toc9705"/>
      <w:bookmarkStart w:id="218" w:name="_Toc30926"/>
      <w:r>
        <w:rPr>
          <w:rFonts w:hint="default" w:ascii="Times New Roman" w:hAnsi="Times New Roman" w:eastAsia="宋体" w:cs="Times New Roman"/>
          <w:b w:val="0"/>
          <w:color w:val="auto"/>
          <w:kern w:val="0"/>
          <w:sz w:val="24"/>
          <w:szCs w:val="24"/>
          <w:lang w:val="en-US" w:eastAsia="zh-CN" w:bidi="ar"/>
        </w:rPr>
        <w:t>（二）人员急救措施</w:t>
      </w:r>
      <w:bookmarkEnd w:id="216"/>
      <w:bookmarkEnd w:id="217"/>
      <w:bookmarkEnd w:id="218"/>
    </w:p>
    <w:p w14:paraId="167441B5">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19" w:name="_Toc25379"/>
      <w:bookmarkStart w:id="220" w:name="_Toc29182"/>
      <w:bookmarkStart w:id="221" w:name="_Toc22979"/>
      <w:r>
        <w:rPr>
          <w:rFonts w:hint="default" w:ascii="Times New Roman" w:hAnsi="Times New Roman" w:eastAsia="宋体" w:cs="Times New Roman"/>
          <w:b w:val="0"/>
          <w:color w:val="auto"/>
          <w:kern w:val="0"/>
          <w:sz w:val="24"/>
          <w:szCs w:val="24"/>
          <w:lang w:val="en-US" w:eastAsia="zh-CN" w:bidi="ar"/>
        </w:rPr>
        <w:t>当发生人员受伤时，现场受伤人员应迅速转移到安全区域，由医护人员实施救护，严重者送到医院抢救。如发生事故时，有员工受伤，首先拨打电话120请求救援，如120急救车不能及时赶到，应由公司指派车辆（人员） 护送伤员到医院进行救治。</w:t>
      </w:r>
      <w:bookmarkEnd w:id="219"/>
      <w:bookmarkEnd w:id="220"/>
      <w:bookmarkEnd w:id="221"/>
    </w:p>
    <w:p w14:paraId="6CCF06CD">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22" w:name="_Toc30818"/>
      <w:bookmarkStart w:id="223" w:name="_Toc29325"/>
      <w:bookmarkStart w:id="224" w:name="_Toc178"/>
      <w:r>
        <w:rPr>
          <w:rFonts w:hint="default" w:ascii="Times New Roman" w:hAnsi="Times New Roman" w:eastAsia="宋体" w:cs="Times New Roman"/>
          <w:b w:val="0"/>
          <w:color w:val="auto"/>
          <w:kern w:val="0"/>
          <w:sz w:val="24"/>
          <w:szCs w:val="24"/>
          <w:lang w:val="en-US" w:eastAsia="zh-CN" w:bidi="ar"/>
        </w:rPr>
        <w:t>（三）逃生路线</w:t>
      </w:r>
      <w:bookmarkEnd w:id="222"/>
      <w:bookmarkEnd w:id="223"/>
      <w:bookmarkEnd w:id="224"/>
    </w:p>
    <w:p w14:paraId="4156781C">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25" w:name="_Toc9599"/>
      <w:bookmarkStart w:id="226" w:name="_Toc3361"/>
      <w:bookmarkStart w:id="227" w:name="_Toc11663"/>
      <w:r>
        <w:rPr>
          <w:rFonts w:hint="default" w:ascii="Times New Roman" w:hAnsi="Times New Roman" w:eastAsia="宋体" w:cs="Times New Roman"/>
          <w:b w:val="0"/>
          <w:color w:val="auto"/>
          <w:kern w:val="0"/>
          <w:sz w:val="24"/>
          <w:szCs w:val="24"/>
          <w:lang w:val="en-US" w:eastAsia="zh-CN" w:bidi="ar"/>
        </w:rPr>
        <w:t>一旦发生对人危害性较大的重特大事故时，及时逃生将是降低事故损失非常关键的步骤，在应急救援领导小组组长下达撤离事故现场的命令后，撤离人员，应迅速从各岗位向规定区域进行逃生，逃生过程中必须沿消防路逃生，以便在发生意外时，可以进行及时有效的救治，缩短抢救人员的救援时间。</w:t>
      </w:r>
      <w:bookmarkEnd w:id="225"/>
      <w:bookmarkEnd w:id="226"/>
      <w:bookmarkEnd w:id="227"/>
    </w:p>
    <w:p w14:paraId="528E4FF9">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28" w:name="_Toc25532"/>
      <w:bookmarkStart w:id="229" w:name="_Toc1230"/>
      <w:bookmarkStart w:id="230" w:name="_Toc7356"/>
      <w:r>
        <w:rPr>
          <w:rFonts w:hint="default" w:ascii="Times New Roman" w:hAnsi="Times New Roman" w:eastAsia="宋体" w:cs="Times New Roman"/>
          <w:b w:val="0"/>
          <w:color w:val="auto"/>
          <w:kern w:val="0"/>
          <w:sz w:val="24"/>
          <w:szCs w:val="24"/>
          <w:lang w:val="en-US" w:eastAsia="zh-CN" w:bidi="ar"/>
        </w:rPr>
        <w:t>（四）社会关注区应急撤离、疏散计划</w:t>
      </w:r>
      <w:bookmarkEnd w:id="228"/>
      <w:bookmarkEnd w:id="229"/>
      <w:bookmarkEnd w:id="230"/>
    </w:p>
    <w:p w14:paraId="5E4CF73F">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31" w:name="_Toc23104"/>
      <w:bookmarkStart w:id="232" w:name="_Toc11611"/>
      <w:bookmarkStart w:id="233" w:name="_Toc15608"/>
      <w:r>
        <w:rPr>
          <w:rFonts w:hint="default" w:ascii="Times New Roman" w:hAnsi="Times New Roman" w:eastAsia="宋体" w:cs="Times New Roman"/>
          <w:b w:val="0"/>
          <w:color w:val="auto"/>
          <w:kern w:val="0"/>
          <w:sz w:val="24"/>
          <w:szCs w:val="24"/>
          <w:lang w:val="en-US" w:eastAsia="zh-CN" w:bidi="ar"/>
        </w:rPr>
        <w:t>1、应急撤离步骤和指导思想</w:t>
      </w:r>
      <w:bookmarkEnd w:id="231"/>
      <w:bookmarkEnd w:id="232"/>
      <w:bookmarkEnd w:id="233"/>
    </w:p>
    <w:p w14:paraId="6B24B762">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34" w:name="_Toc26333"/>
      <w:bookmarkStart w:id="235" w:name="_Toc10826"/>
      <w:bookmarkStart w:id="236" w:name="_Toc1373"/>
      <w:r>
        <w:rPr>
          <w:rFonts w:hint="default" w:ascii="Times New Roman" w:hAnsi="Times New Roman" w:eastAsia="宋体" w:cs="Times New Roman"/>
          <w:b w:val="0"/>
          <w:color w:val="auto"/>
          <w:kern w:val="0"/>
          <w:sz w:val="24"/>
          <w:szCs w:val="24"/>
          <w:lang w:val="en-US" w:eastAsia="zh-CN" w:bidi="ar"/>
        </w:rPr>
        <w:t>当发生火灾</w:t>
      </w:r>
      <w:r>
        <w:rPr>
          <w:rFonts w:hint="eastAsia" w:ascii="Times New Roman" w:hAnsi="Times New Roman" w:eastAsia="宋体" w:cs="Times New Roman"/>
          <w:b w:val="0"/>
          <w:color w:val="auto"/>
          <w:kern w:val="0"/>
          <w:sz w:val="24"/>
          <w:szCs w:val="24"/>
          <w:lang w:val="en-US" w:eastAsia="zh-CN" w:bidi="ar"/>
        </w:rPr>
        <w:t>、泄漏</w:t>
      </w:r>
      <w:r>
        <w:rPr>
          <w:rFonts w:hint="default" w:ascii="Times New Roman" w:hAnsi="Times New Roman" w:eastAsia="宋体" w:cs="Times New Roman"/>
          <w:b w:val="0"/>
          <w:color w:val="auto"/>
          <w:kern w:val="0"/>
          <w:sz w:val="24"/>
          <w:szCs w:val="24"/>
          <w:lang w:val="en-US" w:eastAsia="zh-CN" w:bidi="ar"/>
        </w:rPr>
        <w:t>事故时，应对重点关注区制定详细的应急响应预案及应急撤离、疏散计划，具体如下：</w:t>
      </w:r>
      <w:bookmarkEnd w:id="234"/>
      <w:bookmarkEnd w:id="235"/>
      <w:bookmarkEnd w:id="236"/>
    </w:p>
    <w:p w14:paraId="32369402">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37" w:name="_Toc16401"/>
      <w:bookmarkStart w:id="238" w:name="_Toc15141"/>
      <w:bookmarkStart w:id="239" w:name="_Toc25401"/>
      <w:r>
        <w:rPr>
          <w:rFonts w:hint="default" w:ascii="Times New Roman" w:hAnsi="Times New Roman" w:eastAsia="宋体" w:cs="Times New Roman"/>
          <w:b w:val="0"/>
          <w:color w:val="auto"/>
          <w:kern w:val="0"/>
          <w:sz w:val="24"/>
          <w:szCs w:val="24"/>
          <w:lang w:val="en-US" w:eastAsia="zh-CN" w:bidi="ar"/>
        </w:rPr>
        <w:t>(1) 根据《突发公共卫生事件应急条例》的要求，坚决贯彻“信息畅通、反应快捷、指挥有力、责任明确”的应急原则分别制定各关注区的“公共安全应急预案”。</w:t>
      </w:r>
      <w:bookmarkEnd w:id="237"/>
      <w:bookmarkEnd w:id="238"/>
      <w:bookmarkEnd w:id="239"/>
    </w:p>
    <w:p w14:paraId="3541F678">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40" w:name="_Toc26302"/>
      <w:bookmarkStart w:id="241" w:name="_Toc11956"/>
      <w:bookmarkStart w:id="242" w:name="_Toc12304"/>
      <w:r>
        <w:rPr>
          <w:rFonts w:hint="default" w:ascii="Times New Roman" w:hAnsi="Times New Roman" w:eastAsia="宋体" w:cs="Times New Roman"/>
          <w:b w:val="0"/>
          <w:color w:val="auto"/>
          <w:kern w:val="0"/>
          <w:sz w:val="24"/>
          <w:szCs w:val="24"/>
          <w:lang w:val="en-US" w:eastAsia="zh-CN" w:bidi="ar"/>
        </w:rPr>
        <w:t>(2) 重点关注区常设专项机构、专人与建设单位调度室保持联系，无事故状态下进行定期信息互换和监督管理，事故状态下则进行事故报警、应急措施指导、通报以及处理结果反馈等紧急信息联络。</w:t>
      </w:r>
      <w:bookmarkEnd w:id="240"/>
      <w:bookmarkEnd w:id="241"/>
      <w:bookmarkEnd w:id="242"/>
    </w:p>
    <w:p w14:paraId="0FEFA26E">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43" w:name="_Toc30472"/>
      <w:bookmarkStart w:id="244" w:name="_Toc24442"/>
      <w:bookmarkStart w:id="245" w:name="_Toc21789"/>
      <w:r>
        <w:rPr>
          <w:rFonts w:hint="default" w:ascii="Times New Roman" w:hAnsi="Times New Roman" w:eastAsia="宋体" w:cs="Times New Roman"/>
          <w:b w:val="0"/>
          <w:color w:val="auto"/>
          <w:kern w:val="0"/>
          <w:sz w:val="24"/>
          <w:szCs w:val="24"/>
          <w:lang w:val="en-US" w:eastAsia="zh-CN" w:bidi="ar"/>
        </w:rPr>
        <w:t>(3) 在发生特重大火灾、泄漏事故情况下，调度室应立即通知受影响敏感区公共安全应急预案小组，预案指导小组应根据事故通报信息及时通过高音广播或专职信息员向受灾居民报警，杜绝明火，主要路口组织人员发放安全防范用具（防毒面具、口罩等），并按照风向、风速指示器及撤离应急计划安排敏感区内居民有序、快速撤离到远离事故地点的空旷地带，附近地区消防、公安武警、医疗机构及时出调相关人员，确保撤离路线安全、通畅、组织有序、救护及时。对于老弱病残人员，应组织专业人员或车辆进行特殊保护、撤离。并要求启动人员安置及物资供应紧急方案， 同时向相关地方部门和国家有关部门及时通报应急处理情况。</w:t>
      </w:r>
      <w:bookmarkEnd w:id="243"/>
      <w:bookmarkEnd w:id="244"/>
      <w:bookmarkEnd w:id="245"/>
    </w:p>
    <w:p w14:paraId="55973A91">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46" w:name="_Toc17474"/>
      <w:bookmarkStart w:id="247" w:name="_Toc15469"/>
      <w:bookmarkStart w:id="248" w:name="_Toc24361"/>
      <w:r>
        <w:rPr>
          <w:rFonts w:hint="default" w:ascii="Times New Roman" w:hAnsi="Times New Roman" w:eastAsia="宋体" w:cs="Times New Roman"/>
          <w:b w:val="0"/>
          <w:color w:val="auto"/>
          <w:kern w:val="0"/>
          <w:sz w:val="24"/>
          <w:szCs w:val="24"/>
          <w:lang w:val="en-US" w:eastAsia="zh-CN" w:bidi="ar"/>
        </w:rPr>
        <w:t>(4) 突发事故结束后，根据敏感点的实际情况，结合环境监测部门的监测结果，由受害区应急预案小组协同地方政府、建设单位等相关部门，通知、组织安排撤离人员有序返回，必要时应提供相关帮助和支持，做好人员返回后的善后、赔偿、教育工作，并适时宣布关闭事故应急程序。</w:t>
      </w:r>
      <w:bookmarkEnd w:id="246"/>
      <w:bookmarkEnd w:id="247"/>
      <w:bookmarkEnd w:id="248"/>
    </w:p>
    <w:p w14:paraId="09AEA82C">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49" w:name="_Toc6369"/>
      <w:bookmarkStart w:id="250" w:name="_Toc25325"/>
      <w:bookmarkStart w:id="251" w:name="_Toc10749"/>
      <w:r>
        <w:rPr>
          <w:rFonts w:hint="default" w:ascii="Times New Roman" w:hAnsi="Times New Roman" w:eastAsia="宋体" w:cs="Times New Roman"/>
          <w:b w:val="0"/>
          <w:color w:val="auto"/>
          <w:kern w:val="0"/>
          <w:sz w:val="24"/>
          <w:szCs w:val="24"/>
          <w:lang w:val="en-US" w:eastAsia="zh-CN" w:bidi="ar"/>
        </w:rPr>
        <w:t>(5) 结合本公司事故应急预案，定期组织敏感点内常驻居民健康、进行安全教育和应急预案演习，提高自我防范意识和自救能力，安排能力较强居民作为安全协防人员，协调敏感区应急指导小组与居民群众的紧急事故处理关系</w:t>
      </w:r>
      <w:bookmarkEnd w:id="249"/>
      <w:bookmarkEnd w:id="250"/>
      <w:bookmarkEnd w:id="251"/>
      <w:r>
        <w:rPr>
          <w:rFonts w:hint="eastAsia" w:ascii="Times New Roman" w:hAnsi="Times New Roman" w:eastAsia="宋体" w:cs="Times New Roman"/>
          <w:b w:val="0"/>
          <w:color w:val="auto"/>
          <w:kern w:val="0"/>
          <w:sz w:val="24"/>
          <w:szCs w:val="24"/>
          <w:lang w:val="en-US" w:eastAsia="zh-CN" w:bidi="ar"/>
        </w:rPr>
        <w:t>。</w:t>
      </w:r>
    </w:p>
    <w:p w14:paraId="717FB79A">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52" w:name="_Toc5452"/>
      <w:bookmarkStart w:id="253" w:name="_Toc31384"/>
      <w:bookmarkStart w:id="254" w:name="_Toc6473"/>
      <w:r>
        <w:rPr>
          <w:rFonts w:hint="default" w:ascii="Times New Roman" w:hAnsi="Times New Roman" w:eastAsia="宋体" w:cs="Times New Roman"/>
          <w:b w:val="0"/>
          <w:color w:val="auto"/>
          <w:kern w:val="0"/>
          <w:sz w:val="24"/>
          <w:szCs w:val="24"/>
          <w:lang w:val="en-US" w:eastAsia="zh-CN" w:bidi="ar"/>
        </w:rPr>
        <w:t>2、本项目应急撤离方案</w:t>
      </w:r>
      <w:bookmarkEnd w:id="252"/>
      <w:bookmarkEnd w:id="253"/>
      <w:bookmarkEnd w:id="254"/>
    </w:p>
    <w:p w14:paraId="3E42B752">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55" w:name="_Toc12202"/>
      <w:bookmarkStart w:id="256" w:name="_Toc12275"/>
      <w:bookmarkStart w:id="257" w:name="_Toc2181"/>
      <w:r>
        <w:rPr>
          <w:rFonts w:hint="default" w:ascii="Times New Roman" w:hAnsi="Times New Roman" w:eastAsia="宋体" w:cs="Times New Roman"/>
          <w:b w:val="0"/>
          <w:color w:val="auto"/>
          <w:kern w:val="0"/>
          <w:sz w:val="24"/>
          <w:szCs w:val="24"/>
          <w:lang w:val="en-US" w:eastAsia="zh-CN" w:bidi="ar"/>
        </w:rPr>
        <w:t>本项目环境风险敏感的重点关注区包括：</w:t>
      </w:r>
      <w:bookmarkEnd w:id="255"/>
      <w:bookmarkEnd w:id="256"/>
      <w:bookmarkEnd w:id="257"/>
    </w:p>
    <w:p w14:paraId="1FA200FD">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58" w:name="_Toc19614"/>
      <w:bookmarkStart w:id="259" w:name="_Toc15522"/>
      <w:bookmarkStart w:id="260" w:name="_Toc11329"/>
      <w:r>
        <w:rPr>
          <w:rFonts w:hint="default" w:ascii="Times New Roman" w:hAnsi="Times New Roman" w:eastAsia="宋体" w:cs="Times New Roman"/>
          <w:b w:val="0"/>
          <w:color w:val="auto"/>
          <w:kern w:val="0"/>
          <w:sz w:val="24"/>
          <w:szCs w:val="24"/>
          <w:lang w:val="en-US" w:eastAsia="zh-CN" w:bidi="ar"/>
        </w:rPr>
        <w:t>周边</w:t>
      </w:r>
      <w:r>
        <w:rPr>
          <w:rFonts w:hint="eastAsia" w:ascii="Times New Roman" w:hAnsi="Times New Roman" w:eastAsia="宋体" w:cs="Times New Roman"/>
          <w:b w:val="0"/>
          <w:color w:val="auto"/>
          <w:kern w:val="0"/>
          <w:sz w:val="24"/>
          <w:szCs w:val="24"/>
          <w:lang w:val="en-US" w:eastAsia="zh-CN" w:bidi="ar"/>
        </w:rPr>
        <w:t>敏感点</w:t>
      </w:r>
      <w:r>
        <w:rPr>
          <w:rFonts w:hint="default" w:ascii="Times New Roman" w:hAnsi="Times New Roman" w:eastAsia="宋体" w:cs="Times New Roman"/>
          <w:b w:val="0"/>
          <w:color w:val="auto"/>
          <w:kern w:val="0"/>
          <w:sz w:val="24"/>
          <w:szCs w:val="24"/>
          <w:lang w:val="en-US" w:eastAsia="zh-CN" w:bidi="ar"/>
        </w:rPr>
        <w:t>：</w:t>
      </w:r>
      <w:r>
        <w:rPr>
          <w:rFonts w:hint="eastAsia" w:ascii="Times New Roman" w:hAnsi="Times New Roman" w:eastAsia="宋体" w:cs="Times New Roman"/>
          <w:b w:val="0"/>
          <w:color w:val="auto"/>
          <w:kern w:val="0"/>
          <w:sz w:val="24"/>
          <w:szCs w:val="24"/>
          <w:lang w:val="en-US" w:eastAsia="zh-CN" w:bidi="ar"/>
        </w:rPr>
        <w:t>小庄村、赵瓦村</w:t>
      </w:r>
      <w:r>
        <w:rPr>
          <w:rFonts w:hint="default" w:ascii="Times New Roman" w:hAnsi="Times New Roman" w:eastAsia="宋体" w:cs="Times New Roman"/>
          <w:b w:val="0"/>
          <w:color w:val="auto"/>
          <w:kern w:val="0"/>
          <w:sz w:val="24"/>
          <w:szCs w:val="24"/>
          <w:lang w:val="en-US" w:eastAsia="zh-CN" w:bidi="ar"/>
        </w:rPr>
        <w:t>等周边敏感点，并根据事态状况进行调整。</w:t>
      </w:r>
      <w:bookmarkEnd w:id="258"/>
      <w:bookmarkEnd w:id="259"/>
      <w:bookmarkEnd w:id="260"/>
    </w:p>
    <w:p w14:paraId="5B6BF074">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61" w:name="_Toc9637"/>
      <w:bookmarkStart w:id="262" w:name="_Toc26122"/>
      <w:bookmarkStart w:id="263" w:name="_Toc22796"/>
      <w:r>
        <w:rPr>
          <w:rFonts w:hint="default" w:ascii="Times New Roman" w:hAnsi="Times New Roman" w:eastAsia="宋体" w:cs="Times New Roman"/>
          <w:b w:val="0"/>
          <w:color w:val="auto"/>
          <w:kern w:val="0"/>
          <w:sz w:val="24"/>
          <w:szCs w:val="24"/>
          <w:lang w:val="en-US" w:eastAsia="zh-CN" w:bidi="ar"/>
        </w:rPr>
        <w:t>建设单位需要与周边村庄、企业及行政办公单位等保持联系，事故发生后若有影响， 启动厂区的应急预案，进行联动，并由相关单位组织进行防护，必要时进行撤离。</w:t>
      </w:r>
      <w:bookmarkEnd w:id="261"/>
      <w:bookmarkEnd w:id="262"/>
      <w:bookmarkEnd w:id="263"/>
    </w:p>
    <w:p w14:paraId="1D212F0F">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64" w:name="_Toc24277"/>
      <w:bookmarkStart w:id="265" w:name="_Toc20402"/>
      <w:bookmarkStart w:id="266" w:name="_Toc2860"/>
      <w:r>
        <w:rPr>
          <w:rFonts w:hint="default" w:ascii="Times New Roman" w:hAnsi="Times New Roman" w:eastAsia="宋体" w:cs="Times New Roman"/>
          <w:b w:val="0"/>
          <w:color w:val="auto"/>
          <w:kern w:val="0"/>
          <w:sz w:val="24"/>
          <w:szCs w:val="24"/>
          <w:lang w:val="en-US" w:eastAsia="zh-CN" w:bidi="ar"/>
        </w:rPr>
        <w:t>受影响区域单位、社区人员疏散方法、方式及集结地点要求如下：</w:t>
      </w:r>
      <w:bookmarkEnd w:id="264"/>
      <w:bookmarkEnd w:id="265"/>
      <w:bookmarkEnd w:id="266"/>
    </w:p>
    <w:p w14:paraId="27234F54">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67" w:name="_Toc7924"/>
      <w:bookmarkStart w:id="268" w:name="_Toc12639"/>
      <w:bookmarkStart w:id="269" w:name="_Toc12692"/>
      <w:r>
        <w:rPr>
          <w:rFonts w:hint="default" w:ascii="Times New Roman" w:hAnsi="Times New Roman" w:eastAsia="宋体" w:cs="Times New Roman"/>
          <w:b w:val="0"/>
          <w:color w:val="auto"/>
          <w:kern w:val="0"/>
          <w:sz w:val="24"/>
          <w:szCs w:val="24"/>
          <w:lang w:val="en-US" w:eastAsia="zh-CN" w:bidi="ar"/>
        </w:rPr>
        <w:t>(1) 疏散方法：①不要顺风向撤离，应向侧风向和上风方向转移，明确专人引导和护送疏散人员到安全区，并在疏散或撤离的路线上设立哨位，指明方向；②禁止进入污染区，以免引起污染；③如事故物质有毒时，需要佩戴个体防护用品或采用简易有效的防护措施，并有相应的监护措施；④受到污染的人员要经过洗消后才能离开；⑤清理疏散通道上的障碍物，携带应急照明设备指引疏散方向；⑥应急救援人员维持好现场秩序并建立交通管制点。</w:t>
      </w:r>
      <w:bookmarkEnd w:id="267"/>
      <w:bookmarkEnd w:id="268"/>
      <w:bookmarkEnd w:id="269"/>
    </w:p>
    <w:p w14:paraId="1E8BB066">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70" w:name="_Toc18433"/>
      <w:bookmarkStart w:id="271" w:name="_Toc17733"/>
      <w:bookmarkStart w:id="272" w:name="_Toc7943"/>
      <w:r>
        <w:rPr>
          <w:rFonts w:hint="default" w:ascii="Times New Roman" w:hAnsi="Times New Roman" w:eastAsia="宋体" w:cs="Times New Roman"/>
          <w:b w:val="0"/>
          <w:color w:val="auto"/>
          <w:kern w:val="0"/>
          <w:sz w:val="24"/>
          <w:szCs w:val="24"/>
          <w:lang w:val="en-US" w:eastAsia="zh-CN" w:bidi="ar"/>
        </w:rPr>
        <w:t>(2) 疏散方式：各区域疏散小组成员按照现场总指挥指示的疏散次序引导区域人员有序的从安全出口疏散，对受伤和情绪不稳定的人提供帮助，到达安全地点时要注意清点人数。</w:t>
      </w:r>
      <w:bookmarkEnd w:id="270"/>
      <w:bookmarkEnd w:id="271"/>
      <w:bookmarkEnd w:id="272"/>
    </w:p>
    <w:p w14:paraId="71018748">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73" w:name="_Toc23998"/>
      <w:bookmarkStart w:id="274" w:name="_Toc375"/>
      <w:bookmarkStart w:id="275" w:name="_Toc31726"/>
      <w:r>
        <w:rPr>
          <w:rFonts w:hint="default" w:ascii="Times New Roman" w:hAnsi="Times New Roman" w:eastAsia="宋体" w:cs="Times New Roman"/>
          <w:b w:val="0"/>
          <w:color w:val="auto"/>
          <w:kern w:val="0"/>
          <w:sz w:val="24"/>
          <w:szCs w:val="24"/>
          <w:lang w:val="en-US" w:eastAsia="zh-CN" w:bidi="ar"/>
        </w:rPr>
        <w:t>(3) 疏散集结地点：根据现场的道路交通条件和人群分布特点，确定紧急疏散路线。同时，选择交通条件便利、可满足疏散人群基本生活条件、处于泄漏点上风处的大面积空地作为集结地点。紧急疏散时应向侧风向和上风方向转移，疏散路线和疏散集结点根据事故时风向及时调整</w:t>
      </w:r>
      <w:bookmarkEnd w:id="273"/>
      <w:bookmarkEnd w:id="274"/>
      <w:bookmarkEnd w:id="275"/>
      <w:r>
        <w:rPr>
          <w:rFonts w:hint="default" w:ascii="Times New Roman" w:hAnsi="Times New Roman" w:eastAsia="宋体" w:cs="Times New Roman"/>
          <w:b w:val="0"/>
          <w:color w:val="auto"/>
          <w:kern w:val="0"/>
          <w:sz w:val="24"/>
          <w:szCs w:val="24"/>
          <w:lang w:val="en-US" w:eastAsia="zh-CN" w:bidi="ar"/>
        </w:rPr>
        <w:t>。</w:t>
      </w:r>
    </w:p>
    <w:p w14:paraId="682243E9">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textAlignment w:val="auto"/>
        <w:outlineLvl w:val="9"/>
        <w:rPr>
          <w:rFonts w:hint="default" w:ascii="Times New Roman" w:hAnsi="Times New Roman" w:eastAsia="宋体" w:cs="Times New Roman"/>
          <w:b/>
          <w:bCs w:val="0"/>
          <w:color w:val="auto"/>
          <w:sz w:val="28"/>
          <w:szCs w:val="24"/>
          <w:lang w:val="en-US" w:eastAsia="zh-CN"/>
        </w:rPr>
      </w:pPr>
      <w:bookmarkStart w:id="276" w:name="_Toc20790"/>
      <w:r>
        <w:rPr>
          <w:rFonts w:hint="default" w:ascii="Times New Roman" w:hAnsi="Times New Roman" w:eastAsia="宋体" w:cs="Times New Roman"/>
          <w:b/>
          <w:bCs w:val="0"/>
          <w:color w:val="auto"/>
          <w:sz w:val="28"/>
          <w:szCs w:val="24"/>
          <w:lang w:val="en-US" w:eastAsia="zh-CN"/>
        </w:rPr>
        <w:t>7.5.6 事故应急终止</w:t>
      </w:r>
      <w:bookmarkEnd w:id="276"/>
    </w:p>
    <w:p w14:paraId="13E64A69">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77" w:name="_Toc11145"/>
      <w:bookmarkStart w:id="278" w:name="_Toc513"/>
      <w:bookmarkStart w:id="279" w:name="_Toc25249"/>
      <w:r>
        <w:rPr>
          <w:rFonts w:hint="default" w:ascii="Times New Roman" w:hAnsi="Times New Roman" w:eastAsia="宋体" w:cs="Times New Roman"/>
          <w:b w:val="0"/>
          <w:color w:val="auto"/>
          <w:kern w:val="0"/>
          <w:sz w:val="24"/>
          <w:szCs w:val="24"/>
          <w:lang w:val="en-US" w:eastAsia="zh-CN" w:bidi="ar"/>
        </w:rPr>
        <w:t>（1）现场应急救援指挥部确认终止时机（或事件负责单位提出），经现场应急救援指挥部批准应急终止。</w:t>
      </w:r>
      <w:bookmarkEnd w:id="277"/>
      <w:bookmarkEnd w:id="278"/>
      <w:bookmarkEnd w:id="279"/>
    </w:p>
    <w:p w14:paraId="3D32E9F0">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80" w:name="_Toc15062"/>
      <w:bookmarkStart w:id="281" w:name="_Toc10254"/>
      <w:bookmarkStart w:id="282" w:name="_Toc21457"/>
      <w:r>
        <w:rPr>
          <w:rFonts w:hint="default" w:ascii="Times New Roman" w:hAnsi="Times New Roman" w:eastAsia="宋体" w:cs="Times New Roman"/>
          <w:b w:val="0"/>
          <w:color w:val="auto"/>
          <w:kern w:val="0"/>
          <w:sz w:val="24"/>
          <w:szCs w:val="24"/>
          <w:lang w:val="en-US" w:eastAsia="zh-CN" w:bidi="ar"/>
        </w:rPr>
        <w:t>（2）现存应急救援指挥部向所属各专业应急救援队伍下达应急终止命令。</w:t>
      </w:r>
      <w:bookmarkEnd w:id="280"/>
      <w:bookmarkEnd w:id="281"/>
      <w:bookmarkEnd w:id="282"/>
    </w:p>
    <w:p w14:paraId="15380520">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83" w:name="_Toc3961"/>
      <w:bookmarkStart w:id="284" w:name="_Toc6020"/>
      <w:bookmarkStart w:id="285" w:name="_Toc23813"/>
      <w:r>
        <w:rPr>
          <w:rFonts w:hint="default" w:ascii="Times New Roman" w:hAnsi="Times New Roman" w:eastAsia="宋体" w:cs="Times New Roman"/>
          <w:b w:val="0"/>
          <w:color w:val="auto"/>
          <w:kern w:val="0"/>
          <w:sz w:val="24"/>
          <w:szCs w:val="24"/>
          <w:lang w:val="en-US" w:eastAsia="zh-CN" w:bidi="ar"/>
        </w:rPr>
        <w:t>（3）应急状态终止后，环境事件应急指挥部应根据实际情况和上级应急指挥机构有关指示，继续进行环境监测和评价工作，直至其他补救措施无需继续进行为止。</w:t>
      </w:r>
      <w:bookmarkEnd w:id="283"/>
      <w:bookmarkEnd w:id="284"/>
      <w:bookmarkEnd w:id="285"/>
    </w:p>
    <w:p w14:paraId="25E526A7">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86" w:name="_Toc17793"/>
      <w:bookmarkStart w:id="287" w:name="_Toc19943"/>
      <w:bookmarkStart w:id="288" w:name="_Toc16831"/>
      <w:r>
        <w:rPr>
          <w:rFonts w:hint="default" w:ascii="Times New Roman" w:hAnsi="Times New Roman" w:eastAsia="宋体" w:cs="Times New Roman"/>
          <w:b w:val="0"/>
          <w:color w:val="auto"/>
          <w:kern w:val="0"/>
          <w:sz w:val="24"/>
          <w:szCs w:val="24"/>
          <w:lang w:val="en-US" w:eastAsia="zh-CN" w:bidi="ar"/>
        </w:rPr>
        <w:t>（4）应急状态终止后，在生产副总经理指挥下组成由生产、安全环保和发生事故单位参加的事故调查小组；调查是事故发生的原因和研究制定防范措施；保护事故现场，需要移动现场物品时，应当做出标记和书面记录，妥善保管有关证物；对事故过程中造成的人员伤亡和财产损失做收集统计、归纳、形成文件，为进一步处理事故的工作提供资料，并按照国家有关规定及时向有关部门进行事故报告。</w:t>
      </w:r>
      <w:bookmarkEnd w:id="286"/>
      <w:bookmarkEnd w:id="287"/>
      <w:bookmarkEnd w:id="288"/>
    </w:p>
    <w:p w14:paraId="1C533B3E">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89" w:name="_Toc8742"/>
      <w:bookmarkStart w:id="290" w:name="_Toc28835"/>
      <w:bookmarkStart w:id="291" w:name="_Toc28769"/>
      <w:r>
        <w:rPr>
          <w:rFonts w:hint="default" w:ascii="Times New Roman" w:hAnsi="Times New Roman" w:eastAsia="宋体" w:cs="Times New Roman"/>
          <w:b w:val="0"/>
          <w:color w:val="auto"/>
          <w:kern w:val="0"/>
          <w:sz w:val="24"/>
          <w:szCs w:val="24"/>
          <w:lang w:val="en-US" w:eastAsia="zh-CN" w:bidi="ar"/>
        </w:rPr>
        <w:t>（5）应急状态终止后妥善处理好在事故中伤亡人员的善后工作，尽快组织恢复正常的生产和工作。</w:t>
      </w:r>
      <w:bookmarkEnd w:id="289"/>
      <w:bookmarkEnd w:id="290"/>
      <w:bookmarkEnd w:id="291"/>
    </w:p>
    <w:p w14:paraId="1A2BD53E">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92" w:name="_Toc6612"/>
      <w:bookmarkStart w:id="293" w:name="_Toc3178"/>
      <w:bookmarkStart w:id="294" w:name="_Toc18651"/>
      <w:r>
        <w:rPr>
          <w:rFonts w:hint="default" w:ascii="Times New Roman" w:hAnsi="Times New Roman" w:eastAsia="宋体" w:cs="Times New Roman"/>
          <w:b w:val="0"/>
          <w:color w:val="auto"/>
          <w:kern w:val="0"/>
          <w:sz w:val="24"/>
          <w:szCs w:val="24"/>
          <w:lang w:val="en-US" w:eastAsia="zh-CN" w:bidi="ar"/>
        </w:rPr>
        <w:t>（6）对应急预案在事故发生实施的全过程，认真科学的作出总结，完善预案中的不足和缺陷，为今后的预案建立、制定提供经验和完善的依据。</w:t>
      </w:r>
      <w:bookmarkEnd w:id="292"/>
      <w:bookmarkEnd w:id="293"/>
      <w:bookmarkEnd w:id="294"/>
    </w:p>
    <w:p w14:paraId="18EAC943">
      <w:pPr>
        <w:pStyle w:val="10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ind w:left="0" w:leftChars="0" w:right="0"/>
        <w:textAlignment w:val="auto"/>
        <w:outlineLvl w:val="9"/>
        <w:rPr>
          <w:rFonts w:hint="default" w:ascii="Times New Roman" w:hAnsi="Times New Roman" w:eastAsia="宋体" w:cs="Times New Roman"/>
          <w:b/>
          <w:bCs w:val="0"/>
          <w:color w:val="auto"/>
          <w:sz w:val="28"/>
          <w:szCs w:val="24"/>
          <w:lang w:val="en-US" w:eastAsia="zh-CN"/>
        </w:rPr>
      </w:pPr>
      <w:bookmarkStart w:id="295" w:name="_Toc16572"/>
      <w:r>
        <w:rPr>
          <w:rFonts w:hint="default" w:ascii="Times New Roman" w:hAnsi="Times New Roman" w:eastAsia="宋体" w:cs="Times New Roman"/>
          <w:b/>
          <w:bCs w:val="0"/>
          <w:color w:val="auto"/>
          <w:sz w:val="28"/>
          <w:szCs w:val="24"/>
          <w:lang w:val="en-US" w:eastAsia="zh-CN"/>
        </w:rPr>
        <w:t>7.5.7 预案演练</w:t>
      </w:r>
      <w:bookmarkEnd w:id="295"/>
    </w:p>
    <w:p w14:paraId="082404BB">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96" w:name="_Toc17470"/>
      <w:bookmarkStart w:id="297" w:name="_Toc17914"/>
      <w:bookmarkStart w:id="298" w:name="_Toc12100"/>
      <w:r>
        <w:rPr>
          <w:rFonts w:hint="default" w:ascii="Times New Roman" w:hAnsi="Times New Roman" w:eastAsia="宋体" w:cs="Times New Roman"/>
          <w:b w:val="0"/>
          <w:color w:val="auto"/>
          <w:kern w:val="0"/>
          <w:sz w:val="24"/>
          <w:szCs w:val="24"/>
          <w:lang w:val="en-US" w:eastAsia="zh-CN" w:bidi="ar"/>
        </w:rPr>
        <w:t>（1）应急救援人员培训</w:t>
      </w:r>
      <w:bookmarkEnd w:id="296"/>
      <w:bookmarkEnd w:id="297"/>
      <w:bookmarkEnd w:id="298"/>
    </w:p>
    <w:p w14:paraId="748588DD">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299" w:name="_Toc6624"/>
      <w:bookmarkStart w:id="300" w:name="_Toc12911"/>
      <w:bookmarkStart w:id="301" w:name="_Toc23387"/>
      <w:r>
        <w:rPr>
          <w:rFonts w:hint="default" w:ascii="Times New Roman" w:hAnsi="Times New Roman" w:eastAsia="宋体" w:cs="Times New Roman"/>
          <w:b w:val="0"/>
          <w:color w:val="auto"/>
          <w:kern w:val="0"/>
          <w:sz w:val="24"/>
          <w:szCs w:val="24"/>
          <w:lang w:val="en-US" w:eastAsia="zh-CN" w:bidi="ar"/>
        </w:rPr>
        <w:t>建设单位应定期对应急救援人员进行应急事故处理及紧急救援培训，应急救援人员的培训由领导小组统一安排指定专人进行。</w:t>
      </w:r>
      <w:bookmarkEnd w:id="299"/>
      <w:bookmarkEnd w:id="300"/>
      <w:bookmarkEnd w:id="301"/>
    </w:p>
    <w:p w14:paraId="51B1CE32">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302" w:name="_Toc27998"/>
      <w:bookmarkStart w:id="303" w:name="_Toc11199"/>
      <w:bookmarkStart w:id="304" w:name="_Toc21031"/>
      <w:r>
        <w:rPr>
          <w:rFonts w:hint="default" w:ascii="Times New Roman" w:hAnsi="Times New Roman" w:eastAsia="宋体" w:cs="Times New Roman"/>
          <w:b w:val="0"/>
          <w:color w:val="auto"/>
          <w:kern w:val="0"/>
          <w:sz w:val="24"/>
          <w:szCs w:val="24"/>
          <w:lang w:val="en-US" w:eastAsia="zh-CN" w:bidi="ar"/>
        </w:rPr>
        <w:t>（2）员工应急响应的培训</w:t>
      </w:r>
      <w:bookmarkEnd w:id="302"/>
      <w:bookmarkEnd w:id="303"/>
      <w:bookmarkEnd w:id="304"/>
    </w:p>
    <w:p w14:paraId="18F5DD23">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305" w:name="_Toc28106"/>
      <w:bookmarkStart w:id="306" w:name="_Toc10614"/>
      <w:bookmarkStart w:id="307" w:name="_Toc22305"/>
      <w:r>
        <w:rPr>
          <w:rFonts w:hint="default" w:ascii="Times New Roman" w:hAnsi="Times New Roman" w:eastAsia="宋体" w:cs="Times New Roman"/>
          <w:b w:val="0"/>
          <w:color w:val="auto"/>
          <w:kern w:val="0"/>
          <w:sz w:val="24"/>
          <w:szCs w:val="24"/>
          <w:lang w:val="en-US" w:eastAsia="zh-CN" w:bidi="ar"/>
        </w:rPr>
        <w:t>由公司组织应急救援人员定期对员工进行应急事故处理及紧急救援培训，提高员工风险防范意识及自救能力。</w:t>
      </w:r>
      <w:bookmarkEnd w:id="305"/>
      <w:bookmarkEnd w:id="306"/>
      <w:bookmarkEnd w:id="307"/>
    </w:p>
    <w:p w14:paraId="04CDB95B">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308" w:name="_Toc15735"/>
      <w:bookmarkStart w:id="309" w:name="_Toc21144"/>
      <w:bookmarkStart w:id="310" w:name="_Toc16971"/>
      <w:r>
        <w:rPr>
          <w:rFonts w:hint="default" w:ascii="Times New Roman" w:hAnsi="Times New Roman" w:eastAsia="宋体" w:cs="Times New Roman"/>
          <w:b w:val="0"/>
          <w:color w:val="auto"/>
          <w:kern w:val="0"/>
          <w:sz w:val="24"/>
          <w:szCs w:val="24"/>
          <w:lang w:val="en-US" w:eastAsia="zh-CN" w:bidi="ar"/>
        </w:rPr>
        <w:t>（3）演练计划</w:t>
      </w:r>
      <w:bookmarkEnd w:id="308"/>
      <w:bookmarkEnd w:id="309"/>
      <w:bookmarkEnd w:id="310"/>
    </w:p>
    <w:p w14:paraId="1CED410E">
      <w:pPr>
        <w:pStyle w:val="107"/>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b w:val="0"/>
          <w:color w:val="auto"/>
          <w:kern w:val="0"/>
          <w:sz w:val="24"/>
          <w:szCs w:val="24"/>
          <w:lang w:val="en-US" w:eastAsia="zh-CN" w:bidi="ar"/>
        </w:rPr>
      </w:pPr>
      <w:bookmarkStart w:id="311" w:name="_Toc5387"/>
      <w:bookmarkStart w:id="312" w:name="_Toc17826"/>
      <w:bookmarkStart w:id="313" w:name="_Toc16033"/>
      <w:r>
        <w:rPr>
          <w:rFonts w:hint="default" w:ascii="Times New Roman" w:hAnsi="Times New Roman" w:eastAsia="宋体" w:cs="Times New Roman"/>
          <w:b w:val="0"/>
          <w:color w:val="auto"/>
          <w:kern w:val="0"/>
          <w:sz w:val="24"/>
          <w:szCs w:val="24"/>
          <w:lang w:val="en-US" w:eastAsia="zh-CN" w:bidi="ar"/>
        </w:rPr>
        <w:t>建设单位需充分重视应急救援和演练，每年对应急救援队伍进行培训，明确分工和职责，掌握应急救援处理方法。制定应急预案的演练计划，定期组织应急预案演练，同时应建立与地方环境应急机构的联系，组织参与地方救援活动，开展相关的交流与合作。通过演练，达到检验预案、锻炼队伍、教育员工和提高能力的目的，也促进公司应急预案与当地政府应急预案的衔接和对应急预案的不断完善。</w:t>
      </w:r>
      <w:bookmarkEnd w:id="311"/>
      <w:bookmarkEnd w:id="312"/>
      <w:bookmarkEnd w:id="313"/>
    </w:p>
    <w:p w14:paraId="346C93B6">
      <w:pPr>
        <w:rPr>
          <w:rFonts w:hint="default" w:ascii="Times New Roman" w:hAnsi="Times New Roman" w:eastAsia="宋体" w:cs="Times New Roman"/>
          <w:b/>
          <w:bCs w:val="0"/>
          <w:color w:val="auto"/>
          <w:kern w:val="2"/>
          <w:sz w:val="32"/>
          <w:szCs w:val="32"/>
          <w:highlight w:val="none"/>
          <w:lang w:val="en-US" w:eastAsia="zh-CN"/>
        </w:rPr>
      </w:pPr>
      <w:bookmarkStart w:id="314" w:name="_Toc19750"/>
      <w:r>
        <w:rPr>
          <w:rFonts w:hint="default" w:ascii="Times New Roman" w:hAnsi="Times New Roman" w:eastAsia="宋体" w:cs="Times New Roman"/>
          <w:b/>
          <w:bCs w:val="0"/>
          <w:color w:val="auto"/>
          <w:kern w:val="2"/>
          <w:sz w:val="32"/>
          <w:szCs w:val="32"/>
          <w:highlight w:val="none"/>
          <w:lang w:val="en-US" w:eastAsia="zh-CN"/>
        </w:rPr>
        <w:br w:type="page"/>
      </w:r>
    </w:p>
    <w:p w14:paraId="5A92653A">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both"/>
        <w:textAlignment w:val="auto"/>
        <w:outlineLvl w:val="1"/>
        <w:rPr>
          <w:rFonts w:hint="default" w:ascii="Times New Roman" w:hAnsi="Times New Roman" w:eastAsia="宋体" w:cs="Times New Roman"/>
          <w:b/>
          <w:bCs w:val="0"/>
          <w:color w:val="auto"/>
          <w:kern w:val="2"/>
          <w:sz w:val="32"/>
          <w:szCs w:val="32"/>
          <w:highlight w:val="none"/>
          <w:lang w:val="en-US" w:eastAsia="zh-CN"/>
        </w:rPr>
      </w:pPr>
      <w:r>
        <w:rPr>
          <w:rFonts w:hint="default" w:ascii="Times New Roman" w:hAnsi="Times New Roman" w:eastAsia="宋体" w:cs="Times New Roman"/>
          <w:b/>
          <w:bCs w:val="0"/>
          <w:color w:val="auto"/>
          <w:kern w:val="2"/>
          <w:sz w:val="32"/>
          <w:szCs w:val="32"/>
          <w:highlight w:val="none"/>
          <w:lang w:val="en-US" w:eastAsia="zh-CN"/>
        </w:rPr>
        <w:t>8 评价结论及建议</w:t>
      </w:r>
      <w:bookmarkEnd w:id="314"/>
    </w:p>
    <w:p w14:paraId="6838D7D5">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highlight w:val="none"/>
          <w:lang w:val="en-US" w:eastAsia="zh-CN"/>
        </w:rPr>
      </w:pPr>
      <w:bookmarkStart w:id="315" w:name="_Toc8677"/>
      <w:r>
        <w:rPr>
          <w:rFonts w:hint="default" w:ascii="Times New Roman" w:hAnsi="Times New Roman" w:eastAsia="宋体" w:cs="Times New Roman"/>
          <w:b/>
          <w:bCs w:val="0"/>
          <w:color w:val="auto"/>
          <w:kern w:val="2"/>
          <w:sz w:val="32"/>
          <w:szCs w:val="32"/>
          <w:highlight w:val="none"/>
          <w:lang w:val="en-US" w:eastAsia="zh-CN"/>
        </w:rPr>
        <w:t>8.1 项目危险因素</w:t>
      </w:r>
      <w:bookmarkEnd w:id="315"/>
    </w:p>
    <w:p w14:paraId="422B71E6">
      <w:pPr>
        <w:pStyle w:val="106"/>
        <w:spacing w:line="360" w:lineRule="auto"/>
        <w:ind w:firstLine="480" w:firstLineChars="200"/>
        <w:jc w:val="both"/>
        <w:textAlignment w:val="baseline"/>
        <w:rPr>
          <w:rFonts w:hint="default" w:ascii="Times New Roman" w:hAnsi="Times New Roman" w:eastAsia="宋体" w:cs="Times New Roman"/>
          <w:color w:val="auto"/>
          <w:szCs w:val="26"/>
          <w:highlight w:val="none"/>
          <w:lang w:val="en-US" w:eastAsia="zh-CN"/>
        </w:rPr>
      </w:pPr>
      <w:bookmarkStart w:id="316" w:name="_Toc31287"/>
      <w:bookmarkStart w:id="317" w:name="_Toc4704"/>
      <w:bookmarkStart w:id="318" w:name="_Toc10563"/>
      <w:r>
        <w:rPr>
          <w:rFonts w:hint="default" w:ascii="Times New Roman" w:hAnsi="Times New Roman" w:eastAsia="宋体" w:cs="Times New Roman"/>
          <w:color w:val="auto"/>
          <w:szCs w:val="26"/>
          <w:highlight w:val="none"/>
          <w:lang w:val="en-US" w:eastAsia="zh-CN"/>
        </w:rPr>
        <w:t>项目涉及</w:t>
      </w:r>
      <w:r>
        <w:rPr>
          <w:rFonts w:hint="eastAsia" w:ascii="Times New Roman" w:hAnsi="Times New Roman" w:eastAsia="宋体" w:cs="Times New Roman"/>
          <w:color w:val="auto"/>
          <w:szCs w:val="26"/>
          <w:highlight w:val="none"/>
          <w:lang w:val="en-US" w:eastAsia="zh-CN"/>
        </w:rPr>
        <w:t>风险物质</w:t>
      </w:r>
      <w:r>
        <w:rPr>
          <w:rFonts w:hint="default" w:ascii="Times New Roman" w:hAnsi="Times New Roman" w:eastAsia="宋体" w:cs="Times New Roman"/>
          <w:color w:val="auto"/>
          <w:szCs w:val="26"/>
          <w:highlight w:val="none"/>
          <w:lang w:val="en-US" w:eastAsia="zh-CN"/>
        </w:rPr>
        <w:t>为</w:t>
      </w:r>
      <w:r>
        <w:rPr>
          <w:rFonts w:hint="eastAsia" w:ascii="Times New Roman" w:hAnsi="Times New Roman" w:eastAsia="宋体" w:cs="Times New Roman"/>
          <w:color w:val="auto"/>
          <w:szCs w:val="26"/>
          <w:highlight w:val="none"/>
          <w:lang w:val="en-US" w:eastAsia="zh-CN"/>
        </w:rPr>
        <w:t>盐酸、天然气（甲烷）</w:t>
      </w:r>
      <w:r>
        <w:rPr>
          <w:rFonts w:hint="default" w:ascii="Times New Roman" w:hAnsi="Times New Roman" w:eastAsia="宋体" w:cs="Times New Roman"/>
          <w:color w:val="auto"/>
          <w:szCs w:val="26"/>
          <w:highlight w:val="none"/>
          <w:lang w:val="en-US" w:eastAsia="zh-CN"/>
        </w:rPr>
        <w:t>，项目风险物质存储量超过临界量，Q值为</w:t>
      </w:r>
      <w:r>
        <w:rPr>
          <w:rFonts w:hint="eastAsia" w:ascii="Times New Roman" w:hAnsi="Times New Roman" w:eastAsia="宋体" w:cs="Times New Roman"/>
          <w:color w:val="auto"/>
          <w:szCs w:val="26"/>
          <w:highlight w:val="none"/>
          <w:lang w:val="en-US" w:eastAsia="zh-CN"/>
        </w:rPr>
        <w:t>3.5681</w:t>
      </w:r>
      <w:r>
        <w:rPr>
          <w:rFonts w:hint="default" w:ascii="Times New Roman" w:hAnsi="Times New Roman" w:eastAsia="宋体" w:cs="Times New Roman"/>
          <w:color w:val="auto"/>
          <w:szCs w:val="26"/>
          <w:highlight w:val="none"/>
          <w:lang w:val="en-US" w:eastAsia="zh-CN"/>
        </w:rPr>
        <w:t>，主要风险事故为</w:t>
      </w:r>
      <w:r>
        <w:rPr>
          <w:rFonts w:hint="eastAsia" w:ascii="Times New Roman" w:hAnsi="Times New Roman" w:eastAsia="宋体" w:cs="Times New Roman"/>
          <w:color w:val="auto"/>
          <w:szCs w:val="26"/>
          <w:highlight w:val="none"/>
          <w:lang w:val="en-US" w:eastAsia="zh-CN"/>
        </w:rPr>
        <w:t>盐酸</w:t>
      </w:r>
      <w:r>
        <w:rPr>
          <w:rFonts w:hint="default" w:ascii="Times New Roman" w:hAnsi="Times New Roman" w:eastAsia="宋体" w:cs="Times New Roman"/>
          <w:color w:val="auto"/>
          <w:szCs w:val="26"/>
          <w:highlight w:val="none"/>
          <w:lang w:val="en-US" w:eastAsia="zh-CN"/>
        </w:rPr>
        <w:t>泄漏造成对大气环境、地表水环境及地下水环境的影响。</w:t>
      </w:r>
      <w:bookmarkEnd w:id="316"/>
      <w:bookmarkEnd w:id="317"/>
      <w:bookmarkEnd w:id="318"/>
    </w:p>
    <w:p w14:paraId="3402552D">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highlight w:val="none"/>
          <w:lang w:val="en-US" w:eastAsia="zh-CN"/>
        </w:rPr>
      </w:pPr>
      <w:bookmarkStart w:id="319" w:name="_Toc25670"/>
      <w:r>
        <w:rPr>
          <w:rFonts w:hint="default" w:ascii="Times New Roman" w:hAnsi="Times New Roman" w:eastAsia="宋体" w:cs="Times New Roman"/>
          <w:b/>
          <w:bCs w:val="0"/>
          <w:color w:val="auto"/>
          <w:kern w:val="2"/>
          <w:sz w:val="32"/>
          <w:szCs w:val="32"/>
          <w:highlight w:val="none"/>
          <w:lang w:val="en-US" w:eastAsia="zh-CN"/>
        </w:rPr>
        <w:t>8.2 环境敏感性及事故环境影响</w:t>
      </w:r>
      <w:bookmarkEnd w:id="319"/>
    </w:p>
    <w:p w14:paraId="3F687D97">
      <w:pPr>
        <w:pStyle w:val="106"/>
        <w:spacing w:line="360" w:lineRule="auto"/>
        <w:ind w:firstLine="480" w:firstLineChars="200"/>
        <w:jc w:val="both"/>
        <w:textAlignment w:val="baseline"/>
        <w:rPr>
          <w:rFonts w:hint="default" w:ascii="Times New Roman" w:hAnsi="Times New Roman" w:eastAsia="宋体" w:cs="Times New Roman"/>
          <w:color w:val="auto"/>
          <w:szCs w:val="26"/>
          <w:highlight w:val="none"/>
          <w:lang w:val="en-US" w:eastAsia="zh-CN"/>
        </w:rPr>
      </w:pPr>
      <w:bookmarkStart w:id="320" w:name="_Toc18185"/>
      <w:bookmarkStart w:id="321" w:name="_Toc1490"/>
      <w:bookmarkStart w:id="322" w:name="_Toc10485"/>
      <w:r>
        <w:rPr>
          <w:rFonts w:hint="default" w:ascii="Times New Roman" w:hAnsi="Times New Roman" w:eastAsia="宋体" w:cs="Times New Roman"/>
          <w:color w:val="auto"/>
          <w:szCs w:val="26"/>
          <w:highlight w:val="none"/>
          <w:lang w:val="en-US" w:eastAsia="zh-CN"/>
        </w:rPr>
        <w:t>项目大气环境敏感程度分级为E</w:t>
      </w:r>
      <w:r>
        <w:rPr>
          <w:rFonts w:hint="eastAsia" w:ascii="Times New Roman" w:hAnsi="Times New Roman" w:eastAsia="宋体" w:cs="Times New Roman"/>
          <w:color w:val="auto"/>
          <w:szCs w:val="26"/>
          <w:highlight w:val="none"/>
          <w:lang w:val="en-US" w:eastAsia="zh-CN"/>
        </w:rPr>
        <w:t>2</w:t>
      </w:r>
      <w:r>
        <w:rPr>
          <w:rFonts w:hint="default" w:ascii="Times New Roman" w:hAnsi="Times New Roman" w:eastAsia="宋体" w:cs="Times New Roman"/>
          <w:color w:val="auto"/>
          <w:szCs w:val="26"/>
          <w:highlight w:val="none"/>
          <w:lang w:val="en-US" w:eastAsia="zh-CN"/>
        </w:rPr>
        <w:t>；地表水环境敏感程度分级为E3；地下水环境敏感程度分级为E3。</w:t>
      </w:r>
      <w:bookmarkEnd w:id="320"/>
      <w:bookmarkEnd w:id="321"/>
      <w:bookmarkEnd w:id="322"/>
    </w:p>
    <w:p w14:paraId="7796A346">
      <w:pPr>
        <w:pStyle w:val="106"/>
        <w:spacing w:line="360" w:lineRule="auto"/>
        <w:ind w:firstLine="480" w:firstLineChars="200"/>
        <w:jc w:val="both"/>
        <w:textAlignment w:val="baseline"/>
        <w:rPr>
          <w:rFonts w:hint="default" w:ascii="Times New Roman" w:hAnsi="Times New Roman" w:eastAsia="宋体" w:cs="Times New Roman"/>
          <w:color w:val="auto"/>
          <w:szCs w:val="26"/>
          <w:highlight w:val="none"/>
          <w:lang w:val="en-US" w:eastAsia="zh-CN"/>
        </w:rPr>
      </w:pPr>
      <w:bookmarkStart w:id="323" w:name="_Toc32386"/>
      <w:bookmarkStart w:id="324" w:name="_Toc1592"/>
      <w:bookmarkStart w:id="325" w:name="_Toc11102"/>
      <w:r>
        <w:rPr>
          <w:rFonts w:hint="default" w:ascii="Times New Roman" w:hAnsi="Times New Roman" w:eastAsia="宋体" w:cs="Times New Roman"/>
          <w:color w:val="auto"/>
          <w:szCs w:val="26"/>
          <w:highlight w:val="none"/>
          <w:lang w:val="en-US" w:eastAsia="zh-CN"/>
        </w:rPr>
        <w:t>项目可能发生的主要风险事故为</w:t>
      </w:r>
      <w:r>
        <w:rPr>
          <w:rFonts w:hint="eastAsia" w:ascii="Times New Roman" w:hAnsi="Times New Roman" w:eastAsia="宋体" w:cs="Times New Roman"/>
          <w:color w:val="auto"/>
          <w:szCs w:val="26"/>
          <w:highlight w:val="none"/>
          <w:lang w:val="en-US" w:eastAsia="zh-CN"/>
        </w:rPr>
        <w:t>盐酸</w:t>
      </w:r>
      <w:r>
        <w:rPr>
          <w:rFonts w:hint="default" w:ascii="Times New Roman" w:hAnsi="Times New Roman" w:eastAsia="宋体" w:cs="Times New Roman"/>
          <w:color w:val="auto"/>
          <w:szCs w:val="26"/>
          <w:highlight w:val="none"/>
          <w:lang w:val="en-US" w:eastAsia="zh-CN"/>
        </w:rPr>
        <w:t>泄漏事故。</w:t>
      </w:r>
      <w:r>
        <w:rPr>
          <w:rFonts w:hint="eastAsia" w:ascii="Times New Roman" w:hAnsi="Times New Roman" w:eastAsia="宋体" w:cs="Times New Roman"/>
          <w:color w:val="auto"/>
          <w:szCs w:val="26"/>
          <w:highlight w:val="none"/>
          <w:lang w:val="en-US" w:eastAsia="zh-CN"/>
        </w:rPr>
        <w:t>盐酸</w:t>
      </w:r>
      <w:r>
        <w:rPr>
          <w:rFonts w:hint="default" w:ascii="Times New Roman" w:hAnsi="Times New Roman" w:eastAsia="宋体" w:cs="Times New Roman"/>
          <w:color w:val="auto"/>
          <w:szCs w:val="26"/>
          <w:highlight w:val="none"/>
          <w:lang w:val="en-US" w:eastAsia="zh-CN"/>
        </w:rPr>
        <w:t>泄漏</w:t>
      </w:r>
      <w:r>
        <w:rPr>
          <w:rFonts w:hint="eastAsia" w:ascii="Times New Roman" w:hAnsi="Times New Roman" w:eastAsia="宋体" w:cs="Times New Roman"/>
          <w:color w:val="auto"/>
          <w:szCs w:val="26"/>
          <w:highlight w:val="none"/>
          <w:lang w:val="en-US" w:eastAsia="zh-CN"/>
        </w:rPr>
        <w:t>，无有毒有害物质挥发，</w:t>
      </w:r>
      <w:r>
        <w:rPr>
          <w:rFonts w:hint="default" w:ascii="Times New Roman" w:hAnsi="Times New Roman" w:eastAsia="宋体" w:cs="Times New Roman"/>
          <w:color w:val="auto"/>
          <w:szCs w:val="26"/>
          <w:highlight w:val="none"/>
          <w:lang w:val="en-US" w:eastAsia="zh-CN"/>
        </w:rPr>
        <w:t>对周边人群及企业影响不大。</w:t>
      </w:r>
    </w:p>
    <w:p w14:paraId="06180DC4">
      <w:pPr>
        <w:pStyle w:val="106"/>
        <w:spacing w:line="360" w:lineRule="auto"/>
        <w:ind w:firstLine="480" w:firstLineChars="200"/>
        <w:jc w:val="both"/>
        <w:textAlignment w:val="baseline"/>
        <w:rPr>
          <w:rFonts w:hint="default" w:ascii="Times New Roman" w:hAnsi="Times New Roman" w:eastAsia="宋体" w:cs="Times New Roman"/>
          <w:color w:val="auto"/>
          <w:szCs w:val="26"/>
          <w:highlight w:val="none"/>
          <w:lang w:val="en-US" w:eastAsia="zh-CN"/>
        </w:rPr>
      </w:pPr>
      <w:r>
        <w:rPr>
          <w:rFonts w:hint="default" w:ascii="Times New Roman" w:hAnsi="Times New Roman" w:eastAsia="宋体" w:cs="Times New Roman"/>
          <w:color w:val="auto"/>
          <w:szCs w:val="26"/>
          <w:highlight w:val="none"/>
          <w:lang w:val="en-US" w:eastAsia="zh-CN"/>
        </w:rPr>
        <w:t>正常情况下，</w:t>
      </w:r>
      <w:r>
        <w:rPr>
          <w:rFonts w:hint="eastAsia" w:ascii="Times New Roman" w:hAnsi="Times New Roman" w:eastAsia="宋体" w:cs="Times New Roman"/>
          <w:color w:val="auto"/>
          <w:szCs w:val="26"/>
          <w:highlight w:val="none"/>
          <w:lang w:val="en-US" w:eastAsia="zh-CN"/>
        </w:rPr>
        <w:t>天然气为管道气，管道中天然气储存量很少，泄漏风险较小</w:t>
      </w:r>
      <w:r>
        <w:rPr>
          <w:rFonts w:hint="default" w:ascii="Times New Roman" w:hAnsi="Times New Roman" w:eastAsia="宋体" w:cs="Times New Roman"/>
          <w:color w:val="auto"/>
          <w:szCs w:val="26"/>
          <w:highlight w:val="none"/>
          <w:lang w:val="en-US" w:eastAsia="zh-CN"/>
        </w:rPr>
        <w:t>。</w:t>
      </w:r>
    </w:p>
    <w:p w14:paraId="28596F05">
      <w:pPr>
        <w:pStyle w:val="106"/>
        <w:spacing w:line="360" w:lineRule="auto"/>
        <w:ind w:firstLine="480" w:firstLineChars="200"/>
        <w:jc w:val="both"/>
        <w:textAlignment w:val="baseline"/>
        <w:rPr>
          <w:rFonts w:hint="eastAsia" w:ascii="Times New Roman" w:hAnsi="Times New Roman" w:eastAsia="宋体" w:cs="Times New Roman"/>
          <w:color w:val="auto"/>
          <w:szCs w:val="26"/>
          <w:highlight w:val="none"/>
          <w:lang w:val="en-US" w:eastAsia="zh-CN"/>
        </w:rPr>
      </w:pPr>
      <w:r>
        <w:rPr>
          <w:rFonts w:hint="eastAsia" w:ascii="Times New Roman" w:hAnsi="Times New Roman" w:eastAsia="宋体" w:cs="Times New Roman"/>
          <w:color w:val="auto"/>
          <w:szCs w:val="26"/>
          <w:highlight w:val="none"/>
          <w:lang w:val="en-US" w:eastAsia="zh-CN"/>
        </w:rPr>
        <w:t>盐酸为桶装，且周边设有围堰，储存在盐酸仓库，盐酸仓库重点防渗，</w:t>
      </w:r>
      <w:r>
        <w:rPr>
          <w:rFonts w:hint="default" w:ascii="Times New Roman" w:hAnsi="Times New Roman" w:eastAsia="宋体" w:cs="Times New Roman"/>
          <w:color w:val="auto"/>
          <w:szCs w:val="26"/>
          <w:highlight w:val="none"/>
          <w:lang w:val="en-US" w:eastAsia="zh-CN"/>
        </w:rPr>
        <w:t>一般情况下不会流出厂区</w:t>
      </w:r>
      <w:r>
        <w:rPr>
          <w:rFonts w:hint="eastAsia" w:ascii="Times New Roman" w:hAnsi="Times New Roman" w:eastAsia="宋体" w:cs="Times New Roman"/>
          <w:color w:val="auto"/>
          <w:szCs w:val="26"/>
          <w:highlight w:val="none"/>
          <w:lang w:val="en-US" w:eastAsia="zh-CN"/>
        </w:rPr>
        <w:t>。</w:t>
      </w:r>
    </w:p>
    <w:p w14:paraId="415FD1ED">
      <w:pPr>
        <w:pStyle w:val="106"/>
        <w:spacing w:line="360" w:lineRule="auto"/>
        <w:ind w:firstLine="480" w:firstLineChars="200"/>
        <w:jc w:val="both"/>
        <w:textAlignment w:val="baseline"/>
        <w:rPr>
          <w:rFonts w:hint="default" w:ascii="Times New Roman" w:hAnsi="Times New Roman" w:eastAsia="宋体" w:cs="Times New Roman"/>
          <w:color w:val="auto"/>
          <w:szCs w:val="26"/>
          <w:highlight w:val="none"/>
          <w:lang w:val="en-US" w:eastAsia="zh-CN"/>
        </w:rPr>
      </w:pPr>
      <w:r>
        <w:rPr>
          <w:rFonts w:hint="eastAsia" w:ascii="Times New Roman" w:hAnsi="Times New Roman" w:eastAsia="宋体" w:cs="Times New Roman"/>
          <w:color w:val="auto"/>
          <w:szCs w:val="26"/>
          <w:highlight w:val="none"/>
          <w:lang w:val="en-US" w:eastAsia="zh-CN"/>
        </w:rPr>
        <w:t>若盐酸吨桶、围堰破损，处理不及时，可能</w:t>
      </w:r>
      <w:r>
        <w:rPr>
          <w:rFonts w:hint="default" w:ascii="Times New Roman" w:hAnsi="Times New Roman" w:eastAsia="宋体" w:cs="Times New Roman"/>
          <w:color w:val="auto"/>
          <w:szCs w:val="26"/>
          <w:highlight w:val="none"/>
          <w:lang w:val="en-US" w:eastAsia="zh-CN"/>
        </w:rPr>
        <w:t>会</w:t>
      </w:r>
      <w:r>
        <w:rPr>
          <w:rFonts w:hint="eastAsia" w:ascii="Times New Roman" w:hAnsi="Times New Roman" w:eastAsia="宋体" w:cs="Times New Roman"/>
          <w:color w:val="auto"/>
          <w:szCs w:val="26"/>
          <w:highlight w:val="none"/>
          <w:lang w:val="en-US" w:eastAsia="zh-CN"/>
        </w:rPr>
        <w:t>流出</w:t>
      </w:r>
      <w:r>
        <w:rPr>
          <w:rFonts w:hint="default" w:ascii="Times New Roman" w:hAnsi="Times New Roman" w:eastAsia="宋体" w:cs="Times New Roman"/>
          <w:color w:val="auto"/>
          <w:szCs w:val="26"/>
          <w:highlight w:val="none"/>
          <w:lang w:val="en-US" w:eastAsia="zh-CN"/>
        </w:rPr>
        <w:t>厂区进入到水环境，造成水质污染</w:t>
      </w:r>
      <w:r>
        <w:rPr>
          <w:rFonts w:hint="eastAsia" w:ascii="Times New Roman" w:hAnsi="Times New Roman" w:eastAsia="宋体" w:cs="Times New Roman"/>
          <w:color w:val="auto"/>
          <w:szCs w:val="26"/>
          <w:highlight w:val="none"/>
          <w:lang w:val="en-US" w:eastAsia="zh-CN"/>
        </w:rPr>
        <w:t>，</w:t>
      </w:r>
      <w:r>
        <w:rPr>
          <w:rFonts w:hint="default" w:ascii="Times New Roman" w:hAnsi="Times New Roman" w:eastAsia="宋体" w:cs="Times New Roman"/>
          <w:color w:val="auto"/>
          <w:szCs w:val="26"/>
          <w:highlight w:val="none"/>
          <w:lang w:val="en-US" w:eastAsia="zh-CN"/>
        </w:rPr>
        <w:t>项目在厂区拟建立三级防控系统，设置事故应急池（1座，容积</w:t>
      </w:r>
      <w:r>
        <w:rPr>
          <w:rFonts w:hint="eastAsia" w:ascii="Times New Roman" w:hAnsi="Times New Roman" w:eastAsia="宋体" w:cs="Times New Roman"/>
          <w:color w:val="auto"/>
          <w:szCs w:val="26"/>
          <w:highlight w:val="none"/>
          <w:lang w:val="en-US" w:eastAsia="zh-CN"/>
        </w:rPr>
        <w:t>200</w:t>
      </w:r>
      <w:r>
        <w:rPr>
          <w:rFonts w:hint="default" w:ascii="Times New Roman" w:hAnsi="Times New Roman" w:eastAsia="宋体" w:cs="Times New Roman"/>
          <w:color w:val="auto"/>
          <w:szCs w:val="26"/>
          <w:highlight w:val="none"/>
          <w:lang w:val="en-US" w:eastAsia="zh-CN"/>
        </w:rPr>
        <w:t>m3），能够有效收集事故废水，事故应急池严格做好防渗防腐、防漏等措施，能有效避免事故废水对周围地表水及地下水环境的影响。</w:t>
      </w:r>
    </w:p>
    <w:p w14:paraId="731E7136">
      <w:pPr>
        <w:pStyle w:val="106"/>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rPr>
      </w:pPr>
      <w:r>
        <w:rPr>
          <w:rFonts w:hint="default" w:ascii="Times New Roman" w:hAnsi="Times New Roman" w:eastAsia="宋体" w:cs="Times New Roman"/>
          <w:color w:val="auto"/>
          <w:szCs w:val="26"/>
          <w:highlight w:val="none"/>
          <w:lang w:val="en-US"/>
        </w:rPr>
        <w:t>因此，即使发生</w:t>
      </w:r>
      <w:r>
        <w:rPr>
          <w:rFonts w:hint="eastAsia" w:ascii="Times New Roman" w:hAnsi="Times New Roman" w:cs="Times New Roman"/>
          <w:color w:val="auto"/>
          <w:sz w:val="24"/>
          <w:szCs w:val="24"/>
          <w:lang w:val="en-US" w:eastAsia="zh-CN"/>
        </w:rPr>
        <w:t>盐酸吨桶</w:t>
      </w:r>
      <w:r>
        <w:rPr>
          <w:rFonts w:hint="eastAsia" w:ascii="Times New Roman" w:hAnsi="Times New Roman" w:eastAsia="宋体" w:cs="Times New Roman"/>
          <w:color w:val="auto"/>
          <w:kern w:val="0"/>
          <w:sz w:val="24"/>
          <w:szCs w:val="24"/>
          <w:highlight w:val="none"/>
          <w:lang w:val="en-US" w:eastAsia="zh-CN"/>
        </w:rPr>
        <w:t>、围堰</w:t>
      </w:r>
      <w:r>
        <w:rPr>
          <w:rFonts w:hint="eastAsia" w:ascii="Times New Roman" w:hAnsi="Times New Roman" w:cs="Times New Roman"/>
          <w:color w:val="auto"/>
          <w:kern w:val="0"/>
          <w:sz w:val="24"/>
          <w:szCs w:val="24"/>
          <w:highlight w:val="none"/>
          <w:lang w:val="en-US" w:eastAsia="zh-CN"/>
        </w:rPr>
        <w:t>同时</w:t>
      </w:r>
      <w:r>
        <w:rPr>
          <w:rFonts w:hint="eastAsia" w:ascii="Times New Roman" w:hAnsi="Times New Roman" w:eastAsia="宋体" w:cs="Times New Roman"/>
          <w:color w:val="auto"/>
          <w:sz w:val="24"/>
          <w:szCs w:val="24"/>
          <w:highlight w:val="none"/>
          <w:lang w:val="en-US" w:eastAsia="zh-CN"/>
        </w:rPr>
        <w:t>破损</w:t>
      </w:r>
      <w:r>
        <w:rPr>
          <w:rFonts w:hint="default" w:ascii="Times New Roman" w:hAnsi="Times New Roman" w:eastAsia="宋体" w:cs="Times New Roman"/>
          <w:color w:val="auto"/>
          <w:szCs w:val="26"/>
          <w:highlight w:val="none"/>
          <w:lang w:val="en-US"/>
        </w:rPr>
        <w:t>，也不会对地表水及地下水造成明显影响</w:t>
      </w:r>
      <w:r>
        <w:rPr>
          <w:rFonts w:hint="default" w:ascii="Times New Roman" w:hAnsi="Times New Roman" w:eastAsia="宋体" w:cs="Times New Roman"/>
          <w:color w:val="auto"/>
          <w:szCs w:val="26"/>
          <w:highlight w:val="none"/>
          <w:lang w:val="en-US" w:eastAsia="zh-CN"/>
        </w:rPr>
        <w:t>；</w:t>
      </w:r>
      <w:r>
        <w:rPr>
          <w:rFonts w:hint="default" w:ascii="Times New Roman" w:hAnsi="Times New Roman" w:eastAsia="宋体" w:cs="Times New Roman"/>
          <w:color w:val="auto"/>
          <w:szCs w:val="26"/>
          <w:highlight w:val="none"/>
          <w:lang w:val="en-US"/>
        </w:rPr>
        <w:t>建议企业应加强对相关设施设备的日常检修维护和监测工作，将</w:t>
      </w:r>
      <w:r>
        <w:rPr>
          <w:rFonts w:hint="eastAsia" w:ascii="Times New Roman" w:hAnsi="Times New Roman" w:cs="Times New Roman"/>
          <w:color w:val="auto"/>
          <w:szCs w:val="26"/>
          <w:highlight w:val="none"/>
          <w:lang w:val="en-US" w:eastAsia="zh-CN"/>
        </w:rPr>
        <w:t>风险</w:t>
      </w:r>
      <w:r>
        <w:rPr>
          <w:rFonts w:hint="default" w:ascii="Times New Roman" w:hAnsi="Times New Roman" w:eastAsia="宋体" w:cs="Times New Roman"/>
          <w:color w:val="auto"/>
          <w:szCs w:val="26"/>
          <w:highlight w:val="none"/>
          <w:lang w:val="en-US"/>
        </w:rPr>
        <w:t>物质进入地表水、地下水环境的影响程度降至最低。</w:t>
      </w:r>
    </w:p>
    <w:bookmarkEnd w:id="323"/>
    <w:bookmarkEnd w:id="324"/>
    <w:bookmarkEnd w:id="325"/>
    <w:p w14:paraId="4ADC55E4">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lang w:val="en-US" w:eastAsia="zh-CN"/>
        </w:rPr>
      </w:pPr>
      <w:bookmarkStart w:id="326" w:name="_Toc15069"/>
      <w:r>
        <w:rPr>
          <w:rFonts w:hint="default" w:ascii="Times New Roman" w:hAnsi="Times New Roman" w:eastAsia="宋体" w:cs="Times New Roman"/>
          <w:b/>
          <w:bCs w:val="0"/>
          <w:color w:val="auto"/>
          <w:kern w:val="2"/>
          <w:sz w:val="32"/>
          <w:szCs w:val="32"/>
          <w:lang w:val="en-US" w:eastAsia="zh-CN"/>
        </w:rPr>
        <w:t>8.3 环境风险防范措施和应急预案</w:t>
      </w:r>
      <w:bookmarkEnd w:id="326"/>
    </w:p>
    <w:p w14:paraId="74E447BF">
      <w:pPr>
        <w:pStyle w:val="106"/>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eastAsia="zh-CN"/>
        </w:rPr>
      </w:pPr>
      <w:bookmarkStart w:id="327" w:name="_Toc28153"/>
      <w:bookmarkStart w:id="328" w:name="_Toc10446"/>
      <w:bookmarkStart w:id="329" w:name="_Toc26806"/>
      <w:r>
        <w:rPr>
          <w:rFonts w:hint="default" w:ascii="Times New Roman" w:hAnsi="Times New Roman" w:eastAsia="宋体" w:cs="Times New Roman"/>
          <w:color w:val="auto"/>
          <w:szCs w:val="26"/>
          <w:highlight w:val="none"/>
          <w:lang w:val="en-US" w:eastAsia="zh-CN"/>
        </w:rPr>
        <w:t>项目生产装置具有潜在的事故风险，应从建设、生产、贮运等各方面积极采取措施。为了防范事故和减少事故的危害，应加强</w:t>
      </w:r>
      <w:r>
        <w:rPr>
          <w:rFonts w:hint="eastAsia" w:ascii="Times New Roman" w:hAnsi="Times New Roman" w:eastAsia="宋体" w:cs="Times New Roman"/>
          <w:color w:val="auto"/>
          <w:szCs w:val="26"/>
          <w:highlight w:val="none"/>
          <w:lang w:val="en-US" w:eastAsia="zh-CN"/>
        </w:rPr>
        <w:t>风险物质</w:t>
      </w:r>
      <w:r>
        <w:rPr>
          <w:rFonts w:hint="default" w:ascii="Times New Roman" w:hAnsi="Times New Roman" w:eastAsia="宋体" w:cs="Times New Roman"/>
          <w:color w:val="auto"/>
          <w:szCs w:val="26"/>
          <w:highlight w:val="none"/>
          <w:lang w:val="en-US" w:eastAsia="zh-CN"/>
        </w:rPr>
        <w:t>管理、完善安全生产制度、系统排查存在的环境风险，杜绝环境风险事故发生。当出现事故时，要采取紧急的工程应对措施，如有必要，要采取社会应急措施，并根据实时情况和事故种类确定人群疏散范围，以控制事故和减少对环境造成的危害。</w:t>
      </w:r>
      <w:bookmarkEnd w:id="327"/>
      <w:bookmarkEnd w:id="328"/>
      <w:bookmarkEnd w:id="329"/>
    </w:p>
    <w:p w14:paraId="150680DC">
      <w:pPr>
        <w:pStyle w:val="106"/>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eastAsia="zh-CN"/>
        </w:rPr>
      </w:pPr>
      <w:bookmarkStart w:id="330" w:name="_Toc11109"/>
      <w:bookmarkStart w:id="331" w:name="_Toc7626"/>
      <w:bookmarkStart w:id="332" w:name="_Toc27896"/>
      <w:r>
        <w:rPr>
          <w:rFonts w:hint="default" w:ascii="Times New Roman" w:hAnsi="Times New Roman" w:eastAsia="宋体" w:cs="Times New Roman"/>
          <w:color w:val="auto"/>
          <w:szCs w:val="26"/>
          <w:highlight w:val="none"/>
          <w:lang w:val="en-US" w:eastAsia="zh-CN"/>
        </w:rPr>
        <w:t>建设单位必须做好风险事故应急预案的编制、组织和实施工作，完善公司风险防范体系。</w:t>
      </w:r>
      <w:bookmarkEnd w:id="330"/>
      <w:bookmarkEnd w:id="331"/>
      <w:bookmarkEnd w:id="332"/>
    </w:p>
    <w:p w14:paraId="651A7577">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lang w:val="en-US" w:eastAsia="zh-CN"/>
        </w:rPr>
      </w:pPr>
      <w:bookmarkStart w:id="333" w:name="_Toc22303"/>
      <w:r>
        <w:rPr>
          <w:rFonts w:hint="default" w:ascii="Times New Roman" w:hAnsi="Times New Roman" w:eastAsia="宋体" w:cs="Times New Roman"/>
          <w:b/>
          <w:bCs w:val="0"/>
          <w:color w:val="auto"/>
          <w:kern w:val="2"/>
          <w:sz w:val="32"/>
          <w:szCs w:val="32"/>
          <w:lang w:val="en-US" w:eastAsia="zh-CN"/>
        </w:rPr>
        <w:t>8.4 环境风险评价结论与建议</w:t>
      </w:r>
      <w:bookmarkEnd w:id="333"/>
    </w:p>
    <w:p w14:paraId="2FEFC7D2">
      <w:pPr>
        <w:pStyle w:val="106"/>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eastAsia="zh-CN"/>
        </w:rPr>
      </w:pPr>
      <w:bookmarkStart w:id="334" w:name="_Toc8392"/>
      <w:bookmarkStart w:id="335" w:name="_Toc6264"/>
      <w:bookmarkStart w:id="336" w:name="_Toc9273"/>
      <w:r>
        <w:rPr>
          <w:rFonts w:hint="default" w:ascii="Times New Roman" w:hAnsi="Times New Roman" w:eastAsia="宋体" w:cs="Times New Roman"/>
          <w:color w:val="auto"/>
          <w:szCs w:val="26"/>
          <w:highlight w:val="none"/>
          <w:lang w:val="en-US" w:eastAsia="zh-CN"/>
        </w:rPr>
        <w:t>事故发生后要积极开展灾后危险物质及消防废水的处理，认真落实事故风险水池的建设，强化事故水导排系统，防止二次污染发生以及事故废水、废液进入地表水、地下水环境。采取报告中相关防范措施后，项目环境风险可控。</w:t>
      </w:r>
      <w:bookmarkEnd w:id="334"/>
      <w:bookmarkEnd w:id="335"/>
      <w:bookmarkEnd w:id="336"/>
    </w:p>
    <w:p w14:paraId="0661F755">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lang w:val="en-US" w:eastAsia="zh-CN"/>
        </w:rPr>
      </w:pPr>
      <w:bookmarkStart w:id="337" w:name="_Toc19408"/>
      <w:r>
        <w:rPr>
          <w:rFonts w:hint="default" w:ascii="Times New Roman" w:hAnsi="Times New Roman" w:eastAsia="宋体" w:cs="Times New Roman"/>
          <w:b/>
          <w:bCs w:val="0"/>
          <w:color w:val="auto"/>
          <w:kern w:val="2"/>
          <w:sz w:val="32"/>
          <w:szCs w:val="32"/>
          <w:lang w:val="en-US" w:eastAsia="zh-CN"/>
        </w:rPr>
        <w:t>8.5环境风险评价自查表</w:t>
      </w:r>
      <w:bookmarkEnd w:id="337"/>
    </w:p>
    <w:p w14:paraId="037E019B">
      <w:pPr>
        <w:pStyle w:val="105"/>
        <w:outlineLvl w:val="9"/>
        <w:rPr>
          <w:rFonts w:hint="default" w:ascii="Times New Roman" w:hAnsi="Times New Roman" w:eastAsia="宋体" w:cs="Times New Roman"/>
          <w:b/>
          <w:bCs w:val="0"/>
          <w:color w:val="auto"/>
          <w:sz w:val="24"/>
          <w:szCs w:val="32"/>
        </w:rPr>
      </w:pPr>
      <w:r>
        <w:rPr>
          <w:rFonts w:hint="default" w:ascii="Times New Roman" w:hAnsi="Times New Roman" w:eastAsia="宋体" w:cs="Times New Roman"/>
          <w:b/>
          <w:bCs w:val="0"/>
          <w:color w:val="auto"/>
          <w:sz w:val="24"/>
          <w:szCs w:val="32"/>
        </w:rPr>
        <w:t>表</w:t>
      </w:r>
      <w:r>
        <w:rPr>
          <w:rFonts w:hint="default" w:ascii="Times New Roman" w:hAnsi="Times New Roman" w:eastAsia="宋体" w:cs="Times New Roman"/>
          <w:b/>
          <w:bCs w:val="0"/>
          <w:color w:val="auto"/>
          <w:sz w:val="24"/>
          <w:szCs w:val="32"/>
          <w:lang w:val="en-US" w:eastAsia="zh-CN"/>
        </w:rPr>
        <w:t>8.5-</w:t>
      </w:r>
      <w:r>
        <w:rPr>
          <w:rFonts w:hint="default" w:ascii="Times New Roman" w:hAnsi="Times New Roman" w:eastAsia="宋体" w:cs="Times New Roman"/>
          <w:b/>
          <w:bCs w:val="0"/>
          <w:color w:val="auto"/>
          <w:sz w:val="24"/>
          <w:szCs w:val="32"/>
        </w:rPr>
        <w:t>1  环境风险评价自查表</w:t>
      </w:r>
    </w:p>
    <w:tbl>
      <w:tblPr>
        <w:tblStyle w:val="32"/>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877"/>
        <w:gridCol w:w="885"/>
        <w:gridCol w:w="1069"/>
        <w:gridCol w:w="284"/>
        <w:gridCol w:w="524"/>
        <w:gridCol w:w="417"/>
        <w:gridCol w:w="363"/>
        <w:gridCol w:w="496"/>
        <w:gridCol w:w="319"/>
        <w:gridCol w:w="282"/>
        <w:gridCol w:w="137"/>
        <w:gridCol w:w="791"/>
        <w:gridCol w:w="479"/>
        <w:gridCol w:w="290"/>
        <w:gridCol w:w="180"/>
        <w:gridCol w:w="54"/>
        <w:gridCol w:w="1827"/>
      </w:tblGrid>
      <w:tr w14:paraId="63795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30DA6DC0">
            <w:pPr>
              <w:pStyle w:val="83"/>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工作内容</w:t>
            </w:r>
          </w:p>
        </w:tc>
        <w:tc>
          <w:tcPr>
            <w:tcW w:w="7917" w:type="dxa"/>
            <w:gridSpan w:val="16"/>
            <w:noWrap w:val="0"/>
            <w:vAlign w:val="center"/>
          </w:tcPr>
          <w:p w14:paraId="6805D19D">
            <w:pPr>
              <w:pStyle w:val="83"/>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完成情况</w:t>
            </w:r>
          </w:p>
        </w:tc>
      </w:tr>
      <w:tr w14:paraId="61013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restart"/>
            <w:noWrap w:val="0"/>
            <w:vAlign w:val="center"/>
          </w:tcPr>
          <w:p w14:paraId="49787AD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风险调查</w:t>
            </w:r>
          </w:p>
        </w:tc>
        <w:tc>
          <w:tcPr>
            <w:tcW w:w="827" w:type="dxa"/>
            <w:vMerge w:val="restart"/>
            <w:noWrap w:val="0"/>
            <w:vAlign w:val="center"/>
          </w:tcPr>
          <w:p w14:paraId="4A4DA46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危险物质</w:t>
            </w:r>
          </w:p>
        </w:tc>
        <w:tc>
          <w:tcPr>
            <w:tcW w:w="834" w:type="dxa"/>
            <w:noWrap w:val="0"/>
            <w:vAlign w:val="center"/>
          </w:tcPr>
          <w:p w14:paraId="27D84C6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770" w:type="dxa"/>
            <w:gridSpan w:val="3"/>
            <w:noWrap w:val="0"/>
            <w:vAlign w:val="center"/>
          </w:tcPr>
          <w:p w14:paraId="220DF468">
            <w:pPr>
              <w:pStyle w:val="83"/>
              <w:keepNext w:val="0"/>
              <w:keepLines w:val="0"/>
              <w:suppressLineNumbers w:val="0"/>
              <w:spacing w:before="0" w:beforeAutospacing="0" w:after="0" w:afterAutospacing="0"/>
              <w:ind w:left="-103" w:leftChars="-49" w:right="-115" w:rightChars="-55"/>
              <w:jc w:val="center"/>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sz w:val="24"/>
                <w:szCs w:val="22"/>
                <w:highlight w:val="none"/>
                <w:lang w:val="en-US" w:eastAsia="zh-CN"/>
              </w:rPr>
              <w:t>天然气（甲烷）</w:t>
            </w:r>
          </w:p>
        </w:tc>
        <w:tc>
          <w:tcPr>
            <w:tcW w:w="1770" w:type="dxa"/>
            <w:gridSpan w:val="5"/>
            <w:noWrap w:val="0"/>
            <w:vAlign w:val="center"/>
          </w:tcPr>
          <w:p w14:paraId="7C78872C">
            <w:pPr>
              <w:pStyle w:val="83"/>
              <w:keepNext w:val="0"/>
              <w:keepLines w:val="0"/>
              <w:suppressLineNumbers w:val="0"/>
              <w:spacing w:before="0" w:beforeAutospacing="0" w:after="0" w:afterAutospacing="0"/>
              <w:ind w:left="-103" w:leftChars="-49" w:right="-115" w:rightChars="-55"/>
              <w:jc w:val="center"/>
              <w:outlineLvl w:val="9"/>
              <w:rPr>
                <w:rFonts w:hint="default" w:ascii="Times New Roman" w:hAnsi="Times New Roman" w:eastAsia="宋体" w:cs="Times New Roman"/>
                <w:color w:val="auto"/>
                <w:kern w:val="21"/>
                <w:sz w:val="21"/>
                <w:szCs w:val="20"/>
                <w:lang w:val="en-US" w:eastAsia="zh-CN" w:bidi="ar-SA"/>
              </w:rPr>
            </w:pPr>
            <w:r>
              <w:rPr>
                <w:rFonts w:hint="eastAsia" w:cs="Times New Roman"/>
                <w:color w:val="auto"/>
                <w:kern w:val="21"/>
                <w:sz w:val="21"/>
                <w:szCs w:val="20"/>
                <w:lang w:val="en-US" w:eastAsia="zh-CN" w:bidi="ar-SA"/>
              </w:rPr>
              <w:t>37%盐酸</w:t>
            </w:r>
          </w:p>
        </w:tc>
        <w:tc>
          <w:tcPr>
            <w:tcW w:w="1770" w:type="dxa"/>
            <w:gridSpan w:val="5"/>
            <w:noWrap w:val="0"/>
            <w:vAlign w:val="center"/>
          </w:tcPr>
          <w:p w14:paraId="7DF1D375">
            <w:pPr>
              <w:pStyle w:val="83"/>
              <w:keepNext w:val="0"/>
              <w:keepLines w:val="0"/>
              <w:suppressLineNumbers w:val="0"/>
              <w:spacing w:before="0" w:beforeAutospacing="0" w:after="0" w:afterAutospacing="0"/>
              <w:ind w:left="-103" w:leftChars="-49" w:right="-115" w:rightChars="-55"/>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773" w:type="dxa"/>
            <w:gridSpan w:val="2"/>
            <w:noWrap w:val="0"/>
            <w:vAlign w:val="center"/>
          </w:tcPr>
          <w:p w14:paraId="698DF1DB">
            <w:pPr>
              <w:pStyle w:val="83"/>
              <w:keepNext w:val="0"/>
              <w:keepLines w:val="0"/>
              <w:suppressLineNumbers w:val="0"/>
              <w:spacing w:before="0" w:beforeAutospacing="0" w:after="0" w:afterAutospacing="0"/>
              <w:ind w:left="-103" w:leftChars="-49" w:right="-115" w:rightChars="-55"/>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A424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2DADD54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27" w:type="dxa"/>
            <w:vMerge w:val="continue"/>
            <w:noWrap w:val="0"/>
            <w:vAlign w:val="center"/>
          </w:tcPr>
          <w:p w14:paraId="4508E79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34" w:type="dxa"/>
            <w:noWrap w:val="0"/>
            <w:vAlign w:val="center"/>
          </w:tcPr>
          <w:p w14:paraId="2663CCED">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存在总量/t</w:t>
            </w:r>
          </w:p>
        </w:tc>
        <w:tc>
          <w:tcPr>
            <w:tcW w:w="1770" w:type="dxa"/>
            <w:gridSpan w:val="3"/>
            <w:noWrap w:val="0"/>
            <w:vAlign w:val="center"/>
          </w:tcPr>
          <w:p w14:paraId="1226ED1D">
            <w:pPr>
              <w:pStyle w:val="83"/>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highlight w:val="none"/>
                <w:lang w:val="en-US" w:eastAsia="zh-CN"/>
              </w:rPr>
            </w:pPr>
            <w:r>
              <w:rPr>
                <w:rFonts w:hint="eastAsia" w:cs="Times New Roman"/>
                <w:color w:val="auto"/>
                <w:kern w:val="2"/>
                <w:sz w:val="21"/>
                <w:szCs w:val="21"/>
                <w:highlight w:val="none"/>
                <w:lang w:val="en-US" w:eastAsia="zh-CN" w:bidi="ar-SA"/>
              </w:rPr>
              <w:t>0.001</w:t>
            </w:r>
          </w:p>
        </w:tc>
        <w:tc>
          <w:tcPr>
            <w:tcW w:w="1770" w:type="dxa"/>
            <w:gridSpan w:val="5"/>
            <w:noWrap w:val="0"/>
            <w:vAlign w:val="center"/>
          </w:tcPr>
          <w:p w14:paraId="3A4A0044">
            <w:pPr>
              <w:pStyle w:val="83"/>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26.76</w:t>
            </w:r>
          </w:p>
        </w:tc>
        <w:tc>
          <w:tcPr>
            <w:tcW w:w="1770" w:type="dxa"/>
            <w:gridSpan w:val="5"/>
            <w:noWrap w:val="0"/>
            <w:vAlign w:val="center"/>
          </w:tcPr>
          <w:p w14:paraId="696A41C0">
            <w:pPr>
              <w:pStyle w:val="83"/>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kern w:val="21"/>
                <w:sz w:val="21"/>
                <w:szCs w:val="20"/>
                <w:highlight w:val="none"/>
                <w:lang w:val="en-US" w:eastAsia="zh-CN" w:bidi="ar-SA"/>
              </w:rPr>
            </w:pPr>
            <w:r>
              <w:rPr>
                <w:rFonts w:hint="eastAsia" w:cs="Times New Roman"/>
                <w:color w:val="auto"/>
                <w:kern w:val="21"/>
                <w:sz w:val="21"/>
                <w:szCs w:val="20"/>
                <w:highlight w:val="none"/>
                <w:lang w:val="en-US" w:eastAsia="zh-CN" w:bidi="ar-SA"/>
              </w:rPr>
              <w:t>/</w:t>
            </w:r>
          </w:p>
        </w:tc>
        <w:tc>
          <w:tcPr>
            <w:tcW w:w="1773" w:type="dxa"/>
            <w:gridSpan w:val="2"/>
            <w:noWrap w:val="0"/>
            <w:vAlign w:val="center"/>
          </w:tcPr>
          <w:p w14:paraId="0ACB62E6">
            <w:pPr>
              <w:pStyle w:val="83"/>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kern w:val="21"/>
                <w:sz w:val="21"/>
                <w:szCs w:val="20"/>
                <w:highlight w:val="none"/>
                <w:lang w:val="en-US" w:eastAsia="zh-CN" w:bidi="ar-SA"/>
              </w:rPr>
            </w:pPr>
            <w:r>
              <w:rPr>
                <w:rFonts w:hint="eastAsia" w:cs="Times New Roman"/>
                <w:color w:val="auto"/>
                <w:kern w:val="21"/>
                <w:sz w:val="21"/>
                <w:szCs w:val="20"/>
                <w:highlight w:val="none"/>
                <w:lang w:val="en-US" w:eastAsia="zh-CN" w:bidi="ar-SA"/>
              </w:rPr>
              <w:t>/</w:t>
            </w:r>
          </w:p>
        </w:tc>
      </w:tr>
      <w:tr w14:paraId="38A1A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718325D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27" w:type="dxa"/>
            <w:vMerge w:val="restart"/>
            <w:noWrap w:val="0"/>
            <w:vAlign w:val="center"/>
          </w:tcPr>
          <w:p w14:paraId="2A8453F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环境敏感性</w:t>
            </w:r>
          </w:p>
        </w:tc>
        <w:tc>
          <w:tcPr>
            <w:tcW w:w="834" w:type="dxa"/>
            <w:vMerge w:val="restart"/>
            <w:noWrap w:val="0"/>
            <w:vAlign w:val="center"/>
          </w:tcPr>
          <w:p w14:paraId="29D6FEC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w:t>
            </w:r>
          </w:p>
        </w:tc>
        <w:tc>
          <w:tcPr>
            <w:tcW w:w="3669" w:type="dxa"/>
            <w:gridSpan w:val="9"/>
            <w:noWrap w:val="0"/>
            <w:vAlign w:val="center"/>
          </w:tcPr>
          <w:p w14:paraId="2C3B9EA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500m范围内人口</w:t>
            </w:r>
            <w:r>
              <w:rPr>
                <w:rFonts w:hint="eastAsia" w:cs="Times New Roman"/>
                <w:color w:val="auto"/>
                <w:kern w:val="0"/>
                <w:sz w:val="21"/>
                <w:szCs w:val="21"/>
                <w:highlight w:val="none"/>
                <w:lang w:val="en-US" w:eastAsia="zh-CN"/>
              </w:rPr>
              <w:t>830</w:t>
            </w:r>
            <w:r>
              <w:rPr>
                <w:rFonts w:hint="default" w:ascii="Times New Roman" w:hAnsi="Times New Roman" w:eastAsia="宋体" w:cs="Times New Roman"/>
                <w:color w:val="auto"/>
                <w:highlight w:val="none"/>
                <w:u w:val="none"/>
                <w:lang w:val="en-US" w:eastAsia="zh-CN"/>
              </w:rPr>
              <w:t>人</w:t>
            </w:r>
          </w:p>
        </w:tc>
        <w:tc>
          <w:tcPr>
            <w:tcW w:w="3414" w:type="dxa"/>
            <w:gridSpan w:val="6"/>
            <w:noWrap w:val="0"/>
            <w:vAlign w:val="center"/>
          </w:tcPr>
          <w:p w14:paraId="433A8DB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5km范围内人口数</w:t>
            </w:r>
            <w:r>
              <w:rPr>
                <w:rFonts w:hint="eastAsia" w:cs="Times New Roman"/>
                <w:color w:val="auto"/>
                <w:kern w:val="0"/>
                <w:sz w:val="21"/>
                <w:szCs w:val="21"/>
                <w:highlight w:val="none"/>
                <w:lang w:val="en-US" w:eastAsia="zh-CN"/>
              </w:rPr>
              <w:t>49820</w:t>
            </w:r>
            <w:r>
              <w:rPr>
                <w:rFonts w:hint="default" w:ascii="Times New Roman" w:hAnsi="Times New Roman" w:eastAsia="宋体" w:cs="Times New Roman"/>
                <w:color w:val="auto"/>
                <w:highlight w:val="none"/>
              </w:rPr>
              <w:t>人</w:t>
            </w:r>
          </w:p>
        </w:tc>
      </w:tr>
      <w:tr w14:paraId="39A08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1A0B95C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vMerge w:val="continue"/>
            <w:noWrap w:val="0"/>
            <w:vAlign w:val="center"/>
          </w:tcPr>
          <w:p w14:paraId="77C3F5D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vMerge w:val="continue"/>
            <w:noWrap w:val="0"/>
            <w:vAlign w:val="center"/>
          </w:tcPr>
          <w:p w14:paraId="462DF7B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5361" w:type="dxa"/>
            <w:gridSpan w:val="14"/>
            <w:noWrap w:val="0"/>
            <w:vAlign w:val="center"/>
          </w:tcPr>
          <w:p w14:paraId="291795D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每公里管段周边200m范围内人口数（最大）</w:t>
            </w:r>
          </w:p>
        </w:tc>
        <w:tc>
          <w:tcPr>
            <w:tcW w:w="1722" w:type="dxa"/>
            <w:noWrap w:val="0"/>
            <w:vAlign w:val="center"/>
          </w:tcPr>
          <w:p w14:paraId="025BCE74">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    人</w:t>
            </w:r>
          </w:p>
        </w:tc>
      </w:tr>
      <w:tr w14:paraId="5082D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7137382D">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vMerge w:val="continue"/>
            <w:noWrap w:val="0"/>
            <w:vAlign w:val="center"/>
          </w:tcPr>
          <w:p w14:paraId="6D70131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vMerge w:val="restart"/>
            <w:noWrap w:val="0"/>
            <w:vAlign w:val="center"/>
          </w:tcPr>
          <w:p w14:paraId="37A8292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2163" w:type="dxa"/>
            <w:gridSpan w:val="4"/>
            <w:noWrap w:val="0"/>
            <w:vAlign w:val="center"/>
          </w:tcPr>
          <w:p w14:paraId="32609E2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地表水功能敏感性</w:t>
            </w:r>
          </w:p>
        </w:tc>
        <w:tc>
          <w:tcPr>
            <w:tcW w:w="1506" w:type="dxa"/>
            <w:gridSpan w:val="5"/>
            <w:noWrap w:val="0"/>
            <w:vAlign w:val="center"/>
          </w:tcPr>
          <w:p w14:paraId="1DABAF7E">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F1⎕</w:t>
            </w:r>
          </w:p>
        </w:tc>
        <w:tc>
          <w:tcPr>
            <w:tcW w:w="1692" w:type="dxa"/>
            <w:gridSpan w:val="5"/>
            <w:noWrap w:val="0"/>
            <w:vAlign w:val="center"/>
          </w:tcPr>
          <w:p w14:paraId="22A3485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F2⎕</w:t>
            </w:r>
          </w:p>
        </w:tc>
        <w:tc>
          <w:tcPr>
            <w:tcW w:w="1722" w:type="dxa"/>
            <w:noWrap w:val="0"/>
            <w:vAlign w:val="center"/>
          </w:tcPr>
          <w:p w14:paraId="5B28BD9B">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F3√</w:t>
            </w:r>
          </w:p>
        </w:tc>
      </w:tr>
      <w:tr w14:paraId="425E4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32C22E04">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vMerge w:val="continue"/>
            <w:noWrap w:val="0"/>
            <w:vAlign w:val="center"/>
          </w:tcPr>
          <w:p w14:paraId="50C06D3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vMerge w:val="continue"/>
            <w:noWrap w:val="0"/>
            <w:vAlign w:val="center"/>
          </w:tcPr>
          <w:p w14:paraId="4FD5D4E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2163" w:type="dxa"/>
            <w:gridSpan w:val="4"/>
            <w:noWrap w:val="0"/>
            <w:vAlign w:val="center"/>
          </w:tcPr>
          <w:p w14:paraId="6D7B47CE">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环境敏感目标分级</w:t>
            </w:r>
          </w:p>
        </w:tc>
        <w:tc>
          <w:tcPr>
            <w:tcW w:w="1506" w:type="dxa"/>
            <w:gridSpan w:val="5"/>
            <w:noWrap w:val="0"/>
            <w:vAlign w:val="center"/>
          </w:tcPr>
          <w:p w14:paraId="3BFAABE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1692" w:type="dxa"/>
            <w:gridSpan w:val="5"/>
            <w:noWrap w:val="0"/>
            <w:vAlign w:val="center"/>
          </w:tcPr>
          <w:p w14:paraId="08A236AD">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1722" w:type="dxa"/>
            <w:noWrap w:val="0"/>
            <w:vAlign w:val="center"/>
          </w:tcPr>
          <w:p w14:paraId="50AD20F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S3√</w:t>
            </w:r>
          </w:p>
        </w:tc>
      </w:tr>
      <w:tr w14:paraId="571C6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7F5E2FF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vMerge w:val="continue"/>
            <w:noWrap w:val="0"/>
            <w:vAlign w:val="center"/>
          </w:tcPr>
          <w:p w14:paraId="3C85D26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vMerge w:val="restart"/>
            <w:noWrap w:val="0"/>
            <w:vAlign w:val="center"/>
          </w:tcPr>
          <w:p w14:paraId="315E35C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c>
          <w:tcPr>
            <w:tcW w:w="2163" w:type="dxa"/>
            <w:gridSpan w:val="4"/>
            <w:noWrap w:val="0"/>
            <w:vAlign w:val="center"/>
          </w:tcPr>
          <w:p w14:paraId="28447E9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地下水功能敏感性</w:t>
            </w:r>
          </w:p>
        </w:tc>
        <w:tc>
          <w:tcPr>
            <w:tcW w:w="1506" w:type="dxa"/>
            <w:gridSpan w:val="5"/>
            <w:noWrap w:val="0"/>
            <w:vAlign w:val="center"/>
          </w:tcPr>
          <w:p w14:paraId="30E774E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G1⎕</w:t>
            </w:r>
          </w:p>
        </w:tc>
        <w:tc>
          <w:tcPr>
            <w:tcW w:w="1692" w:type="dxa"/>
            <w:gridSpan w:val="5"/>
            <w:noWrap w:val="0"/>
            <w:vAlign w:val="center"/>
          </w:tcPr>
          <w:p w14:paraId="7400ACD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G2⎕</w:t>
            </w:r>
          </w:p>
        </w:tc>
        <w:tc>
          <w:tcPr>
            <w:tcW w:w="1722" w:type="dxa"/>
            <w:noWrap w:val="0"/>
            <w:vAlign w:val="center"/>
          </w:tcPr>
          <w:p w14:paraId="797F079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G3√</w:t>
            </w:r>
          </w:p>
        </w:tc>
      </w:tr>
      <w:tr w14:paraId="281C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508C730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vMerge w:val="continue"/>
            <w:noWrap w:val="0"/>
            <w:vAlign w:val="center"/>
          </w:tcPr>
          <w:p w14:paraId="38009D6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vMerge w:val="continue"/>
            <w:noWrap w:val="0"/>
            <w:vAlign w:val="center"/>
          </w:tcPr>
          <w:p w14:paraId="7B16704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2163" w:type="dxa"/>
            <w:gridSpan w:val="4"/>
            <w:noWrap w:val="0"/>
            <w:vAlign w:val="center"/>
          </w:tcPr>
          <w:p w14:paraId="742827C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包气带防污性能</w:t>
            </w:r>
          </w:p>
        </w:tc>
        <w:tc>
          <w:tcPr>
            <w:tcW w:w="1506" w:type="dxa"/>
            <w:gridSpan w:val="5"/>
            <w:noWrap w:val="0"/>
            <w:vAlign w:val="center"/>
          </w:tcPr>
          <w:p w14:paraId="57C75EB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D1⎕</w:t>
            </w:r>
          </w:p>
        </w:tc>
        <w:tc>
          <w:tcPr>
            <w:tcW w:w="1692" w:type="dxa"/>
            <w:gridSpan w:val="5"/>
            <w:noWrap w:val="0"/>
            <w:vAlign w:val="center"/>
          </w:tcPr>
          <w:p w14:paraId="38F56FF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D2√</w:t>
            </w:r>
          </w:p>
        </w:tc>
        <w:tc>
          <w:tcPr>
            <w:tcW w:w="1722" w:type="dxa"/>
            <w:noWrap w:val="0"/>
            <w:vAlign w:val="center"/>
          </w:tcPr>
          <w:p w14:paraId="59DFB32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D3⎕</w:t>
            </w:r>
          </w:p>
        </w:tc>
      </w:tr>
      <w:tr w14:paraId="3B73D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restart"/>
            <w:noWrap w:val="0"/>
            <w:vAlign w:val="center"/>
          </w:tcPr>
          <w:p w14:paraId="2F8C9C9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物质及工艺系统危险性</w:t>
            </w:r>
          </w:p>
        </w:tc>
        <w:tc>
          <w:tcPr>
            <w:tcW w:w="834" w:type="dxa"/>
            <w:noWrap w:val="0"/>
            <w:vAlign w:val="center"/>
          </w:tcPr>
          <w:p w14:paraId="49FC0C4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Q值</w:t>
            </w:r>
          </w:p>
        </w:tc>
        <w:tc>
          <w:tcPr>
            <w:tcW w:w="2163" w:type="dxa"/>
            <w:gridSpan w:val="4"/>
            <w:noWrap w:val="0"/>
            <w:vAlign w:val="center"/>
          </w:tcPr>
          <w:p w14:paraId="73ACDA8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Q＜1⎕</w:t>
            </w:r>
          </w:p>
        </w:tc>
        <w:tc>
          <w:tcPr>
            <w:tcW w:w="1506" w:type="dxa"/>
            <w:gridSpan w:val="5"/>
            <w:noWrap w:val="0"/>
            <w:vAlign w:val="center"/>
          </w:tcPr>
          <w:p w14:paraId="48808AB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1≤Q＜10√</w:t>
            </w:r>
          </w:p>
        </w:tc>
        <w:tc>
          <w:tcPr>
            <w:tcW w:w="1692" w:type="dxa"/>
            <w:gridSpan w:val="5"/>
            <w:noWrap w:val="0"/>
            <w:vAlign w:val="center"/>
          </w:tcPr>
          <w:p w14:paraId="7448F27E">
            <w:pPr>
              <w:pStyle w:val="83"/>
              <w:keepNext w:val="0"/>
              <w:keepLines w:val="0"/>
              <w:suppressLineNumbers w:val="0"/>
              <w:spacing w:before="0" w:beforeAutospacing="0" w:after="0" w:afterAutospacing="0"/>
              <w:ind w:left="-101" w:leftChars="-48" w:right="-113" w:rightChars="-54"/>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10≤Q＜100⎕</w:t>
            </w:r>
          </w:p>
        </w:tc>
        <w:tc>
          <w:tcPr>
            <w:tcW w:w="1722" w:type="dxa"/>
            <w:noWrap w:val="0"/>
            <w:vAlign w:val="center"/>
          </w:tcPr>
          <w:p w14:paraId="0972782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Q＞100⎕</w:t>
            </w:r>
          </w:p>
        </w:tc>
      </w:tr>
      <w:tr w14:paraId="44BD7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4BEBE86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noWrap w:val="0"/>
            <w:vAlign w:val="center"/>
          </w:tcPr>
          <w:p w14:paraId="65163DC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M值</w:t>
            </w:r>
          </w:p>
        </w:tc>
        <w:tc>
          <w:tcPr>
            <w:tcW w:w="2163" w:type="dxa"/>
            <w:gridSpan w:val="4"/>
            <w:noWrap w:val="0"/>
            <w:vAlign w:val="center"/>
          </w:tcPr>
          <w:p w14:paraId="221431BD">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M1√</w:t>
            </w:r>
          </w:p>
        </w:tc>
        <w:tc>
          <w:tcPr>
            <w:tcW w:w="1506" w:type="dxa"/>
            <w:gridSpan w:val="5"/>
            <w:noWrap w:val="0"/>
            <w:vAlign w:val="center"/>
          </w:tcPr>
          <w:p w14:paraId="5759942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M2⎕</w:t>
            </w:r>
          </w:p>
        </w:tc>
        <w:tc>
          <w:tcPr>
            <w:tcW w:w="1692" w:type="dxa"/>
            <w:gridSpan w:val="5"/>
            <w:noWrap w:val="0"/>
            <w:vAlign w:val="center"/>
          </w:tcPr>
          <w:p w14:paraId="130D60D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M3⎕</w:t>
            </w:r>
          </w:p>
        </w:tc>
        <w:tc>
          <w:tcPr>
            <w:tcW w:w="1722" w:type="dxa"/>
            <w:noWrap w:val="0"/>
            <w:vAlign w:val="center"/>
          </w:tcPr>
          <w:p w14:paraId="28C0D57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M4⎕</w:t>
            </w:r>
          </w:p>
        </w:tc>
      </w:tr>
      <w:tr w14:paraId="7141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3E0FDFB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noWrap w:val="0"/>
            <w:vAlign w:val="center"/>
          </w:tcPr>
          <w:p w14:paraId="21ACCA9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P值</w:t>
            </w:r>
          </w:p>
        </w:tc>
        <w:tc>
          <w:tcPr>
            <w:tcW w:w="2163" w:type="dxa"/>
            <w:gridSpan w:val="4"/>
            <w:noWrap w:val="0"/>
            <w:vAlign w:val="center"/>
          </w:tcPr>
          <w:p w14:paraId="7D9FD04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P1⎕</w:t>
            </w:r>
          </w:p>
        </w:tc>
        <w:tc>
          <w:tcPr>
            <w:tcW w:w="1506" w:type="dxa"/>
            <w:gridSpan w:val="5"/>
            <w:noWrap w:val="0"/>
            <w:vAlign w:val="center"/>
          </w:tcPr>
          <w:p w14:paraId="6F13C15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P2√</w:t>
            </w:r>
          </w:p>
        </w:tc>
        <w:tc>
          <w:tcPr>
            <w:tcW w:w="1692" w:type="dxa"/>
            <w:gridSpan w:val="5"/>
            <w:noWrap w:val="0"/>
            <w:vAlign w:val="center"/>
          </w:tcPr>
          <w:p w14:paraId="0BFAD0F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P3⎕</w:t>
            </w:r>
          </w:p>
        </w:tc>
        <w:tc>
          <w:tcPr>
            <w:tcW w:w="1722" w:type="dxa"/>
            <w:noWrap w:val="0"/>
            <w:vAlign w:val="center"/>
          </w:tcPr>
          <w:p w14:paraId="4E3ACE24">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P4⎕</w:t>
            </w:r>
          </w:p>
        </w:tc>
      </w:tr>
      <w:tr w14:paraId="100CB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restart"/>
            <w:noWrap w:val="0"/>
            <w:vAlign w:val="center"/>
          </w:tcPr>
          <w:p w14:paraId="0E82A13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环境敏感程度</w:t>
            </w:r>
          </w:p>
        </w:tc>
        <w:tc>
          <w:tcPr>
            <w:tcW w:w="834" w:type="dxa"/>
            <w:noWrap w:val="0"/>
            <w:vAlign w:val="center"/>
          </w:tcPr>
          <w:p w14:paraId="23F0E15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大气</w:t>
            </w:r>
          </w:p>
        </w:tc>
        <w:tc>
          <w:tcPr>
            <w:tcW w:w="2505" w:type="dxa"/>
            <w:gridSpan w:val="5"/>
            <w:noWrap w:val="0"/>
            <w:vAlign w:val="center"/>
          </w:tcPr>
          <w:p w14:paraId="05F8BDA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362" w:type="dxa"/>
            <w:gridSpan w:val="6"/>
            <w:noWrap w:val="0"/>
            <w:vAlign w:val="center"/>
          </w:tcPr>
          <w:p w14:paraId="61090BB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216" w:type="dxa"/>
            <w:gridSpan w:val="4"/>
            <w:noWrap w:val="0"/>
            <w:vAlign w:val="center"/>
          </w:tcPr>
          <w:p w14:paraId="694ACFE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36031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2629B07B">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noWrap w:val="0"/>
            <w:vAlign w:val="center"/>
          </w:tcPr>
          <w:p w14:paraId="789EF34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2505" w:type="dxa"/>
            <w:gridSpan w:val="5"/>
            <w:noWrap w:val="0"/>
            <w:vAlign w:val="center"/>
          </w:tcPr>
          <w:p w14:paraId="0864199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362" w:type="dxa"/>
            <w:gridSpan w:val="6"/>
            <w:noWrap w:val="0"/>
            <w:vAlign w:val="center"/>
          </w:tcPr>
          <w:p w14:paraId="5DC6925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216" w:type="dxa"/>
            <w:gridSpan w:val="4"/>
            <w:noWrap w:val="0"/>
            <w:vAlign w:val="center"/>
          </w:tcPr>
          <w:p w14:paraId="03ED398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2068A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7F3B5C14">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34" w:type="dxa"/>
            <w:noWrap w:val="0"/>
            <w:vAlign w:val="center"/>
          </w:tcPr>
          <w:p w14:paraId="2D9A1C2D">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c>
          <w:tcPr>
            <w:tcW w:w="2505" w:type="dxa"/>
            <w:gridSpan w:val="5"/>
            <w:noWrap w:val="0"/>
            <w:vAlign w:val="center"/>
          </w:tcPr>
          <w:p w14:paraId="78C523D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362" w:type="dxa"/>
            <w:gridSpan w:val="6"/>
            <w:noWrap w:val="0"/>
            <w:vAlign w:val="center"/>
          </w:tcPr>
          <w:p w14:paraId="465EC72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216" w:type="dxa"/>
            <w:gridSpan w:val="4"/>
            <w:noWrap w:val="0"/>
            <w:vAlign w:val="center"/>
          </w:tcPr>
          <w:p w14:paraId="7E9489CE">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66885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6345E28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环境风险潜势</w:t>
            </w:r>
          </w:p>
        </w:tc>
        <w:tc>
          <w:tcPr>
            <w:tcW w:w="2110" w:type="dxa"/>
            <w:gridSpan w:val="3"/>
            <w:noWrap w:val="0"/>
            <w:vAlign w:val="center"/>
          </w:tcPr>
          <w:p w14:paraId="102DB6CB">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1"/>
                <w:szCs w:val="20"/>
                <w:vertAlign w:val="superscript"/>
                <w:lang w:val="en-US" w:eastAsia="zh-CN" w:bidi="ar-SA"/>
              </w:rPr>
            </w:pPr>
            <w:r>
              <w:rPr>
                <w:rFonts w:hint="default" w:ascii="Times New Roman" w:hAnsi="Times New Roman" w:eastAsia="宋体" w:cs="Times New Roman"/>
                <w:color w:val="auto"/>
              </w:rPr>
              <w:t>IV</w:t>
            </w:r>
            <w:r>
              <w:rPr>
                <w:rFonts w:hint="default" w:ascii="Times New Roman" w:hAnsi="Times New Roman" w:eastAsia="宋体" w:cs="Times New Roman"/>
                <w:color w:val="auto"/>
                <w:vertAlign w:val="superscript"/>
              </w:rPr>
              <w:t>+</w:t>
            </w:r>
            <w:r>
              <w:rPr>
                <w:rFonts w:hint="default" w:ascii="Times New Roman" w:hAnsi="Times New Roman" w:eastAsia="宋体" w:cs="Times New Roman"/>
                <w:color w:val="auto"/>
              </w:rPr>
              <w:t>⎕</w:t>
            </w:r>
          </w:p>
        </w:tc>
        <w:tc>
          <w:tcPr>
            <w:tcW w:w="1998" w:type="dxa"/>
            <w:gridSpan w:val="5"/>
            <w:noWrap w:val="0"/>
            <w:vAlign w:val="center"/>
          </w:tcPr>
          <w:p w14:paraId="6477C311">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IV⎕</w:t>
            </w:r>
          </w:p>
        </w:tc>
        <w:tc>
          <w:tcPr>
            <w:tcW w:w="1141" w:type="dxa"/>
            <w:gridSpan w:val="3"/>
            <w:noWrap w:val="0"/>
            <w:vAlign w:val="center"/>
          </w:tcPr>
          <w:p w14:paraId="1EAF7A55">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III√</w:t>
            </w:r>
          </w:p>
        </w:tc>
        <w:tc>
          <w:tcPr>
            <w:tcW w:w="946" w:type="dxa"/>
            <w:gridSpan w:val="4"/>
            <w:noWrap w:val="0"/>
            <w:vAlign w:val="center"/>
          </w:tcPr>
          <w:p w14:paraId="76B677A8">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II⎕</w:t>
            </w:r>
          </w:p>
        </w:tc>
        <w:tc>
          <w:tcPr>
            <w:tcW w:w="1722" w:type="dxa"/>
            <w:noWrap w:val="0"/>
            <w:vAlign w:val="center"/>
          </w:tcPr>
          <w:p w14:paraId="4520E62C">
            <w:pPr>
              <w:pStyle w:val="83"/>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w:t>
            </w:r>
          </w:p>
        </w:tc>
      </w:tr>
      <w:tr w14:paraId="75DE3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62ACC85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评价等级</w:t>
            </w:r>
          </w:p>
        </w:tc>
        <w:tc>
          <w:tcPr>
            <w:tcW w:w="1842" w:type="dxa"/>
            <w:gridSpan w:val="2"/>
            <w:noWrap w:val="0"/>
            <w:vAlign w:val="center"/>
          </w:tcPr>
          <w:p w14:paraId="673BD33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一级⎕</w:t>
            </w:r>
          </w:p>
        </w:tc>
        <w:tc>
          <w:tcPr>
            <w:tcW w:w="1965" w:type="dxa"/>
            <w:gridSpan w:val="5"/>
            <w:noWrap w:val="0"/>
            <w:vAlign w:val="center"/>
          </w:tcPr>
          <w:p w14:paraId="26ED2D0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二级√</w:t>
            </w:r>
          </w:p>
        </w:tc>
        <w:tc>
          <w:tcPr>
            <w:tcW w:w="2167" w:type="dxa"/>
            <w:gridSpan w:val="6"/>
            <w:noWrap w:val="0"/>
            <w:vAlign w:val="center"/>
          </w:tcPr>
          <w:p w14:paraId="5BB3CA6B">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三级⎕</w:t>
            </w:r>
          </w:p>
        </w:tc>
        <w:tc>
          <w:tcPr>
            <w:tcW w:w="1943" w:type="dxa"/>
            <w:gridSpan w:val="3"/>
            <w:noWrap w:val="0"/>
            <w:vAlign w:val="center"/>
          </w:tcPr>
          <w:p w14:paraId="6406E3A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简单分析⎕</w:t>
            </w:r>
          </w:p>
        </w:tc>
      </w:tr>
      <w:tr w14:paraId="6E0F1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restart"/>
            <w:noWrap w:val="0"/>
            <w:vAlign w:val="center"/>
          </w:tcPr>
          <w:p w14:paraId="4888210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风险识别</w:t>
            </w:r>
          </w:p>
        </w:tc>
        <w:tc>
          <w:tcPr>
            <w:tcW w:w="827" w:type="dxa"/>
            <w:noWrap w:val="0"/>
            <w:vAlign w:val="center"/>
          </w:tcPr>
          <w:p w14:paraId="11466ACE">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物质危险性</w:t>
            </w:r>
          </w:p>
        </w:tc>
        <w:tc>
          <w:tcPr>
            <w:tcW w:w="3807" w:type="dxa"/>
            <w:gridSpan w:val="7"/>
            <w:noWrap w:val="0"/>
            <w:vAlign w:val="center"/>
          </w:tcPr>
          <w:p w14:paraId="299A677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有毒有害⎕</w:t>
            </w:r>
          </w:p>
        </w:tc>
        <w:tc>
          <w:tcPr>
            <w:tcW w:w="4110" w:type="dxa"/>
            <w:gridSpan w:val="9"/>
            <w:noWrap w:val="0"/>
            <w:vAlign w:val="center"/>
          </w:tcPr>
          <w:p w14:paraId="44989C3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易燃易爆⎕</w:t>
            </w:r>
          </w:p>
        </w:tc>
      </w:tr>
      <w:tr w14:paraId="2BE0C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40ADF32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noWrap w:val="0"/>
            <w:vAlign w:val="center"/>
          </w:tcPr>
          <w:p w14:paraId="37337BE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环境风险类型</w:t>
            </w:r>
          </w:p>
        </w:tc>
        <w:tc>
          <w:tcPr>
            <w:tcW w:w="834" w:type="dxa"/>
            <w:noWrap w:val="0"/>
            <w:vAlign w:val="center"/>
          </w:tcPr>
          <w:p w14:paraId="1E80288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泄漏√</w:t>
            </w:r>
          </w:p>
        </w:tc>
        <w:tc>
          <w:tcPr>
            <w:tcW w:w="7083" w:type="dxa"/>
            <w:gridSpan w:val="15"/>
            <w:noWrap w:val="0"/>
            <w:vAlign w:val="center"/>
          </w:tcPr>
          <w:p w14:paraId="1D05B10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火灾、爆炸引发伴生/次生污染物排放√</w:t>
            </w:r>
          </w:p>
        </w:tc>
      </w:tr>
      <w:tr w14:paraId="760B0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487584E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noWrap w:val="0"/>
            <w:vAlign w:val="center"/>
          </w:tcPr>
          <w:p w14:paraId="1192974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影响途径</w:t>
            </w:r>
          </w:p>
        </w:tc>
        <w:tc>
          <w:tcPr>
            <w:tcW w:w="834" w:type="dxa"/>
            <w:noWrap w:val="0"/>
            <w:vAlign w:val="center"/>
          </w:tcPr>
          <w:p w14:paraId="4E885EC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大气√</w:t>
            </w:r>
          </w:p>
        </w:tc>
        <w:tc>
          <w:tcPr>
            <w:tcW w:w="5361" w:type="dxa"/>
            <w:gridSpan w:val="14"/>
            <w:noWrap w:val="0"/>
            <w:vAlign w:val="center"/>
          </w:tcPr>
          <w:p w14:paraId="50F9615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1722" w:type="dxa"/>
            <w:noWrap w:val="0"/>
            <w:vAlign w:val="center"/>
          </w:tcPr>
          <w:p w14:paraId="5FC9DED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r>
      <w:tr w14:paraId="06D4A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05BA36C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事故情形分析</w:t>
            </w:r>
          </w:p>
        </w:tc>
        <w:tc>
          <w:tcPr>
            <w:tcW w:w="1842" w:type="dxa"/>
            <w:gridSpan w:val="2"/>
            <w:noWrap w:val="0"/>
            <w:vAlign w:val="center"/>
          </w:tcPr>
          <w:p w14:paraId="700BED4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源强设定方法</w:t>
            </w:r>
          </w:p>
        </w:tc>
        <w:tc>
          <w:tcPr>
            <w:tcW w:w="1965" w:type="dxa"/>
            <w:gridSpan w:val="5"/>
            <w:noWrap w:val="0"/>
            <w:vAlign w:val="center"/>
          </w:tcPr>
          <w:p w14:paraId="55EB5DA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计算法√</w:t>
            </w:r>
          </w:p>
        </w:tc>
        <w:tc>
          <w:tcPr>
            <w:tcW w:w="2167" w:type="dxa"/>
            <w:gridSpan w:val="6"/>
            <w:noWrap w:val="0"/>
            <w:vAlign w:val="center"/>
          </w:tcPr>
          <w:p w14:paraId="78FDAB5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经验估算法⎕</w:t>
            </w:r>
          </w:p>
        </w:tc>
        <w:tc>
          <w:tcPr>
            <w:tcW w:w="1943" w:type="dxa"/>
            <w:gridSpan w:val="3"/>
            <w:noWrap w:val="0"/>
            <w:vAlign w:val="center"/>
          </w:tcPr>
          <w:p w14:paraId="6C7534D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其它估算法⎕</w:t>
            </w:r>
          </w:p>
        </w:tc>
      </w:tr>
      <w:tr w14:paraId="79932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restart"/>
            <w:noWrap w:val="0"/>
            <w:vAlign w:val="center"/>
          </w:tcPr>
          <w:p w14:paraId="0D3EEA8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风险预测与评价</w:t>
            </w:r>
          </w:p>
        </w:tc>
        <w:tc>
          <w:tcPr>
            <w:tcW w:w="827" w:type="dxa"/>
            <w:vMerge w:val="restart"/>
            <w:noWrap w:val="0"/>
            <w:vAlign w:val="center"/>
          </w:tcPr>
          <w:p w14:paraId="53B4BD9D">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大气</w:t>
            </w:r>
          </w:p>
        </w:tc>
        <w:tc>
          <w:tcPr>
            <w:tcW w:w="1842" w:type="dxa"/>
            <w:gridSpan w:val="2"/>
            <w:noWrap w:val="0"/>
            <w:vAlign w:val="center"/>
          </w:tcPr>
          <w:p w14:paraId="03B08BAC">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预测模型</w:t>
            </w:r>
          </w:p>
        </w:tc>
        <w:tc>
          <w:tcPr>
            <w:tcW w:w="1965" w:type="dxa"/>
            <w:gridSpan w:val="5"/>
            <w:noWrap w:val="0"/>
            <w:vAlign w:val="center"/>
          </w:tcPr>
          <w:p w14:paraId="4C8E97B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SLAB⎕</w:t>
            </w:r>
          </w:p>
        </w:tc>
        <w:tc>
          <w:tcPr>
            <w:tcW w:w="2388" w:type="dxa"/>
            <w:gridSpan w:val="8"/>
            <w:noWrap w:val="0"/>
            <w:vAlign w:val="center"/>
          </w:tcPr>
          <w:p w14:paraId="729608FE">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AFTOX⎕</w:t>
            </w:r>
          </w:p>
        </w:tc>
        <w:tc>
          <w:tcPr>
            <w:tcW w:w="1722" w:type="dxa"/>
            <w:noWrap w:val="0"/>
            <w:vAlign w:val="center"/>
          </w:tcPr>
          <w:p w14:paraId="135CF92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其他⎕</w:t>
            </w:r>
          </w:p>
        </w:tc>
      </w:tr>
      <w:tr w14:paraId="20455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28" w:type="dxa"/>
            <w:vMerge w:val="continue"/>
            <w:noWrap w:val="0"/>
            <w:vAlign w:val="center"/>
          </w:tcPr>
          <w:p w14:paraId="51A1E4F4">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27" w:type="dxa"/>
            <w:vMerge w:val="continue"/>
            <w:noWrap w:val="0"/>
            <w:vAlign w:val="center"/>
          </w:tcPr>
          <w:p w14:paraId="4EA430B3">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34" w:type="dxa"/>
            <w:vMerge w:val="restart"/>
            <w:noWrap w:val="0"/>
            <w:vAlign w:val="center"/>
          </w:tcPr>
          <w:p w14:paraId="47EA23D8">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预测结果</w:t>
            </w:r>
          </w:p>
        </w:tc>
        <w:tc>
          <w:tcPr>
            <w:tcW w:w="7083" w:type="dxa"/>
            <w:gridSpan w:val="15"/>
            <w:noWrap w:val="0"/>
            <w:vAlign w:val="center"/>
          </w:tcPr>
          <w:p w14:paraId="6AAE94FB">
            <w:pPr>
              <w:pStyle w:val="83"/>
              <w:keepNext w:val="0"/>
              <w:keepLines w:val="0"/>
              <w:suppressLineNumbers w:val="0"/>
              <w:spacing w:before="0" w:beforeAutospacing="0" w:after="0" w:afterAutospacing="0"/>
              <w:ind w:left="0" w:right="0"/>
              <w:outlineLvl w:val="9"/>
              <w:rPr>
                <w:rFonts w:hint="eastAsia" w:ascii="Times New Roman" w:hAnsi="Times New Roman" w:eastAsia="宋体" w:cs="Times New Roman"/>
                <w:color w:val="auto"/>
                <w:kern w:val="21"/>
                <w:sz w:val="21"/>
                <w:szCs w:val="20"/>
                <w:highlight w:val="none"/>
                <w:lang w:val="en-US" w:eastAsia="zh-CN" w:bidi="ar-SA"/>
              </w:rPr>
            </w:pPr>
            <w:r>
              <w:rPr>
                <w:rFonts w:hint="eastAsia" w:ascii="Times New Roman" w:hAnsi="Times New Roman" w:eastAsia="宋体" w:cs="Times New Roman"/>
                <w:color w:val="auto"/>
                <w:kern w:val="21"/>
                <w:sz w:val="21"/>
                <w:szCs w:val="20"/>
                <w:highlight w:val="none"/>
                <w:lang w:val="en-US" w:eastAsia="zh-CN" w:bidi="ar-SA"/>
              </w:rPr>
              <w:t>大气毒性终点浓度-1 最大影响范围</w:t>
            </w:r>
            <w:r>
              <w:rPr>
                <w:rFonts w:hint="default" w:ascii="Times New Roman" w:hAnsi="Times New Roman" w:eastAsia="宋体" w:cs="Times New Roman"/>
                <w:color w:val="auto"/>
                <w:u w:val="single"/>
              </w:rPr>
              <w:t xml:space="preserve">      </w:t>
            </w:r>
            <w:r>
              <w:rPr>
                <w:rFonts w:hint="eastAsia" w:ascii="Times New Roman" w:hAnsi="Times New Roman" w:eastAsia="宋体" w:cs="Times New Roman"/>
                <w:color w:val="auto"/>
                <w:kern w:val="21"/>
                <w:sz w:val="21"/>
                <w:szCs w:val="20"/>
                <w:highlight w:val="none"/>
                <w:lang w:val="en-US" w:eastAsia="zh-CN" w:bidi="ar-SA"/>
              </w:rPr>
              <w:t>m</w:t>
            </w:r>
          </w:p>
        </w:tc>
      </w:tr>
      <w:tr w14:paraId="7D4B8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28" w:type="dxa"/>
            <w:vMerge w:val="continue"/>
            <w:noWrap w:val="0"/>
            <w:vAlign w:val="center"/>
          </w:tcPr>
          <w:p w14:paraId="55131B6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27" w:type="dxa"/>
            <w:vMerge w:val="continue"/>
            <w:noWrap w:val="0"/>
            <w:vAlign w:val="center"/>
          </w:tcPr>
          <w:p w14:paraId="581FE04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834" w:type="dxa"/>
            <w:vMerge w:val="continue"/>
            <w:noWrap w:val="0"/>
            <w:vAlign w:val="center"/>
          </w:tcPr>
          <w:p w14:paraId="7051267E">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highlight w:val="none"/>
              </w:rPr>
            </w:pPr>
          </w:p>
        </w:tc>
        <w:tc>
          <w:tcPr>
            <w:tcW w:w="7083" w:type="dxa"/>
            <w:gridSpan w:val="15"/>
            <w:noWrap w:val="0"/>
            <w:vAlign w:val="center"/>
          </w:tcPr>
          <w:p w14:paraId="483D527A">
            <w:pPr>
              <w:pStyle w:val="83"/>
              <w:keepNext w:val="0"/>
              <w:keepLines w:val="0"/>
              <w:suppressLineNumbers w:val="0"/>
              <w:spacing w:before="0" w:beforeAutospacing="0" w:after="0" w:afterAutospacing="0"/>
              <w:ind w:left="0" w:right="0"/>
              <w:outlineLvl w:val="9"/>
              <w:rPr>
                <w:rFonts w:hint="eastAsia" w:ascii="Times New Roman" w:hAnsi="Times New Roman" w:eastAsia="宋体" w:cs="Times New Roman"/>
                <w:color w:val="auto"/>
                <w:kern w:val="21"/>
                <w:sz w:val="21"/>
                <w:szCs w:val="20"/>
                <w:highlight w:val="none"/>
                <w:lang w:val="en-US" w:eastAsia="zh-CN" w:bidi="ar-SA"/>
              </w:rPr>
            </w:pPr>
            <w:r>
              <w:rPr>
                <w:rFonts w:hint="eastAsia" w:ascii="Times New Roman" w:hAnsi="Times New Roman" w:eastAsia="宋体" w:cs="Times New Roman"/>
                <w:color w:val="auto"/>
                <w:kern w:val="21"/>
                <w:sz w:val="21"/>
                <w:szCs w:val="20"/>
                <w:highlight w:val="none"/>
                <w:lang w:val="en-US" w:eastAsia="zh-CN" w:bidi="ar-SA"/>
              </w:rPr>
              <w:t>大气毒性终点浓度-2 最大影响范围</w:t>
            </w:r>
            <w:r>
              <w:rPr>
                <w:rFonts w:hint="default" w:ascii="Times New Roman" w:hAnsi="Times New Roman" w:eastAsia="宋体" w:cs="Times New Roman"/>
                <w:color w:val="auto"/>
                <w:u w:val="single"/>
              </w:rPr>
              <w:t xml:space="preserve">      </w:t>
            </w:r>
            <w:r>
              <w:rPr>
                <w:rFonts w:hint="eastAsia" w:ascii="Times New Roman" w:hAnsi="Times New Roman" w:eastAsia="宋体" w:cs="Times New Roman"/>
                <w:color w:val="auto"/>
                <w:kern w:val="21"/>
                <w:sz w:val="21"/>
                <w:szCs w:val="20"/>
                <w:highlight w:val="none"/>
                <w:lang w:val="en-US" w:eastAsia="zh-CN" w:bidi="ar-SA"/>
              </w:rPr>
              <w:t>m</w:t>
            </w:r>
          </w:p>
        </w:tc>
      </w:tr>
      <w:tr w14:paraId="6DE72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5BB7E7B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noWrap w:val="0"/>
            <w:vAlign w:val="center"/>
          </w:tcPr>
          <w:p w14:paraId="06EDE2C2">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7917" w:type="dxa"/>
            <w:gridSpan w:val="16"/>
            <w:noWrap w:val="0"/>
            <w:vAlign w:val="center"/>
          </w:tcPr>
          <w:p w14:paraId="52EB3581">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最近环境敏感目标</w:t>
            </w:r>
            <w:r>
              <w:rPr>
                <w:rFonts w:hint="default" w:ascii="Times New Roman" w:hAnsi="Times New Roman" w:eastAsia="宋体" w:cs="Times New Roman"/>
                <w:color w:val="auto"/>
                <w:u w:val="single"/>
              </w:rPr>
              <w:t xml:space="preserve">  无影响 </w:t>
            </w:r>
            <w:r>
              <w:rPr>
                <w:rFonts w:hint="default" w:ascii="Times New Roman" w:hAnsi="Times New Roman" w:eastAsia="宋体" w:cs="Times New Roman"/>
                <w:color w:val="auto"/>
              </w:rPr>
              <w:t>，达到时间</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h</w:t>
            </w:r>
          </w:p>
        </w:tc>
      </w:tr>
      <w:tr w14:paraId="5443C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1467195A">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p>
        </w:tc>
        <w:tc>
          <w:tcPr>
            <w:tcW w:w="827" w:type="dxa"/>
            <w:vMerge w:val="restart"/>
            <w:noWrap w:val="0"/>
            <w:vAlign w:val="center"/>
          </w:tcPr>
          <w:p w14:paraId="7975069F">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c>
          <w:tcPr>
            <w:tcW w:w="7917" w:type="dxa"/>
            <w:gridSpan w:val="16"/>
            <w:noWrap w:val="0"/>
            <w:vAlign w:val="center"/>
          </w:tcPr>
          <w:p w14:paraId="09B25250">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下游厂区边界到达时间</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d</w:t>
            </w:r>
          </w:p>
        </w:tc>
      </w:tr>
      <w:tr w14:paraId="44B6A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2101A41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FF0000"/>
              </w:rPr>
            </w:pPr>
          </w:p>
        </w:tc>
        <w:tc>
          <w:tcPr>
            <w:tcW w:w="827" w:type="dxa"/>
            <w:vMerge w:val="continue"/>
            <w:noWrap w:val="0"/>
            <w:vAlign w:val="center"/>
          </w:tcPr>
          <w:p w14:paraId="5AED9B6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FF0000"/>
              </w:rPr>
            </w:pPr>
          </w:p>
        </w:tc>
        <w:tc>
          <w:tcPr>
            <w:tcW w:w="7917" w:type="dxa"/>
            <w:gridSpan w:val="16"/>
            <w:noWrap w:val="0"/>
            <w:vAlign w:val="center"/>
          </w:tcPr>
          <w:p w14:paraId="5E54C1B6">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最近环境敏感目标</w:t>
            </w:r>
            <w:r>
              <w:rPr>
                <w:rFonts w:hint="default" w:ascii="Times New Roman" w:hAnsi="Times New Roman" w:eastAsia="宋体" w:cs="Times New Roman"/>
                <w:color w:val="auto"/>
                <w:u w:val="single"/>
              </w:rPr>
              <w:t xml:space="preserve">  无  </w:t>
            </w:r>
            <w:r>
              <w:rPr>
                <w:rFonts w:hint="default" w:ascii="Times New Roman" w:hAnsi="Times New Roman" w:eastAsia="宋体" w:cs="Times New Roman"/>
                <w:color w:val="auto"/>
              </w:rPr>
              <w:t>，到达时间</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d</w:t>
            </w:r>
          </w:p>
        </w:tc>
      </w:tr>
      <w:tr w14:paraId="3E0AA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265D2CEB">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重点风险防范措施</w:t>
            </w:r>
          </w:p>
        </w:tc>
        <w:tc>
          <w:tcPr>
            <w:tcW w:w="7917" w:type="dxa"/>
            <w:gridSpan w:val="16"/>
            <w:noWrap w:val="0"/>
            <w:vAlign w:val="center"/>
          </w:tcPr>
          <w:p w14:paraId="23AD9F59">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详见正文“环境风险防范措施章节”</w:t>
            </w:r>
          </w:p>
        </w:tc>
      </w:tr>
      <w:tr w14:paraId="06802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517B4D8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评价结论与建议</w:t>
            </w:r>
          </w:p>
        </w:tc>
        <w:tc>
          <w:tcPr>
            <w:tcW w:w="7917" w:type="dxa"/>
            <w:gridSpan w:val="16"/>
            <w:noWrap w:val="0"/>
            <w:vAlign w:val="center"/>
          </w:tcPr>
          <w:p w14:paraId="05104BC5">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在落实各项环保措施和本评价所列出的各项环境风险防范措施、有效的应急预案，加强风险管理的条件下，</w:t>
            </w:r>
            <w:r>
              <w:rPr>
                <w:rFonts w:hint="default" w:ascii="Times New Roman" w:hAnsi="Times New Roman" w:eastAsia="宋体" w:cs="Times New Roman"/>
                <w:color w:val="auto"/>
                <w:lang w:val="en-US" w:eastAsia="zh-CN"/>
              </w:rPr>
              <w:t>项目环境风险可控</w:t>
            </w:r>
            <w:r>
              <w:rPr>
                <w:rFonts w:hint="default" w:ascii="Times New Roman" w:hAnsi="Times New Roman" w:eastAsia="宋体" w:cs="Times New Roman"/>
                <w:color w:val="auto"/>
              </w:rPr>
              <w:t>。</w:t>
            </w:r>
          </w:p>
        </w:tc>
      </w:tr>
      <w:tr w14:paraId="4947E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2" w:type="dxa"/>
            <w:gridSpan w:val="18"/>
            <w:noWrap w:val="0"/>
            <w:vAlign w:val="center"/>
          </w:tcPr>
          <w:p w14:paraId="0C782AE7">
            <w:pPr>
              <w:pStyle w:val="83"/>
              <w:keepNext w:val="0"/>
              <w:keepLines w:val="0"/>
              <w:suppressLineNumbers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注：⎕为勾选项，“</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”为填写项</w:t>
            </w:r>
          </w:p>
        </w:tc>
      </w:tr>
    </w:tbl>
    <w:p w14:paraId="0C7806DA">
      <w:pPr>
        <w:widowControl/>
        <w:ind w:firstLine="420" w:firstLineChars="200"/>
        <w:outlineLvl w:val="9"/>
        <w:rPr>
          <w:rFonts w:hint="default" w:ascii="Times New Roman" w:hAnsi="Times New Roman" w:eastAsia="宋体" w:cs="Times New Roman"/>
          <w:color w:val="FF0000"/>
          <w:kern w:val="0"/>
          <w:szCs w:val="24"/>
        </w:rPr>
      </w:pPr>
    </w:p>
    <w:p w14:paraId="11769648">
      <w:pPr>
        <w:pStyle w:val="2"/>
        <w:ind w:left="0" w:leftChars="0" w:firstLine="0" w:firstLineChars="0"/>
        <w:jc w:val="center"/>
        <w:rPr>
          <w:rFonts w:hint="default" w:ascii="Times New Roman" w:hAnsi="Times New Roman" w:cs="Times New Roman"/>
          <w:color w:val="auto"/>
          <w:lang w:val="en-US" w:eastAsia="zh-CN"/>
        </w:rPr>
      </w:pPr>
    </w:p>
    <w:p w14:paraId="706CF563">
      <w:pPr>
        <w:pStyle w:val="2"/>
        <w:ind w:left="0" w:leftChars="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 xml:space="preserve"> </w:t>
      </w:r>
    </w:p>
    <w:p w14:paraId="74754700">
      <w:pPr>
        <w:pStyle w:val="2"/>
        <w:rPr>
          <w:rFonts w:hint="default" w:ascii="Times New Roman" w:hAnsi="Times New Roman" w:cs="Times New Roman"/>
          <w:color w:val="auto"/>
          <w:lang w:eastAsia="zh-CN"/>
        </w:rPr>
        <w:sectPr>
          <w:footerReference r:id="rId16" w:type="default"/>
          <w:pgSz w:w="11906" w:h="16838"/>
          <w:pgMar w:top="1417" w:right="1134" w:bottom="1417" w:left="1134" w:header="851" w:footer="850" w:gutter="0"/>
          <w:pgBorders>
            <w:top w:val="none" w:sz="0" w:space="0"/>
            <w:left w:val="none" w:sz="0" w:space="0"/>
            <w:bottom w:val="none" w:sz="0" w:space="0"/>
            <w:right w:val="none" w:sz="0" w:space="0"/>
          </w:pgBorders>
          <w:pgNumType w:fmt="numberInDash"/>
          <w:cols w:space="720" w:num="1"/>
          <w:docGrid w:linePitch="312" w:charSpace="0"/>
        </w:sectPr>
      </w:pPr>
    </w:p>
    <w:p w14:paraId="400AEE4F">
      <w:pPr>
        <w:jc w:val="both"/>
        <w:rPr>
          <w:rFonts w:hint="default" w:ascii="Times New Roman" w:hAnsi="Times New Roman" w:eastAsia="宋体" w:cs="Times New Roman"/>
          <w:b/>
          <w:color w:val="auto"/>
          <w:sz w:val="24"/>
          <w:lang w:eastAsia="zh-CN"/>
        </w:rPr>
      </w:pPr>
      <w:r>
        <w:rPr>
          <w:rFonts w:hint="default" w:ascii="Times New Roman" w:hAnsi="Times New Roman" w:cs="Times New Roman"/>
          <w:b/>
          <w:color w:val="auto"/>
          <w:sz w:val="24"/>
        </w:rPr>
        <w:t>附图1</w:t>
      </w:r>
      <w:r>
        <w:rPr>
          <w:rFonts w:hint="default" w:ascii="Times New Roman" w:hAnsi="Times New Roman" w:cs="Times New Roman"/>
          <w:b/>
          <w:color w:val="auto"/>
          <w:sz w:val="24"/>
          <w:lang w:eastAsia="zh-CN"/>
        </w:rPr>
        <w:t>、</w:t>
      </w:r>
      <w:r>
        <w:rPr>
          <w:rFonts w:hint="default" w:ascii="Times New Roman" w:hAnsi="Times New Roman" w:cs="Times New Roman"/>
          <w:b/>
          <w:color w:val="auto"/>
          <w:sz w:val="24"/>
        </w:rPr>
        <w:t>项目地理位置图</w:t>
      </w:r>
      <w:r>
        <w:rPr>
          <w:rFonts w:hint="default" w:ascii="Times New Roman" w:hAnsi="Times New Roman" w:cs="Times New Roman"/>
          <w:b/>
          <w:color w:val="auto"/>
          <w:sz w:val="24"/>
          <w:lang w:eastAsia="zh-CN"/>
        </w:rPr>
        <w:t>（</w:t>
      </w:r>
      <w:r>
        <w:rPr>
          <w:rFonts w:hint="default" w:ascii="Times New Roman" w:hAnsi="Times New Roman" w:cs="Times New Roman"/>
          <w:b/>
          <w:color w:val="auto"/>
          <w:sz w:val="24"/>
          <w:lang w:val="en-US" w:eastAsia="zh-CN"/>
        </w:rPr>
        <w:t>1：</w:t>
      </w:r>
      <w:r>
        <w:rPr>
          <w:rFonts w:hint="eastAsia" w:ascii="Times New Roman" w:hAnsi="Times New Roman" w:cs="Times New Roman"/>
          <w:b/>
          <w:color w:val="auto"/>
          <w:sz w:val="24"/>
          <w:lang w:val="en-US" w:eastAsia="zh-CN"/>
        </w:rPr>
        <w:t>23</w:t>
      </w:r>
      <w:r>
        <w:rPr>
          <w:rFonts w:hint="default" w:ascii="Times New Roman" w:hAnsi="Times New Roman" w:cs="Times New Roman"/>
          <w:b/>
          <w:color w:val="auto"/>
          <w:sz w:val="24"/>
          <w:lang w:val="en-US" w:eastAsia="zh-CN"/>
        </w:rPr>
        <w:t>0000</w:t>
      </w:r>
      <w:r>
        <w:rPr>
          <w:rFonts w:hint="default" w:ascii="Times New Roman" w:hAnsi="Times New Roman" w:cs="Times New Roman"/>
          <w:b/>
          <w:color w:val="auto"/>
          <w:sz w:val="24"/>
          <w:lang w:eastAsia="zh-CN"/>
        </w:rPr>
        <w:t>）</w:t>
      </w:r>
    </w:p>
    <w:p w14:paraId="51D50C07">
      <w:pPr>
        <w:jc w:val="both"/>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69504" behindDoc="0" locked="0" layoutInCell="1" allowOverlap="1">
            <wp:simplePos x="0" y="0"/>
            <wp:positionH relativeFrom="column">
              <wp:posOffset>7768590</wp:posOffset>
            </wp:positionH>
            <wp:positionV relativeFrom="paragraph">
              <wp:posOffset>11430</wp:posOffset>
            </wp:positionV>
            <wp:extent cx="1474470" cy="1376680"/>
            <wp:effectExtent l="0" t="0" r="11430" b="13970"/>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r>
        <w:rPr>
          <w:rFonts w:hint="default" w:ascii="Times New Roman" w:hAnsi="Times New Roman" w:cs="Times New Roman"/>
          <w:b/>
          <w:color w:val="auto"/>
          <w:sz w:val="24"/>
        </w:rPr>
        <mc:AlternateContent>
          <mc:Choice Requires="wps">
            <w:drawing>
              <wp:anchor distT="0" distB="0" distL="114300" distR="114300" simplePos="0" relativeHeight="251667456" behindDoc="0" locked="0" layoutInCell="1" allowOverlap="1">
                <wp:simplePos x="0" y="0"/>
                <wp:positionH relativeFrom="column">
                  <wp:posOffset>3035300</wp:posOffset>
                </wp:positionH>
                <wp:positionV relativeFrom="paragraph">
                  <wp:posOffset>2175510</wp:posOffset>
                </wp:positionV>
                <wp:extent cx="1108710" cy="327660"/>
                <wp:effectExtent l="4445" t="5080" r="372745" b="181610"/>
                <wp:wrapNone/>
                <wp:docPr id="8" name="矩形标注 3"/>
                <wp:cNvGraphicFramePr/>
                <a:graphic xmlns:a="http://schemas.openxmlformats.org/drawingml/2006/main">
                  <a:graphicData uri="http://schemas.microsoft.com/office/word/2010/wordprocessingShape">
                    <wps:wsp>
                      <wps:cNvSpPr/>
                      <wps:spPr>
                        <a:xfrm>
                          <a:off x="0" y="0"/>
                          <a:ext cx="1108710" cy="327660"/>
                        </a:xfrm>
                        <a:prstGeom prst="wedgeRectCallout">
                          <a:avLst>
                            <a:gd name="adj1" fmla="val 79495"/>
                            <a:gd name="adj2" fmla="val 97481"/>
                          </a:avLst>
                        </a:prstGeom>
                        <a:solidFill>
                          <a:srgbClr val="FFFFFF"/>
                        </a:solidFill>
                        <a:ln w="9525" cap="flat" cmpd="sng">
                          <a:solidFill>
                            <a:srgbClr val="000000"/>
                          </a:solidFill>
                          <a:prstDash val="solid"/>
                          <a:miter/>
                          <a:headEnd type="none" w="med" len="med"/>
                          <a:tailEnd type="none" w="med" len="med"/>
                        </a:ln>
                      </wps:spPr>
                      <wps:txbx>
                        <w:txbxContent>
                          <w:p w14:paraId="3F13369D">
                            <w:pPr>
                              <w:jc w:val="center"/>
                            </w:pPr>
                            <w:r>
                              <w:rPr>
                                <w:rFonts w:hint="eastAsia"/>
                              </w:rPr>
                              <w:t>项目所在位置</w:t>
                            </w:r>
                          </w:p>
                        </w:txbxContent>
                      </wps:txbx>
                      <wps:bodyPr vert="horz" wrap="square" anchor="t" anchorCtr="0" upright="1"/>
                    </wps:wsp>
                  </a:graphicData>
                </a:graphic>
              </wp:anchor>
            </w:drawing>
          </mc:Choice>
          <mc:Fallback>
            <w:pict>
              <v:shape id="矩形标注 3" o:spid="_x0000_s1026" o:spt="61" type="#_x0000_t61" style="position:absolute;left:0pt;margin-left:239pt;margin-top:171.3pt;height:25.8pt;width:87.3pt;z-index:251667456;mso-width-relative:page;mso-height-relative:page;" fillcolor="#FFFFFF" filled="t" stroked="t" coordsize="21600,21600" o:gfxdata="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8jCvIdwA&#10;AAALAQAADwAAAAAAAAABACAAAAAiAAAAZHJzL2Rvd25yZXYueG1sUEsBAhQAFAAAAAgAh07iQHz1&#10;UsdUAgAAvwQAAA4AAAAAAAAAAQAgAAAAKwEAAGRycy9lMm9Eb2MueG1sUEsFBgAAAAAGAAYAWQEA&#10;APEFAAAAAA==&#10;" adj="27971,31856">
                <v:fill on="t" focussize="0,0"/>
                <v:stroke color="#000000" joinstyle="miter"/>
                <v:imagedata o:title=""/>
                <o:lock v:ext="edit" aspectratio="f"/>
                <v:textbox>
                  <w:txbxContent>
                    <w:p w14:paraId="3F13369D">
                      <w:pPr>
                        <w:jc w:val="center"/>
                      </w:pPr>
                      <w:r>
                        <w:rPr>
                          <w:rFonts w:hint="eastAsia"/>
                        </w:rPr>
                        <w:t>项目所在位置</w:t>
                      </w:r>
                    </w:p>
                  </w:txbxContent>
                </v:textbox>
              </v:shape>
            </w:pict>
          </mc:Fallback>
        </mc:AlternateContent>
      </w:r>
      <w:r>
        <w:drawing>
          <wp:inline distT="0" distB="0" distL="114300" distR="114300">
            <wp:extent cx="8948420" cy="5681980"/>
            <wp:effectExtent l="0" t="0" r="5080" b="13970"/>
            <wp:docPr id="4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04"/>
                    <pic:cNvPicPr>
                      <a:picLocks noChangeAspect="1"/>
                    </pic:cNvPicPr>
                  </pic:nvPicPr>
                  <pic:blipFill>
                    <a:blip r:embed="rId62"/>
                    <a:stretch>
                      <a:fillRect/>
                    </a:stretch>
                  </pic:blipFill>
                  <pic:spPr>
                    <a:xfrm>
                      <a:off x="0" y="0"/>
                      <a:ext cx="8948420" cy="5681980"/>
                    </a:xfrm>
                    <a:prstGeom prst="rect">
                      <a:avLst/>
                    </a:prstGeom>
                    <a:noFill/>
                    <a:ln>
                      <a:noFill/>
                    </a:ln>
                  </pic:spPr>
                </pic:pic>
              </a:graphicData>
            </a:graphic>
          </wp:inline>
        </w:drawing>
      </w:r>
    </w:p>
    <w:p w14:paraId="2607ABBE">
      <w:pPr>
        <w:jc w:val="both"/>
        <w:rPr>
          <w:rFonts w:hint="eastAsia" w:ascii="Times New Roman" w:hAnsi="Times New Roman" w:eastAsia="宋体" w:cs="Times New Roman"/>
          <w:b/>
          <w:color w:val="auto"/>
          <w:sz w:val="24"/>
          <w:lang w:eastAsia="zh-CN"/>
        </w:rPr>
      </w:pPr>
      <w:r>
        <w:rPr>
          <w:rFonts w:hint="default" w:ascii="Times New Roman" w:hAnsi="Times New Roman" w:eastAsia="宋体" w:cs="Times New Roman"/>
          <w:b/>
          <w:color w:val="auto"/>
          <w:sz w:val="24"/>
        </w:rPr>
        <w:t>附图2</w:t>
      </w:r>
      <w:r>
        <w:rPr>
          <w:rFonts w:hint="default" w:ascii="Times New Roman" w:hAnsi="Times New Roman" w:cs="Times New Roman"/>
          <w:b/>
          <w:color w:val="auto"/>
          <w:sz w:val="24"/>
          <w:lang w:eastAsia="zh-CN"/>
        </w:rPr>
        <w:t>、</w:t>
      </w:r>
      <w:r>
        <w:rPr>
          <w:rFonts w:hint="default" w:ascii="Times New Roman" w:hAnsi="Times New Roman" w:eastAsia="宋体" w:cs="Times New Roman"/>
          <w:b/>
          <w:color w:val="auto"/>
          <w:sz w:val="24"/>
        </w:rPr>
        <w:t>项目周边敏感目标分布图</w:t>
      </w:r>
      <w:r>
        <w:rPr>
          <w:rFonts w:hint="eastAsia" w:ascii="Times New Roman" w:hAnsi="Times New Roman" w:eastAsia="宋体" w:cs="Times New Roman"/>
          <w:b/>
          <w:color w:val="auto"/>
          <w:sz w:val="24"/>
          <w:lang w:eastAsia="zh-CN"/>
        </w:rPr>
        <w:t>（</w:t>
      </w:r>
      <w:r>
        <w:rPr>
          <w:rFonts w:hint="eastAsia" w:ascii="Times New Roman" w:hAnsi="Times New Roman" w:eastAsia="宋体" w:cs="Times New Roman"/>
          <w:b/>
          <w:color w:val="auto"/>
          <w:sz w:val="24"/>
          <w:lang w:val="en-US" w:eastAsia="zh-CN"/>
        </w:rPr>
        <w:t>1:7200</w:t>
      </w:r>
      <w:r>
        <w:rPr>
          <w:rFonts w:hint="eastAsia" w:ascii="Times New Roman" w:hAnsi="Times New Roman" w:eastAsia="宋体" w:cs="Times New Roman"/>
          <w:b/>
          <w:color w:val="auto"/>
          <w:sz w:val="24"/>
          <w:lang w:eastAsia="zh-CN"/>
        </w:rPr>
        <w:t>）</w:t>
      </w:r>
    </w:p>
    <w:p w14:paraId="22266F4C">
      <w:pPr>
        <w:jc w:val="center"/>
        <w:rPr>
          <w:rFonts w:hint="default" w:ascii="Times New Roman" w:hAnsi="Times New Roman" w:cs="Times New Roman"/>
          <w:b/>
          <w:color w:val="auto"/>
          <w:sz w:val="24"/>
        </w:rPr>
      </w:pPr>
      <w:r>
        <w:rPr>
          <w:sz w:val="28"/>
        </w:rPr>
        <mc:AlternateContent>
          <mc:Choice Requires="wps">
            <w:drawing>
              <wp:anchor distT="0" distB="0" distL="114300" distR="114300" simplePos="0" relativeHeight="251683840" behindDoc="0" locked="0" layoutInCell="1" allowOverlap="1">
                <wp:simplePos x="0" y="0"/>
                <wp:positionH relativeFrom="column">
                  <wp:posOffset>4088130</wp:posOffset>
                </wp:positionH>
                <wp:positionV relativeFrom="paragraph">
                  <wp:posOffset>3498215</wp:posOffset>
                </wp:positionV>
                <wp:extent cx="904875" cy="304800"/>
                <wp:effectExtent l="0" t="0" r="0" b="0"/>
                <wp:wrapNone/>
                <wp:docPr id="25" name="文本框 114"/>
                <wp:cNvGraphicFramePr/>
                <a:graphic xmlns:a="http://schemas.openxmlformats.org/drawingml/2006/main">
                  <a:graphicData uri="http://schemas.microsoft.com/office/word/2010/wordprocessingShape">
                    <wps:wsp>
                      <wps:cNvSpPr txBox="1"/>
                      <wps:spPr>
                        <a:xfrm>
                          <a:off x="0" y="0"/>
                          <a:ext cx="904875" cy="304800"/>
                        </a:xfrm>
                        <a:prstGeom prst="rect">
                          <a:avLst/>
                        </a:prstGeom>
                        <a:noFill/>
                        <a:ln>
                          <a:noFill/>
                        </a:ln>
                      </wps:spPr>
                      <wps:txbx>
                        <w:txbxContent>
                          <w:p w14:paraId="1C9AC6FD">
                            <w:pPr>
                              <w:jc w:val="center"/>
                              <w:rPr>
                                <w:rFonts w:hint="default" w:eastAsia="宋体"/>
                                <w:b/>
                                <w:bCs/>
                                <w:color w:val="FF0000"/>
                                <w:lang w:val="en-US" w:eastAsia="zh-CN"/>
                              </w:rPr>
                            </w:pPr>
                            <w:r>
                              <w:rPr>
                                <w:rFonts w:hint="eastAsia"/>
                                <w:b/>
                                <w:bCs/>
                                <w:color w:val="FF0000"/>
                                <w:lang w:val="en-US" w:eastAsia="zh-CN"/>
                              </w:rPr>
                              <w:t>366m</w:t>
                            </w:r>
                          </w:p>
                        </w:txbxContent>
                      </wps:txbx>
                      <wps:bodyPr vert="horz" wrap="square" anchor="t" anchorCtr="0" upright="1"/>
                    </wps:wsp>
                  </a:graphicData>
                </a:graphic>
              </wp:anchor>
            </w:drawing>
          </mc:Choice>
          <mc:Fallback>
            <w:pict>
              <v:shape id="文本框 114" o:spid="_x0000_s1026" o:spt="202" type="#_x0000_t202" style="position:absolute;left:0pt;margin-left:321.9pt;margin-top:275.45pt;height:24pt;width:71.25pt;z-index:251683840;mso-width-relative:page;mso-height-relative:page;" filled="f" stroked="f" coordsize="21600,21600" o:gfxdata="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CFhfxrYAAAACwEAAA8AAAAAAAAAAQAgAAAAIgAAAGRy&#10;cy9kb3ducmV2LnhtbFBLAQIUABQAAAAIAIdO4kD0eZEQzAEAAIMDAAAOAAAAAAAAAAEAIAAAACcB&#10;AABkcnMvZTJvRG9jLnhtbFBLBQYAAAAABgAGAFkBAABlBQAAAAA=&#10;">
                <v:fill on="f" focussize="0,0"/>
                <v:stroke on="f"/>
                <v:imagedata o:title=""/>
                <o:lock v:ext="edit" aspectratio="f"/>
                <v:textbox>
                  <w:txbxContent>
                    <w:p w14:paraId="1C9AC6FD">
                      <w:pPr>
                        <w:jc w:val="center"/>
                        <w:rPr>
                          <w:rFonts w:hint="default" w:eastAsia="宋体"/>
                          <w:b/>
                          <w:bCs/>
                          <w:color w:val="FF0000"/>
                          <w:lang w:val="en-US" w:eastAsia="zh-CN"/>
                        </w:rPr>
                      </w:pPr>
                      <w:r>
                        <w:rPr>
                          <w:rFonts w:hint="eastAsia"/>
                          <w:b/>
                          <w:bCs/>
                          <w:color w:val="FF0000"/>
                          <w:lang w:val="en-US" w:eastAsia="zh-CN"/>
                        </w:rPr>
                        <w:t>366m</w:t>
                      </w:r>
                    </w:p>
                  </w:txbxContent>
                </v:textbox>
              </v:shape>
            </w:pict>
          </mc:Fallback>
        </mc:AlternateContent>
      </w:r>
      <w:r>
        <w:rPr>
          <w:sz w:val="28"/>
        </w:rPr>
        <mc:AlternateContent>
          <mc:Choice Requires="wps">
            <w:drawing>
              <wp:anchor distT="0" distB="0" distL="114300" distR="114300" simplePos="0" relativeHeight="251682816" behindDoc="0" locked="0" layoutInCell="1" allowOverlap="1">
                <wp:simplePos x="0" y="0"/>
                <wp:positionH relativeFrom="column">
                  <wp:posOffset>4260850</wp:posOffset>
                </wp:positionH>
                <wp:positionV relativeFrom="paragraph">
                  <wp:posOffset>3093720</wp:posOffset>
                </wp:positionV>
                <wp:extent cx="250825" cy="986790"/>
                <wp:effectExtent l="26670" t="1270" r="8255" b="2540"/>
                <wp:wrapNone/>
                <wp:docPr id="24" name="直线 113"/>
                <wp:cNvGraphicFramePr/>
                <a:graphic xmlns:a="http://schemas.openxmlformats.org/drawingml/2006/main">
                  <a:graphicData uri="http://schemas.microsoft.com/office/word/2010/wordprocessingShape">
                    <wps:wsp>
                      <wps:cNvCnPr/>
                      <wps:spPr>
                        <a:xfrm flipH="1">
                          <a:off x="0" y="0"/>
                          <a:ext cx="250825" cy="986790"/>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113" o:spid="_x0000_s1026" o:spt="20" style="position:absolute;left:0pt;flip:x;margin-left:335.5pt;margin-top:243.6pt;height:77.7pt;width:19.75pt;z-index:251682816;mso-width-relative:page;mso-height-relative:page;" filled="f" stroked="t" coordsize="21600,21600" o:gfxdata="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NX0/9gAAAALAQAADwAAAAAAAAABACAAAAAiAAAAZHJzL2Rvd25y&#10;ZXYueG1sUEsBAhQAFAAAAAgAh07iQEzCOSD+AQAA7QMAAA4AAAAAAAAAAQAgAAAAJwEAAGRycy9l&#10;Mm9Eb2MueG1sUEsFBgAAAAAGAAYAWQEAAJcFAAAAAA==&#10;">
                <v:fill on="f" focussize="0,0"/>
                <v:stroke color="#FF0000" joinstyle="round" endarrow="open"/>
                <v:imagedata o:title=""/>
                <o:lock v:ext="edit" aspectratio="f"/>
              </v:line>
            </w:pict>
          </mc:Fallback>
        </mc:AlternateContent>
      </w:r>
      <w:r>
        <w:rPr>
          <w:sz w:val="28"/>
        </w:rPr>
        <mc:AlternateContent>
          <mc:Choice Requires="wps">
            <w:drawing>
              <wp:anchor distT="0" distB="0" distL="114300" distR="114300" simplePos="0" relativeHeight="251681792" behindDoc="0" locked="0" layoutInCell="1" allowOverlap="1">
                <wp:simplePos x="0" y="0"/>
                <wp:positionH relativeFrom="column">
                  <wp:posOffset>3719830</wp:posOffset>
                </wp:positionH>
                <wp:positionV relativeFrom="paragraph">
                  <wp:posOffset>1904365</wp:posOffset>
                </wp:positionV>
                <wp:extent cx="904875" cy="261620"/>
                <wp:effectExtent l="0" t="0" r="0" b="0"/>
                <wp:wrapNone/>
                <wp:docPr id="23" name="文本框 112"/>
                <wp:cNvGraphicFramePr/>
                <a:graphic xmlns:a="http://schemas.openxmlformats.org/drawingml/2006/main">
                  <a:graphicData uri="http://schemas.microsoft.com/office/word/2010/wordprocessingShape">
                    <wps:wsp>
                      <wps:cNvSpPr txBox="1"/>
                      <wps:spPr>
                        <a:xfrm>
                          <a:off x="0" y="0"/>
                          <a:ext cx="904875" cy="261620"/>
                        </a:xfrm>
                        <a:prstGeom prst="rect">
                          <a:avLst/>
                        </a:prstGeom>
                        <a:noFill/>
                        <a:ln>
                          <a:noFill/>
                        </a:ln>
                      </wps:spPr>
                      <wps:txbx>
                        <w:txbxContent>
                          <w:p w14:paraId="46C5FFEA">
                            <w:pPr>
                              <w:jc w:val="center"/>
                              <w:rPr>
                                <w:rFonts w:hint="default" w:eastAsia="宋体"/>
                                <w:b/>
                                <w:bCs/>
                                <w:color w:val="FF0000"/>
                                <w:lang w:val="en-US" w:eastAsia="zh-CN"/>
                              </w:rPr>
                            </w:pPr>
                            <w:r>
                              <w:rPr>
                                <w:rFonts w:hint="eastAsia"/>
                                <w:b/>
                                <w:bCs/>
                                <w:color w:val="FF0000"/>
                                <w:lang w:val="en-US" w:eastAsia="zh-CN"/>
                              </w:rPr>
                              <w:t>460m</w:t>
                            </w:r>
                          </w:p>
                        </w:txbxContent>
                      </wps:txbx>
                      <wps:bodyPr vert="horz" wrap="square" anchor="t" anchorCtr="0" upright="1"/>
                    </wps:wsp>
                  </a:graphicData>
                </a:graphic>
              </wp:anchor>
            </w:drawing>
          </mc:Choice>
          <mc:Fallback>
            <w:pict>
              <v:shape id="文本框 112" o:spid="_x0000_s1026" o:spt="202" type="#_x0000_t202" style="position:absolute;left:0pt;margin-left:292.9pt;margin-top:149.95pt;height:20.6pt;width:71.25pt;z-index:251681792;mso-width-relative:page;mso-height-relative:page;" filled="f" stroked="f" coordsize="21600,21600" o:gfxdata="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emtVQ2QAAAAsBAAAPAAAAAAAAAAEAIAAAACIA&#10;AABkcnMvZG93bnJldi54bWxQSwECFAAUAAAACACHTuJAsyjflc8BAACDAwAADgAAAAAAAAABACAA&#10;AAAoAQAAZHJzL2Uyb0RvYy54bWxQSwUGAAAAAAYABgBZAQAAaQUAAAAA&#10;">
                <v:fill on="f" focussize="0,0"/>
                <v:stroke on="f"/>
                <v:imagedata o:title=""/>
                <o:lock v:ext="edit" aspectratio="f"/>
                <v:textbox>
                  <w:txbxContent>
                    <w:p w14:paraId="46C5FFEA">
                      <w:pPr>
                        <w:jc w:val="center"/>
                        <w:rPr>
                          <w:rFonts w:hint="default" w:eastAsia="宋体"/>
                          <w:b/>
                          <w:bCs/>
                          <w:color w:val="FF0000"/>
                          <w:lang w:val="en-US" w:eastAsia="zh-CN"/>
                        </w:rPr>
                      </w:pPr>
                      <w:r>
                        <w:rPr>
                          <w:rFonts w:hint="eastAsia"/>
                          <w:b/>
                          <w:bCs/>
                          <w:color w:val="FF0000"/>
                          <w:lang w:val="en-US" w:eastAsia="zh-CN"/>
                        </w:rPr>
                        <w:t>460m</w:t>
                      </w:r>
                    </w:p>
                  </w:txbxContent>
                </v:textbox>
              </v:shape>
            </w:pict>
          </mc:Fallback>
        </mc:AlternateContent>
      </w:r>
      <w:r>
        <w:rPr>
          <w:sz w:val="28"/>
        </w:rPr>
        <mc:AlternateContent>
          <mc:Choice Requires="wps">
            <w:drawing>
              <wp:anchor distT="0" distB="0" distL="114300" distR="114300" simplePos="0" relativeHeight="251678720" behindDoc="0" locked="0" layoutInCell="1" allowOverlap="1">
                <wp:simplePos x="0" y="0"/>
                <wp:positionH relativeFrom="column">
                  <wp:posOffset>3084830</wp:posOffset>
                </wp:positionH>
                <wp:positionV relativeFrom="paragraph">
                  <wp:posOffset>2640965</wp:posOffset>
                </wp:positionV>
                <wp:extent cx="904875" cy="209550"/>
                <wp:effectExtent l="0" t="0" r="0" b="0"/>
                <wp:wrapNone/>
                <wp:docPr id="19" name="文本框 109"/>
                <wp:cNvGraphicFramePr/>
                <a:graphic xmlns:a="http://schemas.openxmlformats.org/drawingml/2006/main">
                  <a:graphicData uri="http://schemas.microsoft.com/office/word/2010/wordprocessingShape">
                    <wps:wsp>
                      <wps:cNvSpPr txBox="1"/>
                      <wps:spPr>
                        <a:xfrm>
                          <a:off x="0" y="0"/>
                          <a:ext cx="904875" cy="209550"/>
                        </a:xfrm>
                        <a:prstGeom prst="rect">
                          <a:avLst/>
                        </a:prstGeom>
                        <a:noFill/>
                        <a:ln>
                          <a:noFill/>
                        </a:ln>
                      </wps:spPr>
                      <wps:txbx>
                        <w:txbxContent>
                          <w:p w14:paraId="51310A9D">
                            <w:pPr>
                              <w:jc w:val="center"/>
                              <w:rPr>
                                <w:rFonts w:hint="default" w:eastAsia="宋体"/>
                                <w:b/>
                                <w:bCs/>
                                <w:color w:val="FF0000"/>
                                <w:lang w:val="en-US" w:eastAsia="zh-CN"/>
                              </w:rPr>
                            </w:pPr>
                            <w:r>
                              <w:rPr>
                                <w:rFonts w:hint="eastAsia"/>
                                <w:b/>
                                <w:bCs/>
                                <w:color w:val="FF0000"/>
                                <w:lang w:val="en-US" w:eastAsia="zh-CN"/>
                              </w:rPr>
                              <w:t>500m</w:t>
                            </w:r>
                          </w:p>
                        </w:txbxContent>
                      </wps:txbx>
                      <wps:bodyPr vert="horz" wrap="square" anchor="t" anchorCtr="0" upright="1"/>
                    </wps:wsp>
                  </a:graphicData>
                </a:graphic>
              </wp:anchor>
            </w:drawing>
          </mc:Choice>
          <mc:Fallback>
            <w:pict>
              <v:shape id="文本框 109" o:spid="_x0000_s1026" o:spt="202" type="#_x0000_t202" style="position:absolute;left:0pt;margin-left:242.9pt;margin-top:207.95pt;height:16.5pt;width:71.25pt;z-index:251678720;mso-width-relative:page;mso-height-relative:page;" filled="f" stroked="f" coordsize="21600,21600" o:gfxdata="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66Ld5dkAAAALAQAADwAAAAAAAAABACAAAAAiAAAA&#10;ZHJzL2Rvd25yZXYueG1sUEsBAhQAFAAAAAgAh07iQJgQ1TvNAQAAgwMAAA4AAAAAAAAAAQAgAAAA&#10;KAEAAGRycy9lMm9Eb2MueG1sUEsFBgAAAAAGAAYAWQEAAGcFAAAAAA==&#10;">
                <v:fill on="f" focussize="0,0"/>
                <v:stroke on="f"/>
                <v:imagedata o:title=""/>
                <o:lock v:ext="edit" aspectratio="f"/>
                <v:textbox>
                  <w:txbxContent>
                    <w:p w14:paraId="51310A9D">
                      <w:pPr>
                        <w:jc w:val="center"/>
                        <w:rPr>
                          <w:rFonts w:hint="default" w:eastAsia="宋体"/>
                          <w:b/>
                          <w:bCs/>
                          <w:color w:val="FF0000"/>
                          <w:lang w:val="en-US" w:eastAsia="zh-CN"/>
                        </w:rPr>
                      </w:pPr>
                      <w:r>
                        <w:rPr>
                          <w:rFonts w:hint="eastAsia"/>
                          <w:b/>
                          <w:bCs/>
                          <w:color w:val="FF0000"/>
                          <w:lang w:val="en-US" w:eastAsia="zh-CN"/>
                        </w:rPr>
                        <w:t>500m</w:t>
                      </w:r>
                    </w:p>
                  </w:txbxContent>
                </v:textbox>
              </v:shape>
            </w:pict>
          </mc:Fallback>
        </mc:AlternateContent>
      </w:r>
      <w:r>
        <w:rPr>
          <w:sz w:val="28"/>
        </w:rPr>
        <mc:AlternateContent>
          <mc:Choice Requires="wps">
            <w:drawing>
              <wp:anchor distT="0" distB="0" distL="114300" distR="114300" simplePos="0" relativeHeight="251680768" behindDoc="0" locked="0" layoutInCell="1" allowOverlap="1">
                <wp:simplePos x="0" y="0"/>
                <wp:positionH relativeFrom="column">
                  <wp:posOffset>3689985</wp:posOffset>
                </wp:positionH>
                <wp:positionV relativeFrom="paragraph">
                  <wp:posOffset>1579880</wp:posOffset>
                </wp:positionV>
                <wp:extent cx="739140" cy="1203325"/>
                <wp:effectExtent l="0" t="0" r="3810" b="15875"/>
                <wp:wrapNone/>
                <wp:docPr id="22" name="直线 111"/>
                <wp:cNvGraphicFramePr/>
                <a:graphic xmlns:a="http://schemas.openxmlformats.org/drawingml/2006/main">
                  <a:graphicData uri="http://schemas.microsoft.com/office/word/2010/wordprocessingShape">
                    <wps:wsp>
                      <wps:cNvCnPr/>
                      <wps:spPr>
                        <a:xfrm flipH="1" flipV="1">
                          <a:off x="0" y="0"/>
                          <a:ext cx="739140" cy="120332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111" o:spid="_x0000_s1026" o:spt="20" style="position:absolute;left:0pt;flip:x y;margin-left:290.55pt;margin-top:124.4pt;height:94.75pt;width:58.2pt;z-index:251680768;mso-width-relative:page;mso-height-relative:page;" filled="f" stroked="t" coordsize="21600,21600" o:gfxdata="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gFLd4AAAALAQAADwAAAAAAAAABACAAAAAiAAAA&#10;ZHJzL2Rvd25yZXYueG1sUEsBAhQAFAAAAAgAh07iQPHGSO4BAgAA+AMAAA4AAAAAAAAAAQAgAAAA&#10;LQEAAGRycy9lMm9Eb2MueG1sUEsFBgAAAAAGAAYAWQEAAKAFAAAAAA==&#10;">
                <v:fill on="f" focussize="0,0"/>
                <v:stroke color="#FF0000" joinstyle="round" endarrow="open"/>
                <v:imagedata o:title=""/>
                <o:lock v:ext="edit" aspectratio="f"/>
              </v:line>
            </w:pict>
          </mc:Fallback>
        </mc:AlternateContent>
      </w:r>
      <w:r>
        <w:rPr>
          <w:sz w:val="28"/>
        </w:rPr>
        <mc:AlternateContent>
          <mc:Choice Requires="wps">
            <w:drawing>
              <wp:anchor distT="0" distB="0" distL="114300" distR="114300" simplePos="0" relativeHeight="251679744" behindDoc="0" locked="0" layoutInCell="1" allowOverlap="1">
                <wp:simplePos x="0" y="0"/>
                <wp:positionH relativeFrom="column">
                  <wp:posOffset>4314190</wp:posOffset>
                </wp:positionH>
                <wp:positionV relativeFrom="paragraph">
                  <wp:posOffset>2781300</wp:posOffset>
                </wp:positionV>
                <wp:extent cx="317500" cy="304800"/>
                <wp:effectExtent l="4445" t="4445" r="20955" b="14605"/>
                <wp:wrapNone/>
                <wp:docPr id="20" name="任意多边形 110"/>
                <wp:cNvGraphicFramePr/>
                <a:graphic xmlns:a="http://schemas.openxmlformats.org/drawingml/2006/main">
                  <a:graphicData uri="http://schemas.microsoft.com/office/word/2010/wordprocessingShape">
                    <wps:wsp>
                      <wps:cNvSpPr/>
                      <wps:spPr>
                        <a:xfrm>
                          <a:off x="0" y="0"/>
                          <a:ext cx="317500" cy="304800"/>
                        </a:xfrm>
                        <a:custGeom>
                          <a:avLst/>
                          <a:gdLst/>
                          <a:ahLst/>
                          <a:cxnLst/>
                          <a:pathLst>
                            <a:path w="500" h="480">
                              <a:moveTo>
                                <a:pt x="170" y="0"/>
                              </a:moveTo>
                              <a:lnTo>
                                <a:pt x="0" y="300"/>
                              </a:lnTo>
                              <a:lnTo>
                                <a:pt x="320" y="480"/>
                              </a:lnTo>
                              <a:lnTo>
                                <a:pt x="500" y="120"/>
                              </a:lnTo>
                              <a:lnTo>
                                <a:pt x="170" y="0"/>
                              </a:lnTo>
                              <a:close/>
                            </a:path>
                          </a:pathLst>
                        </a:custGeom>
                        <a:noFill/>
                        <a:ln w="9525" cap="flat" cmpd="sng">
                          <a:solidFill>
                            <a:srgbClr val="FF0000"/>
                          </a:solidFill>
                          <a:prstDash val="solid"/>
                          <a:headEnd type="none" w="med" len="med"/>
                          <a:tailEnd type="none" w="med" len="med"/>
                        </a:ln>
                      </wps:spPr>
                      <wps:bodyPr vert="horz" wrap="square" anchor="t" anchorCtr="0" upright="1"/>
                    </wps:wsp>
                  </a:graphicData>
                </a:graphic>
              </wp:anchor>
            </w:drawing>
          </mc:Choice>
          <mc:Fallback>
            <w:pict>
              <v:shape id="任意多边形 110" o:spid="_x0000_s1026" o:spt="100" style="position:absolute;left:0pt;margin-left:339.7pt;margin-top:219pt;height:24pt;width:25pt;z-index:251679744;mso-width-relative:page;mso-height-relative:page;" filled="f" stroked="t" coordsize="500,480" o:gfxdata="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ixWJ02QAAAAsBAAAPAAAAAAAAAAEAIAAAACIA&#10;AABkcnMvZG93bnJldi54bWxQSwECFAAUAAAACACHTuJAsgwky3oCAABEBQAADgAAAAAAAAABACAA&#10;AAAoAQAAZHJzL2Uyb0RvYy54bWxQSwUGAAAAAAYABgBZAQAAFAYAAAAA&#10;" path="m170,0l0,300,320,480,500,120,170,0xe">
                <v:fill on="f" focussize="0,0"/>
                <v:stroke color="#FF0000" joinstyle="round"/>
                <v:imagedata o:title=""/>
                <o:lock v:ext="edit" aspectratio="f"/>
              </v:shape>
            </w:pict>
          </mc:Fallback>
        </mc:AlternateContent>
      </w:r>
      <w:r>
        <w:rPr>
          <w:sz w:val="28"/>
        </w:rPr>
        <mc:AlternateContent>
          <mc:Choice Requires="wps">
            <w:drawing>
              <wp:anchor distT="0" distB="0" distL="114300" distR="114300" simplePos="0" relativeHeight="251677696" behindDoc="0" locked="0" layoutInCell="1" allowOverlap="1">
                <wp:simplePos x="0" y="0"/>
                <wp:positionH relativeFrom="column">
                  <wp:posOffset>2693035</wp:posOffset>
                </wp:positionH>
                <wp:positionV relativeFrom="paragraph">
                  <wp:posOffset>2798445</wp:posOffset>
                </wp:positionV>
                <wp:extent cx="1621790" cy="155575"/>
                <wp:effectExtent l="0" t="40640" r="16510" b="13335"/>
                <wp:wrapNone/>
                <wp:docPr id="18" name="直线 108"/>
                <wp:cNvGraphicFramePr/>
                <a:graphic xmlns:a="http://schemas.openxmlformats.org/drawingml/2006/main">
                  <a:graphicData uri="http://schemas.microsoft.com/office/word/2010/wordprocessingShape">
                    <wps:wsp>
                      <wps:cNvCnPr/>
                      <wps:spPr>
                        <a:xfrm flipH="1" flipV="1">
                          <a:off x="0" y="0"/>
                          <a:ext cx="1621790" cy="15557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108" o:spid="_x0000_s1026" o:spt="20" style="position:absolute;left:0pt;flip:x y;margin-left:212.05pt;margin-top:220.35pt;height:12.25pt;width:127.7pt;z-index:251677696;mso-width-relative:page;mso-height-relative:page;" filled="f" stroked="t" coordsize="21600,21600" o:gfxdata="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EG5kN0AAAALAQAADwAAAAAAAAABACAAAAAiAAAA&#10;ZHJzL2Rvd25yZXYueG1sUEsBAhQAFAAAAAgAh07iQD54J+ACAgAA+AMAAA4AAAAAAAAAAQAgAAAA&#10;LAEAAGRycy9lMm9Eb2MueG1sUEsFBgAAAAAGAAYAWQEAAKAFAAAAAA==&#10;">
                <v:fill on="f" focussize="0,0"/>
                <v:stroke color="#FF0000" joinstyle="round" endarrow="open"/>
                <v:imagedata o:title=""/>
                <o:lock v:ext="edit" aspectratio="f"/>
              </v:line>
            </w:pict>
          </mc:Fallback>
        </mc:AlternateContent>
      </w:r>
      <w:r>
        <w:rPr>
          <w:sz w:val="28"/>
        </w:rPr>
        <mc:AlternateContent>
          <mc:Choice Requires="wps">
            <w:drawing>
              <wp:anchor distT="0" distB="0" distL="114300" distR="114300" simplePos="0" relativeHeight="251675648" behindDoc="0" locked="0" layoutInCell="1" allowOverlap="1">
                <wp:simplePos x="0" y="0"/>
                <wp:positionH relativeFrom="column">
                  <wp:posOffset>3213100</wp:posOffset>
                </wp:positionH>
                <wp:positionV relativeFrom="paragraph">
                  <wp:posOffset>4658360</wp:posOffset>
                </wp:positionV>
                <wp:extent cx="1343025" cy="276225"/>
                <wp:effectExtent l="0" t="0" r="0" b="0"/>
                <wp:wrapNone/>
                <wp:docPr id="16" name="文本框 106"/>
                <wp:cNvGraphicFramePr/>
                <a:graphic xmlns:a="http://schemas.openxmlformats.org/drawingml/2006/main">
                  <a:graphicData uri="http://schemas.microsoft.com/office/word/2010/wordprocessingShape">
                    <wps:wsp>
                      <wps:cNvSpPr txBox="1"/>
                      <wps:spPr>
                        <a:xfrm>
                          <a:off x="0" y="0"/>
                          <a:ext cx="1343025" cy="276225"/>
                        </a:xfrm>
                        <a:prstGeom prst="rect">
                          <a:avLst/>
                        </a:prstGeom>
                        <a:noFill/>
                        <a:ln>
                          <a:noFill/>
                        </a:ln>
                      </wps:spPr>
                      <wps:txbx>
                        <w:txbxContent>
                          <w:p w14:paraId="2F88192C">
                            <w:pPr>
                              <w:jc w:val="center"/>
                              <w:rPr>
                                <w:rFonts w:hint="default" w:eastAsia="宋体"/>
                                <w:b/>
                                <w:bCs/>
                                <w:color w:val="FF0000"/>
                                <w:highlight w:val="yellow"/>
                                <w:lang w:val="en-US" w:eastAsia="zh-CN"/>
                              </w:rPr>
                            </w:pPr>
                            <w:r>
                              <w:rPr>
                                <w:rFonts w:hint="eastAsia"/>
                                <w:b/>
                                <w:bCs/>
                                <w:color w:val="FF0000"/>
                                <w:highlight w:val="yellow"/>
                                <w:lang w:val="en-US" w:eastAsia="zh-CN"/>
                              </w:rPr>
                              <w:t>小庄村</w:t>
                            </w:r>
                          </w:p>
                        </w:txbxContent>
                      </wps:txbx>
                      <wps:bodyPr wrap="square" upright="1"/>
                    </wps:wsp>
                  </a:graphicData>
                </a:graphic>
              </wp:anchor>
            </w:drawing>
          </mc:Choice>
          <mc:Fallback>
            <w:pict>
              <v:shape id="文本框 106" o:spid="_x0000_s1026" o:spt="202" type="#_x0000_t202" style="position:absolute;left:0pt;margin-left:253pt;margin-top:366.8pt;height:21.75pt;width:105.75pt;z-index:251675648;mso-width-relative:page;mso-height-relative:page;" filled="f" stroked="f" coordsize="21600,21600" o:gfxdata="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GDqxP2AAAAAsBAAAPAAAAAAAAAAEAIAAAACIAAABkcnMvZG93bnJldi54bWxQSwECFAAU&#10;AAAACACHTuJASuNneLgBAABfAwAADgAAAAAAAAABACAAAAAnAQAAZHJzL2Uyb0RvYy54bWxQSwUG&#10;AAAAAAYABgBZAQAAUQUAAAAA&#10;">
                <v:fill on="f" focussize="0,0"/>
                <v:stroke on="f"/>
                <v:imagedata o:title=""/>
                <o:lock v:ext="edit" aspectratio="f"/>
                <v:textbox>
                  <w:txbxContent>
                    <w:p w14:paraId="2F88192C">
                      <w:pPr>
                        <w:jc w:val="center"/>
                        <w:rPr>
                          <w:rFonts w:hint="default" w:eastAsia="宋体"/>
                          <w:b/>
                          <w:bCs/>
                          <w:color w:val="FF0000"/>
                          <w:highlight w:val="yellow"/>
                          <w:lang w:val="en-US" w:eastAsia="zh-CN"/>
                        </w:rPr>
                      </w:pPr>
                      <w:r>
                        <w:rPr>
                          <w:rFonts w:hint="eastAsia"/>
                          <w:b/>
                          <w:bCs/>
                          <w:color w:val="FF0000"/>
                          <w:highlight w:val="yellow"/>
                          <w:lang w:val="en-US" w:eastAsia="zh-CN"/>
                        </w:rPr>
                        <w:t>小庄村</w:t>
                      </w:r>
                    </w:p>
                  </w:txbxContent>
                </v:textbox>
              </v:shap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2908300</wp:posOffset>
                </wp:positionH>
                <wp:positionV relativeFrom="paragraph">
                  <wp:posOffset>372110</wp:posOffset>
                </wp:positionV>
                <wp:extent cx="1343025" cy="276225"/>
                <wp:effectExtent l="0" t="0" r="0" b="0"/>
                <wp:wrapNone/>
                <wp:docPr id="15" name="文本框 105"/>
                <wp:cNvGraphicFramePr/>
                <a:graphic xmlns:a="http://schemas.openxmlformats.org/drawingml/2006/main">
                  <a:graphicData uri="http://schemas.microsoft.com/office/word/2010/wordprocessingShape">
                    <wps:wsp>
                      <wps:cNvSpPr txBox="1"/>
                      <wps:spPr>
                        <a:xfrm>
                          <a:off x="0" y="0"/>
                          <a:ext cx="1343025" cy="276225"/>
                        </a:xfrm>
                        <a:prstGeom prst="rect">
                          <a:avLst/>
                        </a:prstGeom>
                        <a:noFill/>
                        <a:ln>
                          <a:noFill/>
                        </a:ln>
                      </wps:spPr>
                      <wps:txbx>
                        <w:txbxContent>
                          <w:p w14:paraId="7ECDC6F3">
                            <w:pPr>
                              <w:jc w:val="center"/>
                              <w:rPr>
                                <w:rFonts w:hint="default" w:eastAsia="宋体"/>
                                <w:b/>
                                <w:bCs/>
                                <w:color w:val="FF0000"/>
                                <w:highlight w:val="yellow"/>
                                <w:lang w:val="en-US" w:eastAsia="zh-CN"/>
                              </w:rPr>
                            </w:pPr>
                            <w:r>
                              <w:rPr>
                                <w:rFonts w:hint="eastAsia"/>
                                <w:b/>
                                <w:bCs/>
                                <w:color w:val="FF0000"/>
                                <w:highlight w:val="yellow"/>
                                <w:lang w:val="en-US" w:eastAsia="zh-CN"/>
                              </w:rPr>
                              <w:t>赵瓦村</w:t>
                            </w:r>
                          </w:p>
                        </w:txbxContent>
                      </wps:txbx>
                      <wps:bodyPr vert="horz" wrap="square" anchor="t" anchorCtr="0" upright="1"/>
                    </wps:wsp>
                  </a:graphicData>
                </a:graphic>
              </wp:anchor>
            </w:drawing>
          </mc:Choice>
          <mc:Fallback>
            <w:pict>
              <v:shape id="文本框 105" o:spid="_x0000_s1026" o:spt="202" type="#_x0000_t202" style="position:absolute;left:0pt;margin-left:229pt;margin-top:29.3pt;height:21.75pt;width:105.75pt;z-index:251674624;mso-width-relative:page;mso-height-relative:page;" filled="f" stroked="f" coordsize="21600,21600" o:gfxdata="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90LNcAAAAKAQAADwAAAAAAAAABACAAAAAiAAAAZHJz&#10;L2Rvd25yZXYueG1sUEsBAhQAFAAAAAgAh07iQElqVm/MAQAAhAMAAA4AAAAAAAAAAQAgAAAAJgEA&#10;AGRycy9lMm9Eb2MueG1sUEsFBgAAAAAGAAYAWQEAAGQFAAAAAA==&#10;">
                <v:fill on="f" focussize="0,0"/>
                <v:stroke on="f"/>
                <v:imagedata o:title=""/>
                <o:lock v:ext="edit" aspectratio="f"/>
                <v:textbox>
                  <w:txbxContent>
                    <w:p w14:paraId="7ECDC6F3">
                      <w:pPr>
                        <w:jc w:val="center"/>
                        <w:rPr>
                          <w:rFonts w:hint="default" w:eastAsia="宋体"/>
                          <w:b/>
                          <w:bCs/>
                          <w:color w:val="FF0000"/>
                          <w:highlight w:val="yellow"/>
                          <w:lang w:val="en-US" w:eastAsia="zh-CN"/>
                        </w:rPr>
                      </w:pPr>
                      <w:r>
                        <w:rPr>
                          <w:rFonts w:hint="eastAsia"/>
                          <w:b/>
                          <w:bCs/>
                          <w:color w:val="FF0000"/>
                          <w:highlight w:val="yellow"/>
                          <w:lang w:val="en-US" w:eastAsia="zh-CN"/>
                        </w:rPr>
                        <w:t>赵瓦村</w:t>
                      </w:r>
                    </w:p>
                  </w:txbxContent>
                </v:textbox>
              </v:shape>
            </w:pict>
          </mc:Fallback>
        </mc:AlternateContent>
      </w:r>
      <w:r>
        <w:rPr>
          <w:sz w:val="28"/>
        </w:rPr>
        <mc:AlternateContent>
          <mc:Choice Requires="wps">
            <w:drawing>
              <wp:anchor distT="0" distB="0" distL="114300" distR="114300" simplePos="0" relativeHeight="251673600" behindDoc="0" locked="0" layoutInCell="1" allowOverlap="1">
                <wp:simplePos x="0" y="0"/>
                <wp:positionH relativeFrom="column">
                  <wp:posOffset>2841625</wp:posOffset>
                </wp:positionH>
                <wp:positionV relativeFrom="paragraph">
                  <wp:posOffset>4077335</wp:posOffset>
                </wp:positionV>
                <wp:extent cx="1943100" cy="1104900"/>
                <wp:effectExtent l="4445" t="4445" r="14605" b="14605"/>
                <wp:wrapNone/>
                <wp:docPr id="14" name="任意多边形 104"/>
                <wp:cNvGraphicFramePr/>
                <a:graphic xmlns:a="http://schemas.openxmlformats.org/drawingml/2006/main">
                  <a:graphicData uri="http://schemas.microsoft.com/office/word/2010/wordprocessingShape">
                    <wps:wsp>
                      <wps:cNvSpPr/>
                      <wps:spPr>
                        <a:xfrm>
                          <a:off x="0" y="0"/>
                          <a:ext cx="1943100" cy="1104900"/>
                        </a:xfrm>
                        <a:custGeom>
                          <a:avLst/>
                          <a:gdLst/>
                          <a:ahLst/>
                          <a:cxnLst/>
                          <a:pathLst>
                            <a:path w="3060" h="1740">
                              <a:moveTo>
                                <a:pt x="165" y="1695"/>
                              </a:moveTo>
                              <a:lnTo>
                                <a:pt x="0" y="1425"/>
                              </a:lnTo>
                              <a:lnTo>
                                <a:pt x="855" y="60"/>
                              </a:lnTo>
                              <a:lnTo>
                                <a:pt x="1290" y="150"/>
                              </a:lnTo>
                              <a:lnTo>
                                <a:pt x="1485" y="315"/>
                              </a:lnTo>
                              <a:lnTo>
                                <a:pt x="1635" y="270"/>
                              </a:lnTo>
                              <a:lnTo>
                                <a:pt x="1695" y="60"/>
                              </a:lnTo>
                              <a:lnTo>
                                <a:pt x="1800" y="45"/>
                              </a:lnTo>
                              <a:lnTo>
                                <a:pt x="2055" y="135"/>
                              </a:lnTo>
                              <a:lnTo>
                                <a:pt x="2205" y="0"/>
                              </a:lnTo>
                              <a:lnTo>
                                <a:pt x="3060" y="180"/>
                              </a:lnTo>
                              <a:lnTo>
                                <a:pt x="2685" y="1740"/>
                              </a:lnTo>
                              <a:lnTo>
                                <a:pt x="165" y="1695"/>
                              </a:lnTo>
                              <a:close/>
                            </a:path>
                          </a:pathLst>
                        </a:custGeom>
                        <a:solidFill>
                          <a:srgbClr val="FFFF00">
                            <a:alpha val="20000"/>
                          </a:srgbClr>
                        </a:solidFill>
                        <a:ln w="9525"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任意多边形 104" o:spid="_x0000_s1026" o:spt="100" style="position:absolute;left:0pt;margin-left:223.75pt;margin-top:321.05pt;height:87pt;width:153pt;z-index:251673600;mso-width-relative:page;mso-height-relative:page;" fillcolor="#FFFF00" filled="t" stroked="t" coordsize="3060,1740" o:gfxdata="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Cqmecd2QAAAAsBAAAPAAAAAAAAAAEAIAAAACIAAABkcnMvZG93bnJldi54bWxQSwEC&#10;FAAUAAAACACHTuJA4cMS5tcCAADeBgAADgAAAAAAAAABACAAAAAoAQAAZHJzL2Uyb0RvYy54bWxQ&#10;SwUGAAAAAAYABgBZAQAAcQYAAAAA&#10;" path="m165,1695l0,1425,855,60,1290,150,1485,315,1635,270,1695,60,1800,45,2055,135,2205,0,3060,180,2685,1740,165,1695xe">
                <v:fill on="t" opacity="13107f" focussize="0,0"/>
                <v:stroke color="#FFFF00" joinstyle="round"/>
                <v:imagedata o:title=""/>
                <o:lock v:ext="edit" aspectratio="f"/>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2146300</wp:posOffset>
                </wp:positionH>
                <wp:positionV relativeFrom="paragraph">
                  <wp:posOffset>10160</wp:posOffset>
                </wp:positionV>
                <wp:extent cx="3105150" cy="1571625"/>
                <wp:effectExtent l="4445" t="4445" r="14605" b="5080"/>
                <wp:wrapNone/>
                <wp:docPr id="13" name="任意多边形 102"/>
                <wp:cNvGraphicFramePr/>
                <a:graphic xmlns:a="http://schemas.openxmlformats.org/drawingml/2006/main">
                  <a:graphicData uri="http://schemas.microsoft.com/office/word/2010/wordprocessingShape">
                    <wps:wsp>
                      <wps:cNvSpPr/>
                      <wps:spPr>
                        <a:xfrm>
                          <a:off x="0" y="0"/>
                          <a:ext cx="3105150" cy="1571625"/>
                        </a:xfrm>
                        <a:custGeom>
                          <a:avLst/>
                          <a:gdLst/>
                          <a:ahLst/>
                          <a:cxnLst/>
                          <a:pathLst>
                            <a:path w="4890" h="2475">
                              <a:moveTo>
                                <a:pt x="210" y="15"/>
                              </a:moveTo>
                              <a:lnTo>
                                <a:pt x="0" y="390"/>
                              </a:lnTo>
                              <a:lnTo>
                                <a:pt x="0" y="450"/>
                              </a:lnTo>
                              <a:lnTo>
                                <a:pt x="345" y="495"/>
                              </a:lnTo>
                              <a:lnTo>
                                <a:pt x="150" y="1050"/>
                              </a:lnTo>
                              <a:lnTo>
                                <a:pt x="240" y="1155"/>
                              </a:lnTo>
                              <a:lnTo>
                                <a:pt x="255" y="1425"/>
                              </a:lnTo>
                              <a:lnTo>
                                <a:pt x="300" y="1830"/>
                              </a:lnTo>
                              <a:lnTo>
                                <a:pt x="840" y="1905"/>
                              </a:lnTo>
                              <a:lnTo>
                                <a:pt x="840" y="2085"/>
                              </a:lnTo>
                              <a:lnTo>
                                <a:pt x="1485" y="2160"/>
                              </a:lnTo>
                              <a:lnTo>
                                <a:pt x="1545" y="2385"/>
                              </a:lnTo>
                              <a:lnTo>
                                <a:pt x="2460" y="2475"/>
                              </a:lnTo>
                              <a:lnTo>
                                <a:pt x="2550" y="2010"/>
                              </a:lnTo>
                              <a:lnTo>
                                <a:pt x="2805" y="1980"/>
                              </a:lnTo>
                              <a:lnTo>
                                <a:pt x="3180" y="1845"/>
                              </a:lnTo>
                              <a:lnTo>
                                <a:pt x="3630" y="1740"/>
                              </a:lnTo>
                              <a:lnTo>
                                <a:pt x="3960" y="1560"/>
                              </a:lnTo>
                              <a:lnTo>
                                <a:pt x="4275" y="1125"/>
                              </a:lnTo>
                              <a:lnTo>
                                <a:pt x="4320" y="960"/>
                              </a:lnTo>
                              <a:lnTo>
                                <a:pt x="4635" y="945"/>
                              </a:lnTo>
                              <a:lnTo>
                                <a:pt x="4815" y="885"/>
                              </a:lnTo>
                              <a:lnTo>
                                <a:pt x="4890" y="360"/>
                              </a:lnTo>
                              <a:lnTo>
                                <a:pt x="4770" y="210"/>
                              </a:lnTo>
                              <a:lnTo>
                                <a:pt x="4320" y="210"/>
                              </a:lnTo>
                              <a:lnTo>
                                <a:pt x="4215" y="0"/>
                              </a:lnTo>
                              <a:lnTo>
                                <a:pt x="210" y="15"/>
                              </a:lnTo>
                              <a:close/>
                            </a:path>
                          </a:pathLst>
                        </a:custGeom>
                        <a:solidFill>
                          <a:srgbClr val="FFFF00">
                            <a:alpha val="20000"/>
                          </a:srgbClr>
                        </a:solidFill>
                        <a:ln w="9525"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任意多边形 102" o:spid="_x0000_s1026" o:spt="100" style="position:absolute;left:0pt;margin-left:169pt;margin-top:0.8pt;height:123.75pt;width:244.5pt;z-index:251672576;mso-width-relative:page;mso-height-relative:page;" fillcolor="#FFFF00" filled="t" stroked="t" coordsize="4890,2475" o:gfxdata="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PqadCrWAAAACQEAAA8AAAAAAAAAAQAgAAAAIgAAAGRycy9kb3ducmV2LnhtbFBLAQIUABQA&#10;AAAIAIdO4kBwU27BSAMAAB8JAAAOAAAAAAAAAAEAIAAAACUBAABkcnMvZTJvRG9jLnhtbFBLBQYA&#10;AAAABgAGAFkBAADfBgAAAAA=&#10;" path="m210,15l0,390,0,450,345,495,150,1050,240,1155,255,1425,300,1830,840,1905,840,2085,1485,2160,1545,2385,2460,2475,2550,2010,2805,1980,3180,1845,3630,1740,3960,1560,4275,1125,4320,960,4635,945,4815,885,4890,360,4770,210,4320,210,4215,0,210,15xe">
                <v:fill on="t" opacity="13107f" focussize="0,0"/>
                <v:stroke color="#FFFF00" joinstyle="round"/>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68480" behindDoc="0" locked="0" layoutInCell="1" allowOverlap="1">
            <wp:simplePos x="0" y="0"/>
            <wp:positionH relativeFrom="column">
              <wp:posOffset>7745730</wp:posOffset>
            </wp:positionH>
            <wp:positionV relativeFrom="paragraph">
              <wp:posOffset>11430</wp:posOffset>
            </wp:positionV>
            <wp:extent cx="1474470" cy="1376680"/>
            <wp:effectExtent l="0" t="0" r="11430" b="1397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r>
        <w:drawing>
          <wp:inline distT="0" distB="0" distL="114300" distR="114300">
            <wp:extent cx="9247505" cy="5475605"/>
            <wp:effectExtent l="0" t="0" r="10795" b="10795"/>
            <wp:docPr id="49"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5"/>
                    <pic:cNvPicPr>
                      <a:picLocks noChangeAspect="1"/>
                    </pic:cNvPicPr>
                  </pic:nvPicPr>
                  <pic:blipFill>
                    <a:blip r:embed="rId63"/>
                    <a:stretch>
                      <a:fillRect/>
                    </a:stretch>
                  </pic:blipFill>
                  <pic:spPr>
                    <a:xfrm>
                      <a:off x="0" y="0"/>
                      <a:ext cx="9247505" cy="5475605"/>
                    </a:xfrm>
                    <a:prstGeom prst="rect">
                      <a:avLst/>
                    </a:prstGeom>
                    <a:noFill/>
                    <a:ln>
                      <a:noFill/>
                    </a:ln>
                  </pic:spPr>
                </pic:pic>
              </a:graphicData>
            </a:graphic>
          </wp:inline>
        </w:drawing>
      </w:r>
    </w:p>
    <w:p w14:paraId="5229D939">
      <w:pPr>
        <w:jc w:val="both"/>
        <w:rPr>
          <w:rFonts w:hint="default" w:ascii="Times New Roman" w:hAnsi="Times New Roman" w:cs="Times New Roman"/>
          <w:b/>
          <w:color w:val="auto"/>
          <w:sz w:val="24"/>
        </w:rPr>
      </w:pPr>
    </w:p>
    <w:p w14:paraId="689D2B2C">
      <w:pPr>
        <w:jc w:val="both"/>
        <w:rPr>
          <w:rFonts w:hint="default" w:ascii="Times New Roman" w:hAnsi="Times New Roman" w:cs="Times New Roman"/>
          <w:b/>
          <w:color w:val="auto"/>
          <w:sz w:val="24"/>
        </w:rPr>
        <w:sectPr>
          <w:headerReference r:id="rId17" w:type="default"/>
          <w:pgSz w:w="16838" w:h="11906" w:orient="landscape"/>
          <w:pgMar w:top="1134" w:right="1134" w:bottom="1134" w:left="1134"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27456B1">
      <w:pPr>
        <w:pStyle w:val="2"/>
        <w:ind w:left="0" w:leftChars="0" w:firstLine="0" w:firstLineChars="0"/>
        <w:rPr>
          <w:rFonts w:hint="eastAsia"/>
          <w:lang w:val="en-US" w:eastAsia="zh-CN"/>
        </w:rPr>
      </w:pPr>
      <w:r>
        <w:rPr>
          <w:rFonts w:hint="default" w:ascii="Times New Roman" w:hAnsi="Times New Roman" w:eastAsia="宋体" w:cs="Times New Roman"/>
          <w:b/>
          <w:color w:val="auto"/>
          <w:sz w:val="24"/>
        </w:rPr>
        <w:t>附图</w:t>
      </w:r>
      <w:r>
        <w:rPr>
          <w:rFonts w:hint="eastAsia" w:ascii="Times New Roman" w:hAnsi="Times New Roman" w:eastAsia="宋体" w:cs="Times New Roman"/>
          <w:b/>
          <w:color w:val="auto"/>
          <w:sz w:val="24"/>
          <w:lang w:val="en-US" w:eastAsia="zh-CN"/>
        </w:rPr>
        <w:t>3、项目周边环境概况图</w:t>
      </w:r>
      <w:r>
        <w:rPr>
          <w:rFonts w:hint="default" w:ascii="Times New Roman" w:hAnsi="Times New Roman" w:cs="Times New Roman"/>
          <w:color w:val="auto"/>
        </w:rPr>
        <w:drawing>
          <wp:anchor distT="0" distB="0" distL="114300" distR="114300" simplePos="0" relativeHeight="251685888" behindDoc="0" locked="0" layoutInCell="1" allowOverlap="1">
            <wp:simplePos x="0" y="0"/>
            <wp:positionH relativeFrom="column">
              <wp:posOffset>7745730</wp:posOffset>
            </wp:positionH>
            <wp:positionV relativeFrom="paragraph">
              <wp:posOffset>208915</wp:posOffset>
            </wp:positionV>
            <wp:extent cx="1474470" cy="1376680"/>
            <wp:effectExtent l="0" t="0" r="11430" b="13970"/>
            <wp:wrapNone/>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p>
    <w:p w14:paraId="18143C16">
      <w:pPr>
        <w:pStyle w:val="2"/>
        <w:ind w:left="0" w:leftChars="0" w:firstLine="0" w:firstLineChars="0"/>
        <w:jc w:val="center"/>
        <w:rPr>
          <w:rFonts w:hint="eastAsia" w:eastAsia="宋体"/>
          <w:lang w:val="en-US" w:eastAsia="zh-CN"/>
        </w:rPr>
      </w:pPr>
      <w:r>
        <w:rPr>
          <w:sz w:val="21"/>
        </w:rPr>
        <mc:AlternateContent>
          <mc:Choice Requires="wps">
            <w:drawing>
              <wp:anchor distT="0" distB="0" distL="114300" distR="114300" simplePos="0" relativeHeight="251693056" behindDoc="0" locked="0" layoutInCell="1" allowOverlap="1">
                <wp:simplePos x="0" y="0"/>
                <wp:positionH relativeFrom="column">
                  <wp:posOffset>4972685</wp:posOffset>
                </wp:positionH>
                <wp:positionV relativeFrom="paragraph">
                  <wp:posOffset>2917190</wp:posOffset>
                </wp:positionV>
                <wp:extent cx="2338705" cy="391795"/>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233870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58EF2F">
                            <w:pPr>
                              <w:jc w:val="center"/>
                              <w:rPr>
                                <w:rFonts w:hint="default" w:eastAsia="宋体"/>
                                <w:b/>
                                <w:bCs/>
                                <w:color w:val="FF0000"/>
                                <w:sz w:val="24"/>
                                <w:szCs w:val="32"/>
                                <w:highlight w:val="yellow"/>
                                <w:lang w:val="en-US" w:eastAsia="zh-CN"/>
                              </w:rPr>
                            </w:pPr>
                            <w:r>
                              <w:rPr>
                                <w:rFonts w:hint="eastAsia"/>
                                <w:b/>
                                <w:bCs/>
                                <w:color w:val="FF0000"/>
                                <w:sz w:val="24"/>
                                <w:szCs w:val="32"/>
                                <w:highlight w:val="yellow"/>
                                <w:lang w:val="en-US" w:eastAsia="zh-CN"/>
                              </w:rPr>
                              <w:t>闲置厂房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55pt;margin-top:229.7pt;height:30.85pt;width:184.15pt;z-index:251693056;mso-width-relative:page;mso-height-relative:page;" filled="f" stroked="f" coordsize="21600,21600" o:gfxdata="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vutwHcAAAADAEAAA8AAAAAAAAAAQAgAAAAIgAA&#10;AGRycy9kb3ducmV2LnhtbFBLAQIUABQAAAAIAIdO4kCjiAC9PQIAAGgEAAAOAAAAAAAAAAEAIAAA&#10;ACsBAABkcnMvZTJvRG9jLnhtbFBLBQYAAAAABgAGAFkBAADaBQAAAAA=&#10;">
                <v:fill on="f" focussize="0,0"/>
                <v:stroke on="f" weight="0.5pt"/>
                <v:imagedata o:title=""/>
                <o:lock v:ext="edit" aspectratio="f"/>
                <v:textbox>
                  <w:txbxContent>
                    <w:p w14:paraId="6F58EF2F">
                      <w:pPr>
                        <w:jc w:val="center"/>
                        <w:rPr>
                          <w:rFonts w:hint="default" w:eastAsia="宋体"/>
                          <w:b/>
                          <w:bCs/>
                          <w:color w:val="FF0000"/>
                          <w:sz w:val="24"/>
                          <w:szCs w:val="32"/>
                          <w:highlight w:val="yellow"/>
                          <w:lang w:val="en-US" w:eastAsia="zh-CN"/>
                        </w:rPr>
                      </w:pPr>
                      <w:r>
                        <w:rPr>
                          <w:rFonts w:hint="eastAsia"/>
                          <w:b/>
                          <w:bCs/>
                          <w:color w:val="FF0000"/>
                          <w:sz w:val="24"/>
                          <w:szCs w:val="32"/>
                          <w:highlight w:val="yellow"/>
                          <w:lang w:val="en-US" w:eastAsia="zh-CN"/>
                        </w:rPr>
                        <w:t>闲置厂房</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3605530</wp:posOffset>
                </wp:positionH>
                <wp:positionV relativeFrom="paragraph">
                  <wp:posOffset>1172845</wp:posOffset>
                </wp:positionV>
                <wp:extent cx="4349750" cy="4232275"/>
                <wp:effectExtent l="12700" t="12700" r="19050" b="22225"/>
                <wp:wrapNone/>
                <wp:docPr id="76" name="任意多边形 76"/>
                <wp:cNvGraphicFramePr/>
                <a:graphic xmlns:a="http://schemas.openxmlformats.org/drawingml/2006/main">
                  <a:graphicData uri="http://schemas.microsoft.com/office/word/2010/wordprocessingShape">
                    <wps:wsp>
                      <wps:cNvSpPr/>
                      <wps:spPr>
                        <a:xfrm>
                          <a:off x="4325620" y="2166620"/>
                          <a:ext cx="4349750" cy="4232275"/>
                        </a:xfrm>
                        <a:custGeom>
                          <a:avLst/>
                          <a:gdLst>
                            <a:gd name="connisteX0" fmla="*/ 2275205 w 4349750"/>
                            <a:gd name="connsiteY0" fmla="*/ 0 h 4232275"/>
                            <a:gd name="connisteX1" fmla="*/ 973455 w 4349750"/>
                            <a:gd name="connsiteY1" fmla="*/ 2771775 h 4232275"/>
                            <a:gd name="connisteX2" fmla="*/ 295910 w 4349750"/>
                            <a:gd name="connsiteY2" fmla="*/ 2667000 h 4232275"/>
                            <a:gd name="connisteX3" fmla="*/ 0 w 4349750"/>
                            <a:gd name="connsiteY3" fmla="*/ 3248025 h 4232275"/>
                            <a:gd name="connisteX4" fmla="*/ 1524000 w 4349750"/>
                            <a:gd name="connsiteY4" fmla="*/ 3862070 h 4232275"/>
                            <a:gd name="connisteX5" fmla="*/ 3111500 w 4349750"/>
                            <a:gd name="connsiteY5" fmla="*/ 4232275 h 4232275"/>
                            <a:gd name="connisteX6" fmla="*/ 4349750 w 4349750"/>
                            <a:gd name="connsiteY6" fmla="*/ 1270000 h 4232275"/>
                            <a:gd name="connisteX7" fmla="*/ 3121660 w 4349750"/>
                            <a:gd name="connsiteY7" fmla="*/ 803275 h 4232275"/>
                            <a:gd name="connisteX8" fmla="*/ 3407410 w 4349750"/>
                            <a:gd name="connsiteY8" fmla="*/ 73025 h 4232275"/>
                            <a:gd name="connisteX9" fmla="*/ 2286000 w 4349750"/>
                            <a:gd name="connsiteY9" fmla="*/ 31750 h 4232275"/>
                            <a:gd name="connisteX10" fmla="*/ 2275205 w 4349750"/>
                            <a:gd name="connsiteY10" fmla="*/ 0 h 42322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4349750" h="4232275">
                              <a:moveTo>
                                <a:pt x="2275205" y="0"/>
                              </a:moveTo>
                              <a:lnTo>
                                <a:pt x="973455" y="2771775"/>
                              </a:lnTo>
                              <a:lnTo>
                                <a:pt x="295910" y="2667000"/>
                              </a:lnTo>
                              <a:lnTo>
                                <a:pt x="0" y="3248025"/>
                              </a:lnTo>
                              <a:lnTo>
                                <a:pt x="1524000" y="3862070"/>
                              </a:lnTo>
                              <a:lnTo>
                                <a:pt x="3111500" y="4232275"/>
                              </a:lnTo>
                              <a:lnTo>
                                <a:pt x="4349750" y="1270000"/>
                              </a:lnTo>
                              <a:lnTo>
                                <a:pt x="3121660" y="803275"/>
                              </a:lnTo>
                              <a:lnTo>
                                <a:pt x="3407410" y="73025"/>
                              </a:lnTo>
                              <a:lnTo>
                                <a:pt x="2286000" y="31750"/>
                              </a:lnTo>
                              <a:lnTo>
                                <a:pt x="2275205" y="0"/>
                              </a:lnTo>
                              <a:close/>
                            </a:path>
                          </a:pathLst>
                        </a:custGeom>
                        <a:solidFill>
                          <a:srgbClr val="FFFF00">
                            <a:alpha val="20000"/>
                          </a:srgb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3.9pt;margin-top:92.35pt;height:333.25pt;width:342.5pt;z-index:251692032;mso-width-relative:page;mso-height-relative:page;" fillcolor="#FFFF00" filled="t" stroked="t" coordsize="4349750,4232275" o:gfxdata="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" path="m2275205,0l973455,2771775,295910,2667000,0,3248025,1524000,3862070,3111500,4232275,4349750,1270000,3121660,803275,3407410,73025,2286000,31750,2275205,0xe">
                <v:path o:connectlocs="2275205,0;973455,2771775;295910,2667000;0,3248025;1524000,3862070;3111500,4232275;4349750,1270000;3121660,803275;3407410,73025;2286000,31750;2275205,0" o:connectangles="0,0,0,0,0,0,0,0,0,0,0"/>
                <v:fill on="t" opacity="13107f"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1708785</wp:posOffset>
                </wp:positionH>
                <wp:positionV relativeFrom="paragraph">
                  <wp:posOffset>2743200</wp:posOffset>
                </wp:positionV>
                <wp:extent cx="2338705" cy="39179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233870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039D05">
                            <w:pPr>
                              <w:jc w:val="center"/>
                              <w:rPr>
                                <w:rFonts w:hint="default" w:eastAsia="宋体"/>
                                <w:b/>
                                <w:bCs/>
                                <w:color w:val="FF0000"/>
                                <w:sz w:val="24"/>
                                <w:szCs w:val="32"/>
                                <w:highlight w:val="yellow"/>
                                <w:lang w:val="en-US" w:eastAsia="zh-CN"/>
                              </w:rPr>
                            </w:pPr>
                            <w:r>
                              <w:rPr>
                                <w:rFonts w:hint="eastAsia"/>
                                <w:b/>
                                <w:bCs/>
                                <w:color w:val="FF0000"/>
                                <w:sz w:val="24"/>
                                <w:szCs w:val="32"/>
                                <w:highlight w:val="yellow"/>
                                <w:lang w:val="en-US" w:eastAsia="zh-CN"/>
                              </w:rPr>
                              <w:t>孝妇河东路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4.55pt;margin-top:216pt;height:30.85pt;width:184.15pt;z-index:251691008;mso-width-relative:page;mso-height-relative:page;" filled="f" stroked="f" coordsize="21600,21600" o:gfxdata="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FadXNwAAAALAQAADwAAAAAAAAABACAAAAAi&#10;AAAAZHJzL2Rvd25yZXYueG1sUEsBAhQAFAAAAAgAh07iQMh53XA/AgAAaAQAAA4AAAAAAAAAAQAg&#10;AAAAKwEAAGRycy9lMm9Eb2MueG1sUEsFBgAAAAAGAAYAWQEAANwFAAAAAA==&#10;">
                <v:fill on="f" focussize="0,0"/>
                <v:stroke on="f" weight="0.5pt"/>
                <v:imagedata o:title=""/>
                <o:lock v:ext="edit" aspectratio="f"/>
                <v:textbox>
                  <w:txbxContent>
                    <w:p w14:paraId="70039D05">
                      <w:pPr>
                        <w:jc w:val="center"/>
                        <w:rPr>
                          <w:rFonts w:hint="default" w:eastAsia="宋体"/>
                          <w:b/>
                          <w:bCs/>
                          <w:color w:val="FF0000"/>
                          <w:sz w:val="24"/>
                          <w:szCs w:val="32"/>
                          <w:highlight w:val="yellow"/>
                          <w:lang w:val="en-US" w:eastAsia="zh-CN"/>
                        </w:rPr>
                      </w:pPr>
                      <w:r>
                        <w:rPr>
                          <w:rFonts w:hint="eastAsia"/>
                          <w:b/>
                          <w:bCs/>
                          <w:color w:val="FF0000"/>
                          <w:sz w:val="24"/>
                          <w:szCs w:val="32"/>
                          <w:highlight w:val="yellow"/>
                          <w:lang w:val="en-US" w:eastAsia="zh-CN"/>
                        </w:rPr>
                        <w:t>孝妇河东路</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4191000</wp:posOffset>
                </wp:positionH>
                <wp:positionV relativeFrom="paragraph">
                  <wp:posOffset>4908550</wp:posOffset>
                </wp:positionV>
                <wp:extent cx="2201545" cy="762000"/>
                <wp:effectExtent l="9525" t="27305" r="17780" b="29845"/>
                <wp:wrapNone/>
                <wp:docPr id="74" name="直接连接符 74"/>
                <wp:cNvGraphicFramePr/>
                <a:graphic xmlns:a="http://schemas.openxmlformats.org/drawingml/2006/main">
                  <a:graphicData uri="http://schemas.microsoft.com/office/word/2010/wordprocessingShape">
                    <wps:wsp>
                      <wps:cNvCnPr/>
                      <wps:spPr>
                        <a:xfrm>
                          <a:off x="0" y="0"/>
                          <a:ext cx="2201545" cy="762000"/>
                        </a:xfrm>
                        <a:prstGeom prst="line">
                          <a:avLst/>
                        </a:prstGeom>
                        <a:ln w="57150">
                          <a:solidFill>
                            <a:srgbClr val="0070C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0pt;margin-top:386.5pt;height:60pt;width:173.35pt;z-index:251689984;mso-width-relative:page;mso-height-relative:page;" filled="f" stroked="t" coordsize="21600,21600" o:gfxdata="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fv0lL1gAAAAwBAAAP&#10;AAAAAAAAAAEAIAAAACIAAABkcnMvZG93bnJldi54bWxQSwECFAAUAAAACACHTuJAYzjHsuEBAACi&#10;AwAADgAAAAAAAAABACAAAAAlAQAAZHJzL2Uyb0RvYy54bWxQSwUGAAAAAAYABgBZAQAAeAUAAAAA&#10;">
                <v:fill on="f" focussize="0,0"/>
                <v:stroke weight="4.5pt" color="#0070C0 [3204]" joinstyle="round"/>
                <v:imagedata o:title=""/>
                <o:lock v:ext="edit" aspectratio="f"/>
              </v:lin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10795</wp:posOffset>
                </wp:positionH>
                <wp:positionV relativeFrom="paragraph">
                  <wp:posOffset>2305050</wp:posOffset>
                </wp:positionV>
                <wp:extent cx="4201795" cy="2603500"/>
                <wp:effectExtent l="15240" t="24130" r="31115" b="39370"/>
                <wp:wrapNone/>
                <wp:docPr id="73" name="直接连接符 73"/>
                <wp:cNvGraphicFramePr/>
                <a:graphic xmlns:a="http://schemas.openxmlformats.org/drawingml/2006/main">
                  <a:graphicData uri="http://schemas.microsoft.com/office/word/2010/wordprocessingShape">
                    <wps:wsp>
                      <wps:cNvCnPr/>
                      <wps:spPr>
                        <a:xfrm>
                          <a:off x="0" y="0"/>
                          <a:ext cx="4201795" cy="2603500"/>
                        </a:xfrm>
                        <a:prstGeom prst="line">
                          <a:avLst/>
                        </a:prstGeom>
                        <a:ln w="57150">
                          <a:solidFill>
                            <a:srgbClr val="0070C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85pt;margin-top:181.5pt;height:205pt;width:330.85pt;z-index:251688960;mso-width-relative:page;mso-height-relative:page;" filled="f" stroked="t" coordsize="21600,21600" o:gfxdata="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IuBc7UAAAACQEAAA8A&#10;AAAAAAAAAQAgAAAAIgAAAGRycy9kb3ducmV2LnhtbFBLAQIUABQAAAAIAIdO4kBExX4r4gEAAKMD&#10;AAAOAAAAAAAAAAEAIAAAACMBAABkcnMvZTJvRG9jLnhtbFBLBQYAAAAABgAGAFkBAAB3BQAAAAA=&#10;">
                <v:fill on="f" focussize="0,0"/>
                <v:stroke weight="4.5pt" color="#0070C0 [3204]" joinstyle="round"/>
                <v:imagedata o:title=""/>
                <o:lock v:ext="edit" aspectratio="f"/>
              </v:lin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2021840</wp:posOffset>
                </wp:positionH>
                <wp:positionV relativeFrom="paragraph">
                  <wp:posOffset>82550</wp:posOffset>
                </wp:positionV>
                <wp:extent cx="4561205" cy="3449955"/>
                <wp:effectExtent l="17145" t="22860" r="31750" b="32385"/>
                <wp:wrapNone/>
                <wp:docPr id="72" name="直接连接符 72"/>
                <wp:cNvGraphicFramePr/>
                <a:graphic xmlns:a="http://schemas.openxmlformats.org/drawingml/2006/main">
                  <a:graphicData uri="http://schemas.microsoft.com/office/word/2010/wordprocessingShape">
                    <wps:wsp>
                      <wps:cNvCnPr/>
                      <wps:spPr>
                        <a:xfrm flipH="1">
                          <a:off x="2741930" y="1150620"/>
                          <a:ext cx="4561205" cy="3449955"/>
                        </a:xfrm>
                        <a:prstGeom prst="line">
                          <a:avLst/>
                        </a:prstGeom>
                        <a:ln w="57150">
                          <a:solidFill>
                            <a:srgbClr val="0070C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59.2pt;margin-top:6.5pt;height:271.65pt;width:359.15pt;z-index:251687936;mso-width-relative:page;mso-height-relative:page;" filled="f" stroked="t" coordsize="21600,21600" o:gfxdata="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TMvObZAAAACwEAAA8AAAAAAAAAAQAgAAAAIgAAAGRycy9kb3ducmV2Lnht&#10;bFBLAQIUABQAAAAIAIdO4kDUzN9t+AEAALkDAAAOAAAAAAAAAAEAIAAAACgBAABkcnMvZTJvRG9j&#10;LnhtbFBLBQYAAAAABgAGAFkBAACSBQAAAAA=&#10;">
                <v:fill on="f" focussize="0,0"/>
                <v:stroke weight="4.5pt" color="#0070C0 [3204]" joinstyle="round"/>
                <v:imagedata o:title=""/>
                <o:lock v:ext="edit" aspectratio="f"/>
              </v:lin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1270635</wp:posOffset>
                </wp:positionH>
                <wp:positionV relativeFrom="paragraph">
                  <wp:posOffset>823595</wp:posOffset>
                </wp:positionV>
                <wp:extent cx="2338705" cy="391795"/>
                <wp:effectExtent l="0" t="0" r="0" b="0"/>
                <wp:wrapNone/>
                <wp:docPr id="71" name="文本框 71"/>
                <wp:cNvGraphicFramePr/>
                <a:graphic xmlns:a="http://schemas.openxmlformats.org/drawingml/2006/main">
                  <a:graphicData uri="http://schemas.microsoft.com/office/word/2010/wordprocessingShape">
                    <wps:wsp>
                      <wps:cNvSpPr txBox="1"/>
                      <wps:spPr>
                        <a:xfrm>
                          <a:off x="1979930" y="1468120"/>
                          <a:ext cx="233870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7B3162">
                            <w:pPr>
                              <w:jc w:val="center"/>
                              <w:rPr>
                                <w:rFonts w:hint="eastAsia" w:eastAsia="宋体"/>
                                <w:b/>
                                <w:bCs/>
                                <w:color w:val="FF0000"/>
                                <w:sz w:val="24"/>
                                <w:szCs w:val="32"/>
                                <w:highlight w:val="yellow"/>
                                <w:lang w:val="en-US" w:eastAsia="zh-CN"/>
                              </w:rPr>
                            </w:pPr>
                            <w:r>
                              <w:rPr>
                                <w:rFonts w:hint="eastAsia"/>
                                <w:b/>
                                <w:bCs/>
                                <w:color w:val="FF0000"/>
                                <w:sz w:val="24"/>
                                <w:szCs w:val="32"/>
                                <w:highlight w:val="yellow"/>
                                <w:lang w:val="en-US" w:eastAsia="zh-CN"/>
                              </w:rPr>
                              <w:t>孝妇河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05pt;margin-top:64.85pt;height:30.85pt;width:184.15pt;z-index:251686912;mso-width-relative:page;mso-height-relative:page;" filled="f" stroked="f" coordsize="21600,21600" o:gfxdata="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htP0a2wAAAAsBAAAPAAAAAAAA&#10;AAEAIAAAACIAAABkcnMvZG93bnJldi54bWxQSwECFAAUAAAACACHTuJAW7q/bEgCAAB0BAAADgAA&#10;AAAAAAABACAAAAAqAQAAZHJzL2Uyb0RvYy54bWxQSwUGAAAAAAYABgBZAQAA5AUAAAAA&#10;">
                <v:fill on="f" focussize="0,0"/>
                <v:stroke on="f" weight="0.5pt"/>
                <v:imagedata o:title=""/>
                <o:lock v:ext="edit" aspectratio="f"/>
                <v:textbox>
                  <w:txbxContent>
                    <w:p w14:paraId="567B3162">
                      <w:pPr>
                        <w:jc w:val="center"/>
                        <w:rPr>
                          <w:rFonts w:hint="eastAsia" w:eastAsia="宋体"/>
                          <w:b/>
                          <w:bCs/>
                          <w:color w:val="FF0000"/>
                          <w:sz w:val="24"/>
                          <w:szCs w:val="32"/>
                          <w:highlight w:val="yellow"/>
                          <w:lang w:val="en-US" w:eastAsia="zh-CN"/>
                        </w:rPr>
                      </w:pPr>
                      <w:r>
                        <w:rPr>
                          <w:rFonts w:hint="eastAsia"/>
                          <w:b/>
                          <w:bCs/>
                          <w:color w:val="FF0000"/>
                          <w:sz w:val="24"/>
                          <w:szCs w:val="32"/>
                          <w:highlight w:val="yellow"/>
                          <w:lang w:val="en-US" w:eastAsia="zh-CN"/>
                        </w:rPr>
                        <w:t>孝妇河</w:t>
                      </w:r>
                    </w:p>
                  </w:txbxContent>
                </v:textbox>
              </v:shape>
            </w:pict>
          </mc:Fallback>
        </mc:AlternateContent>
      </w:r>
      <w:r>
        <w:drawing>
          <wp:inline distT="0" distB="0" distL="114300" distR="114300">
            <wp:extent cx="9243060" cy="5699125"/>
            <wp:effectExtent l="0" t="0" r="0" b="0"/>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64"/>
                    <a:srcRect t="3130"/>
                    <a:stretch>
                      <a:fillRect/>
                    </a:stretch>
                  </pic:blipFill>
                  <pic:spPr>
                    <a:xfrm>
                      <a:off x="0" y="0"/>
                      <a:ext cx="9243060" cy="5699125"/>
                    </a:xfrm>
                    <a:prstGeom prst="rect">
                      <a:avLst/>
                    </a:prstGeom>
                    <a:noFill/>
                    <a:ln>
                      <a:noFill/>
                    </a:ln>
                  </pic:spPr>
                </pic:pic>
              </a:graphicData>
            </a:graphic>
          </wp:inline>
        </w:drawing>
      </w:r>
    </w:p>
    <w:p w14:paraId="5AFC1527">
      <w:pPr>
        <w:jc w:val="both"/>
        <w:rPr>
          <w:rFonts w:hint="default" w:ascii="Times New Roman" w:hAnsi="Times New Roman" w:cs="Times New Roman"/>
          <w:b/>
          <w:color w:val="auto"/>
          <w:sz w:val="24"/>
        </w:rPr>
        <w:sectPr>
          <w:pgSz w:w="16838" w:h="11906" w:orient="landscape"/>
          <w:pgMar w:top="1134" w:right="1134" w:bottom="1134" w:left="1134"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190653C3">
      <w:pPr>
        <w:jc w:val="both"/>
        <w:rPr>
          <w:rFonts w:hint="default" w:ascii="Times New Roman" w:hAnsi="Times New Roman" w:cs="Times New Roman"/>
          <w:b/>
          <w:color w:val="auto"/>
          <w:sz w:val="24"/>
        </w:rPr>
      </w:pPr>
      <w:r>
        <w:rPr>
          <w:rFonts w:hint="default" w:ascii="Times New Roman" w:hAnsi="Times New Roman" w:cs="Times New Roman"/>
          <w:b/>
          <w:color w:val="auto"/>
          <w:sz w:val="24"/>
        </w:rPr>
        <w:t>附图</w:t>
      </w:r>
      <w:r>
        <w:rPr>
          <w:rFonts w:hint="eastAsia" w:cs="Times New Roman"/>
          <w:b/>
          <w:color w:val="auto"/>
          <w:sz w:val="24"/>
          <w:lang w:val="en-US" w:eastAsia="zh-CN"/>
        </w:rPr>
        <w:t>4</w:t>
      </w:r>
      <w:r>
        <w:rPr>
          <w:rFonts w:hint="default" w:ascii="Times New Roman" w:hAnsi="Times New Roman" w:cs="Times New Roman"/>
          <w:b/>
          <w:color w:val="auto"/>
          <w:sz w:val="24"/>
          <w:lang w:eastAsia="zh-CN"/>
        </w:rPr>
        <w:t>、</w:t>
      </w:r>
      <w:r>
        <w:rPr>
          <w:rFonts w:hint="default" w:ascii="Times New Roman" w:hAnsi="Times New Roman" w:cs="Times New Roman"/>
          <w:b/>
          <w:color w:val="auto"/>
          <w:sz w:val="24"/>
        </w:rPr>
        <w:t>项目厂区平</w:t>
      </w:r>
      <w:r>
        <w:rPr>
          <w:rFonts w:hint="default" w:ascii="Times New Roman" w:hAnsi="Times New Roman" w:cs="Times New Roman"/>
          <w:color w:val="auto"/>
        </w:rPr>
        <mc:AlternateContent>
          <mc:Choice Requires="wps">
            <w:drawing>
              <wp:anchor distT="0" distB="0" distL="114300" distR="114300" simplePos="0" relativeHeight="251666432" behindDoc="0" locked="0" layoutInCell="1" allowOverlap="1">
                <wp:simplePos x="0" y="0"/>
                <wp:positionH relativeFrom="column">
                  <wp:posOffset>942975</wp:posOffset>
                </wp:positionH>
                <wp:positionV relativeFrom="paragraph">
                  <wp:posOffset>8308975</wp:posOffset>
                </wp:positionV>
                <wp:extent cx="499745" cy="271780"/>
                <wp:effectExtent l="0" t="0" r="0" b="0"/>
                <wp:wrapNone/>
                <wp:docPr id="7" name="文本框 21"/>
                <wp:cNvGraphicFramePr/>
                <a:graphic xmlns:a="http://schemas.openxmlformats.org/drawingml/2006/main">
                  <a:graphicData uri="http://schemas.microsoft.com/office/word/2010/wordprocessingShape">
                    <wps:wsp>
                      <wps:cNvSpPr txBox="1"/>
                      <wps:spPr>
                        <a:xfrm>
                          <a:off x="0" y="0"/>
                          <a:ext cx="499745" cy="271780"/>
                        </a:xfrm>
                        <a:prstGeom prst="rect">
                          <a:avLst/>
                        </a:prstGeom>
                        <a:noFill/>
                        <a:ln>
                          <a:noFill/>
                        </a:ln>
                        <a:effectLst/>
                      </wps:spPr>
                      <wps:txbx>
                        <w:txbxContent>
                          <w:p w14:paraId="13A98E70">
                            <w:pPr>
                              <w:rPr>
                                <w:b/>
                                <w:bCs/>
                                <w:sz w:val="24"/>
                              </w:rPr>
                            </w:pPr>
                            <w:r>
                              <w:rPr>
                                <w:rFonts w:hint="eastAsia"/>
                                <w:b/>
                                <w:bCs/>
                                <w:sz w:val="24"/>
                              </w:rPr>
                              <w:t>40m</w:t>
                            </w:r>
                          </w:p>
                        </w:txbxContent>
                      </wps:txbx>
                      <wps:bodyPr wrap="square" upright="1"/>
                    </wps:wsp>
                  </a:graphicData>
                </a:graphic>
              </wp:anchor>
            </w:drawing>
          </mc:Choice>
          <mc:Fallback>
            <w:pict>
              <v:shape id="文本框 21" o:spid="_x0000_s1026" o:spt="202" type="#_x0000_t202" style="position:absolute;left:0pt;margin-left:74.25pt;margin-top:654.25pt;height:21.4pt;width:39.35pt;z-index:251666432;mso-width-relative:page;mso-height-relative:page;" filled="f" stroked="f" coordsize="21600,21600" o:gfxdata="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I1WPHXAAAADQEAAA8AAAAAAAAAAQAgAAAAIgAAAGRycy9kb3ducmV2LnhtbFBL&#10;AQIUABQAAAAIAIdO4kBBC001vgEAAGoDAAAOAAAAAAAAAAEAIAAAACYBAABkcnMvZTJvRG9jLnht&#10;bFBLBQYAAAAABgAGAFkBAABWBQAAAAA=&#10;">
                <v:fill on="f" focussize="0,0"/>
                <v:stroke on="f"/>
                <v:imagedata o:title=""/>
                <o:lock v:ext="edit" aspectratio="f"/>
                <v:textbox>
                  <w:txbxContent>
                    <w:p w14:paraId="13A98E70">
                      <w:pPr>
                        <w:rPr>
                          <w:b/>
                          <w:bCs/>
                          <w:sz w:val="24"/>
                        </w:rPr>
                      </w:pPr>
                      <w:r>
                        <w:rPr>
                          <w:rFonts w:hint="eastAsia"/>
                          <w:b/>
                          <w:bCs/>
                          <w:sz w:val="24"/>
                        </w:rPr>
                        <w:t>40m</w:t>
                      </w:r>
                    </w:p>
                  </w:txbxContent>
                </v:textbox>
              </v:shape>
            </w:pict>
          </mc:Fallback>
        </mc:AlternateContent>
      </w:r>
      <w:r>
        <w:rPr>
          <w:rFonts w:hint="default" w:ascii="Times New Roman" w:hAnsi="Times New Roman" w:cs="Times New Roman"/>
          <w:b/>
          <w:color w:val="auto"/>
          <w:sz w:val="24"/>
        </w:rPr>
        <w:t>布面</w:t>
      </w:r>
      <w:r>
        <w:rPr>
          <w:rFonts w:hint="default" w:ascii="Times New Roman" w:hAnsi="Times New Roman" w:cs="Times New Roman"/>
          <w:color w:val="auto"/>
        </w:rPr>
        <mc:AlternateContent>
          <mc:Choice Requires="wps">
            <w:drawing>
              <wp:anchor distT="0" distB="0" distL="114300" distR="114300" simplePos="0" relativeHeight="251665408" behindDoc="0" locked="0" layoutInCell="1" allowOverlap="1">
                <wp:simplePos x="0" y="0"/>
                <wp:positionH relativeFrom="column">
                  <wp:posOffset>942975</wp:posOffset>
                </wp:positionH>
                <wp:positionV relativeFrom="paragraph">
                  <wp:posOffset>8308975</wp:posOffset>
                </wp:positionV>
                <wp:extent cx="499745" cy="27178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499745" cy="271780"/>
                        </a:xfrm>
                        <a:prstGeom prst="rect">
                          <a:avLst/>
                        </a:prstGeom>
                        <a:noFill/>
                        <a:ln>
                          <a:noFill/>
                        </a:ln>
                        <a:effectLst/>
                      </wps:spPr>
                      <wps:txbx>
                        <w:txbxContent>
                          <w:p w14:paraId="55EDE0F4">
                            <w:pPr>
                              <w:rPr>
                                <w:b/>
                                <w:bCs/>
                                <w:sz w:val="24"/>
                              </w:rPr>
                            </w:pPr>
                            <w:r>
                              <w:rPr>
                                <w:rFonts w:hint="eastAsia"/>
                                <w:b/>
                                <w:bCs/>
                                <w:sz w:val="24"/>
                              </w:rPr>
                              <w:t>40m</w:t>
                            </w:r>
                          </w:p>
                        </w:txbxContent>
                      </wps:txbx>
                      <wps:bodyPr wrap="square" upright="1"/>
                    </wps:wsp>
                  </a:graphicData>
                </a:graphic>
              </wp:anchor>
            </w:drawing>
          </mc:Choice>
          <mc:Fallback>
            <w:pict>
              <v:shape id="_x0000_s1026" o:spid="_x0000_s1026" o:spt="202" type="#_x0000_t202" style="position:absolute;left:0pt;margin-left:74.25pt;margin-top:654.25pt;height:21.4pt;width:39.35pt;z-index:251665408;mso-width-relative:page;mso-height-relative:page;" filled="f" stroked="f" coordsize="21600,21600" o:gfxdata="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I1WPHXAAAADQEAAA8AAAAAAAAAAQAgAAAAIgAAAGRycy9kb3ducmV2LnhtbFBL&#10;AQIUABQAAAAIAIdO4kBcjU3JvgEAAGsDAAAOAAAAAAAAAAEAIAAAACYBAABkcnMvZTJvRG9jLnht&#10;bFBLBQYAAAAABgAGAFkBAABWBQAAAAA=&#10;">
                <v:fill on="f" focussize="0,0"/>
                <v:stroke on="f"/>
                <v:imagedata o:title=""/>
                <o:lock v:ext="edit" aspectratio="f"/>
                <v:textbox>
                  <w:txbxContent>
                    <w:p w14:paraId="55EDE0F4">
                      <w:pPr>
                        <w:rPr>
                          <w:b/>
                          <w:bCs/>
                          <w:sz w:val="24"/>
                        </w:rPr>
                      </w:pPr>
                      <w:r>
                        <w:rPr>
                          <w:rFonts w:hint="eastAsia"/>
                          <w:b/>
                          <w:bCs/>
                          <w:sz w:val="24"/>
                        </w:rPr>
                        <w:t>40m</w:t>
                      </w:r>
                    </w:p>
                  </w:txbxContent>
                </v:textbox>
              </v:shape>
            </w:pict>
          </mc:Fallback>
        </mc:AlternateContent>
      </w:r>
      <w:r>
        <w:rPr>
          <w:rFonts w:hint="default" w:ascii="Times New Roman" w:hAnsi="Times New Roman" w:cs="Times New Roman"/>
          <w:b/>
          <w:color w:val="auto"/>
          <w:sz w:val="24"/>
        </w:rPr>
        <w:t>置图</w:t>
      </w:r>
    </w:p>
    <w:p w14:paraId="608FEC7F">
      <w:pPr>
        <w:jc w:val="center"/>
        <w:rPr>
          <w:rFonts w:hint="default" w:ascii="Times New Roman" w:hAnsi="Times New Roman" w:eastAsia="宋体" w:cs="Times New Roman"/>
          <w:b/>
          <w:color w:val="auto"/>
          <w:sz w:val="24"/>
          <w:lang w:eastAsia="zh-CN"/>
        </w:rPr>
      </w:pPr>
      <w:r>
        <w:rPr>
          <w:rFonts w:hint="default" w:ascii="Times New Roman" w:hAnsi="Times New Roman" w:cs="Times New Roman"/>
          <w:color w:val="auto"/>
        </w:rPr>
        <w:drawing>
          <wp:anchor distT="0" distB="0" distL="114300" distR="114300" simplePos="0" relativeHeight="251676672" behindDoc="0" locked="0" layoutInCell="1" allowOverlap="1">
            <wp:simplePos x="0" y="0"/>
            <wp:positionH relativeFrom="column">
              <wp:posOffset>7491730</wp:posOffset>
            </wp:positionH>
            <wp:positionV relativeFrom="paragraph">
              <wp:posOffset>32385</wp:posOffset>
            </wp:positionV>
            <wp:extent cx="1474470" cy="1376680"/>
            <wp:effectExtent l="0" t="0" r="11430" b="13970"/>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r>
        <w:rPr>
          <w:rFonts w:hint="default" w:ascii="Times New Roman" w:hAnsi="Times New Roman" w:eastAsia="宋体" w:cs="Times New Roman"/>
          <w:b/>
          <w:color w:val="auto"/>
          <w:sz w:val="24"/>
          <w:lang w:eastAsia="zh-CN"/>
        </w:rPr>
        <w:object>
          <v:shape id="_x0000_i1033" o:spt="75" type="#_x0000_t75" style="height:460.5pt;width:449.25pt;" o:ole="t" filled="f" o:preferrelative="t" stroked="f" coordsize="21600,21600">
            <v:path/>
            <v:fill on="f" focussize="0,0"/>
            <v:stroke on="f"/>
            <v:imagedata r:id="rId66" o:title=""/>
            <o:lock v:ext="edit" aspectratio="f"/>
            <w10:wrap type="none"/>
            <w10:anchorlock/>
          </v:shape>
          <o:OLEObject Type="Embed" ProgID="Visio.Drawing.11" ShapeID="_x0000_i1033" DrawAspect="Content" ObjectID="_1468075733" r:id="rId65">
            <o:LockedField>false</o:LockedField>
          </o:OLEObject>
        </w:object>
      </w:r>
    </w:p>
    <w:p w14:paraId="71DDC5F9">
      <w:pPr>
        <w:ind w:firstLine="5301" w:firstLineChars="2200"/>
        <w:rPr>
          <w:rFonts w:hint="default" w:ascii="Times New Roman" w:hAnsi="Times New Roman" w:cs="Times New Roman"/>
          <w:b/>
          <w:color w:val="auto"/>
          <w:sz w:val="24"/>
          <w:lang w:val="en-US" w:eastAsia="zh-CN"/>
        </w:rPr>
        <w:sectPr>
          <w:pgSz w:w="16838" w:h="11906" w:orient="landscape"/>
          <w:pgMar w:top="1134" w:right="1134" w:bottom="1134" w:left="1134"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620335BF">
      <w:pPr>
        <w:jc w:val="both"/>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附图</w:t>
      </w:r>
      <w:r>
        <w:rPr>
          <w:rFonts w:hint="eastAsia" w:cs="Times New Roman"/>
          <w:b/>
          <w:color w:val="auto"/>
          <w:sz w:val="24"/>
          <w:lang w:val="en-US" w:eastAsia="zh-CN"/>
        </w:rPr>
        <w:t>5</w:t>
      </w:r>
      <w:r>
        <w:rPr>
          <w:rFonts w:hint="default" w:ascii="Times New Roman" w:hAnsi="Times New Roman" w:cs="Times New Roman"/>
          <w:b/>
          <w:color w:val="auto"/>
          <w:sz w:val="24"/>
          <w:lang w:eastAsia="zh-CN"/>
        </w:rPr>
        <w:t>、</w:t>
      </w:r>
      <w:r>
        <w:rPr>
          <w:rFonts w:hint="default" w:ascii="Times New Roman" w:hAnsi="Times New Roman" w:eastAsia="宋体" w:cs="Times New Roman"/>
          <w:b/>
          <w:color w:val="auto"/>
          <w:sz w:val="24"/>
          <w:lang w:val="en-US" w:eastAsia="zh-CN"/>
        </w:rPr>
        <w:t>淄博市淄川区三区三线分布图</w:t>
      </w:r>
    </w:p>
    <w:p w14:paraId="37AB0A4F">
      <w:pPr>
        <w:pStyle w:val="15"/>
        <w:rPr>
          <w:rFonts w:hint="default" w:ascii="Times New Roman" w:hAnsi="Times New Roman" w:eastAsia="宋体" w:cs="Times New Roman"/>
          <w:b/>
          <w:bCs/>
          <w:color w:val="auto"/>
          <w:szCs w:val="21"/>
          <w:lang w:val="en-US" w:eastAsia="zh-CN"/>
        </w:rPr>
      </w:pPr>
      <w:r>
        <w:rPr>
          <w:rFonts w:hint="default" w:ascii="Times New Roman" w:hAnsi="Times New Roman" w:cs="Times New Roman"/>
          <w:b/>
          <w:color w:val="auto"/>
          <w:sz w:val="24"/>
        </w:rPr>
        <mc:AlternateContent>
          <mc:Choice Requires="wps">
            <w:drawing>
              <wp:anchor distT="0" distB="0" distL="114300" distR="114300" simplePos="0" relativeHeight="251661312" behindDoc="0" locked="0" layoutInCell="1" allowOverlap="1">
                <wp:simplePos x="0" y="0"/>
                <wp:positionH relativeFrom="column">
                  <wp:posOffset>4831715</wp:posOffset>
                </wp:positionH>
                <wp:positionV relativeFrom="paragraph">
                  <wp:posOffset>1228090</wp:posOffset>
                </wp:positionV>
                <wp:extent cx="1108710" cy="327660"/>
                <wp:effectExtent l="335915" t="5080" r="22225" b="181610"/>
                <wp:wrapNone/>
                <wp:docPr id="3" name="矩形标注 3"/>
                <wp:cNvGraphicFramePr/>
                <a:graphic xmlns:a="http://schemas.openxmlformats.org/drawingml/2006/main">
                  <a:graphicData uri="http://schemas.microsoft.com/office/word/2010/wordprocessingShape">
                    <wps:wsp>
                      <wps:cNvSpPr/>
                      <wps:spPr>
                        <a:xfrm>
                          <a:off x="0" y="0"/>
                          <a:ext cx="1108710" cy="327660"/>
                        </a:xfrm>
                        <a:prstGeom prst="wedgeRectCallout">
                          <a:avLst>
                            <a:gd name="adj1" fmla="val -76912"/>
                            <a:gd name="adj2" fmla="val 97481"/>
                          </a:avLst>
                        </a:prstGeom>
                        <a:solidFill>
                          <a:srgbClr val="FFFFFF"/>
                        </a:solidFill>
                        <a:ln w="9525" cap="flat" cmpd="sng">
                          <a:solidFill>
                            <a:srgbClr val="000000"/>
                          </a:solidFill>
                          <a:prstDash val="solid"/>
                          <a:miter/>
                          <a:headEnd type="none" w="med" len="med"/>
                          <a:tailEnd type="none" w="med" len="med"/>
                        </a:ln>
                      </wps:spPr>
                      <wps:txbx>
                        <w:txbxContent>
                          <w:p w14:paraId="16E759F5">
                            <w:pPr>
                              <w:jc w:val="center"/>
                            </w:pPr>
                            <w:r>
                              <w:rPr>
                                <w:rFonts w:hint="eastAsia"/>
                              </w:rPr>
                              <w:t>项目所在位置</w:t>
                            </w:r>
                          </w:p>
                        </w:txbxContent>
                      </wps:txbx>
                      <wps:bodyPr wrap="square" upright="1"/>
                    </wps:wsp>
                  </a:graphicData>
                </a:graphic>
              </wp:anchor>
            </w:drawing>
          </mc:Choice>
          <mc:Fallback>
            <w:pict>
              <v:shape id="_x0000_s1026" o:spid="_x0000_s1026" o:spt="61" type="#_x0000_t61" style="position:absolute;left:0pt;margin-left:380.45pt;margin-top:96.7pt;height:25.8pt;width:87.3pt;z-index:251661312;mso-width-relative:page;mso-height-relative:page;" fillcolor="#FFFFFF" filled="t" stroked="t" coordsize="21600,21600" o:gfxdata="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dKTI3YAAAACwEAAA8AAAAAAAAAAQAgAAAAIgAA&#10;AGRycy9kb3ducmV2LnhtbFBLAQIUABQAAAAIAIdO4kAJu97dQQIAAJsEAAAOAAAAAAAAAAEAIAAA&#10;ACcBAABkcnMvZTJvRG9jLnhtbFBLBQYAAAAABgAGAFkBAADaBQAAAAA=&#10;" adj="-5813,31856">
                <v:fill on="t" focussize="0,0"/>
                <v:stroke color="#000000" joinstyle="miter"/>
                <v:imagedata o:title=""/>
                <o:lock v:ext="edit" aspectratio="f"/>
                <v:textbox>
                  <w:txbxContent>
                    <w:p w14:paraId="16E759F5">
                      <w:pPr>
                        <w:jc w:val="center"/>
                      </w:pPr>
                      <w:r>
                        <w:rPr>
                          <w:rFonts w:hint="eastAsia"/>
                        </w:rPr>
                        <w:t>项目所在位置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2336" behindDoc="0" locked="0" layoutInCell="1" allowOverlap="1">
                <wp:simplePos x="0" y="0"/>
                <wp:positionH relativeFrom="column">
                  <wp:posOffset>4469765</wp:posOffset>
                </wp:positionH>
                <wp:positionV relativeFrom="paragraph">
                  <wp:posOffset>1662430</wp:posOffset>
                </wp:positionV>
                <wp:extent cx="76200" cy="76200"/>
                <wp:effectExtent l="4445" t="4445" r="14605" b="14605"/>
                <wp:wrapNone/>
                <wp:docPr id="4" name="矩形 84"/>
                <wp:cNvGraphicFramePr/>
                <a:graphic xmlns:a="http://schemas.openxmlformats.org/drawingml/2006/main">
                  <a:graphicData uri="http://schemas.microsoft.com/office/word/2010/wordprocessingShape">
                    <wps:wsp>
                      <wps:cNvSpPr/>
                      <wps:spPr>
                        <a:xfrm>
                          <a:off x="0" y="0"/>
                          <a:ext cx="76200" cy="76200"/>
                        </a:xfrm>
                        <a:prstGeom prst="rect">
                          <a:avLst/>
                        </a:prstGeom>
                        <a:no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84" o:spid="_x0000_s1026" o:spt="1" style="position:absolute;left:0pt;margin-left:351.95pt;margin-top:130.9pt;height:6pt;width:6pt;z-index:251662336;mso-width-relative:page;mso-height-relative:page;" filled="f" stroked="t" coordsize="21600,21600" o:gfxdata="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UVU+7aAAAACwEAAA8AAAAA&#10;AAAAAQAgAAAAIgAAAGRycy9kb3ducmV2LnhtbFBLAQIUABQAAAAIAIdO4kBu4/G/EgIAACYEAAAO&#10;AAAAAAAAAAEAIAAAACkBAABkcnMvZTJvRG9jLnhtbFBLBQYAAAAABgAGAFkBAACtBQAAAAA=&#10;">
                <v:fill on="f" focussize="0,0"/>
                <v:stroke color="#FF0000" joinstyle="miter"/>
                <v:imagedata o:title=""/>
                <o:lock v:ext="edit" aspectratio="f"/>
              </v:rect>
            </w:pict>
          </mc:Fallback>
        </mc:AlternateContent>
      </w:r>
      <w:r>
        <w:rPr>
          <w:rFonts w:hint="default" w:ascii="Times New Roman" w:hAnsi="Times New Roman" w:eastAsia="宋体" w:cs="Times New Roman"/>
          <w:color w:val="auto"/>
          <w:lang w:eastAsia="zh-CN"/>
        </w:rPr>
        <w:drawing>
          <wp:inline distT="0" distB="0" distL="114300" distR="114300">
            <wp:extent cx="9246870" cy="5655945"/>
            <wp:effectExtent l="9525" t="9525" r="20955" b="11430"/>
            <wp:docPr id="50" name="图片 213" descr="172299937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3" descr="1722999370574"/>
                    <pic:cNvPicPr>
                      <a:picLocks noChangeAspect="1"/>
                    </pic:cNvPicPr>
                  </pic:nvPicPr>
                  <pic:blipFill>
                    <a:blip r:embed="rId67"/>
                    <a:stretch>
                      <a:fillRect/>
                    </a:stretch>
                  </pic:blipFill>
                  <pic:spPr>
                    <a:xfrm>
                      <a:off x="0" y="0"/>
                      <a:ext cx="9246870" cy="5655945"/>
                    </a:xfrm>
                    <a:prstGeom prst="rect">
                      <a:avLst/>
                    </a:prstGeom>
                    <a:noFill/>
                    <a:ln w="9525" cap="flat" cmpd="sng">
                      <a:solidFill>
                        <a:srgbClr val="000000"/>
                      </a:solidFill>
                      <a:prstDash val="solid"/>
                      <a:miter/>
                      <a:headEnd type="none" w="med" len="med"/>
                      <a:tailEnd type="none" w="med" len="med"/>
                    </a:ln>
                  </pic:spPr>
                </pic:pic>
              </a:graphicData>
            </a:graphic>
          </wp:inline>
        </w:drawing>
      </w:r>
      <w:r>
        <w:rPr>
          <w:rFonts w:hint="default" w:ascii="Times New Roman" w:hAnsi="Times New Roman" w:cs="Times New Roman"/>
          <w:color w:val="auto"/>
        </w:rPr>
        <w:drawing>
          <wp:anchor distT="0" distB="0" distL="114300" distR="114300" simplePos="0" relativeHeight="251670528" behindDoc="0" locked="0" layoutInCell="1" allowOverlap="1">
            <wp:simplePos x="0" y="0"/>
            <wp:positionH relativeFrom="column">
              <wp:posOffset>7778750</wp:posOffset>
            </wp:positionH>
            <wp:positionV relativeFrom="paragraph">
              <wp:posOffset>11430</wp:posOffset>
            </wp:positionV>
            <wp:extent cx="1474470" cy="1376680"/>
            <wp:effectExtent l="0" t="0" r="11430" b="13970"/>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2"/>
                    <a:stretch>
                      <a:fillRect/>
                    </a:stretch>
                  </pic:blipFill>
                  <pic:spPr>
                    <a:xfrm>
                      <a:off x="0" y="0"/>
                      <a:ext cx="1474470" cy="1376680"/>
                    </a:xfrm>
                    <a:prstGeom prst="rect">
                      <a:avLst/>
                    </a:prstGeom>
                    <a:noFill/>
                    <a:ln>
                      <a:noFill/>
                    </a:ln>
                  </pic:spPr>
                </pic:pic>
              </a:graphicData>
            </a:graphic>
          </wp:anchor>
        </w:drawing>
      </w:r>
      <w:r>
        <w:rPr>
          <w:rFonts w:hint="default" w:ascii="Times New Roman" w:hAnsi="Times New Roman" w:eastAsia="宋体" w:cs="Times New Roman"/>
          <w:color w:val="auto"/>
          <w:lang w:eastAsia="zh-CN"/>
        </w:rPr>
        <w:drawing>
          <wp:anchor distT="0" distB="0" distL="114300" distR="114300" simplePos="0" relativeHeight="251660288" behindDoc="0" locked="0" layoutInCell="1" allowOverlap="1">
            <wp:simplePos x="0" y="0"/>
            <wp:positionH relativeFrom="column">
              <wp:posOffset>12065</wp:posOffset>
            </wp:positionH>
            <wp:positionV relativeFrom="paragraph">
              <wp:posOffset>4479925</wp:posOffset>
            </wp:positionV>
            <wp:extent cx="2174240" cy="1162685"/>
            <wp:effectExtent l="0" t="0" r="16510" b="18415"/>
            <wp:wrapNone/>
            <wp:docPr id="2" name="图片 82" descr="172299975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2" descr="1722999752784"/>
                    <pic:cNvPicPr>
                      <a:picLocks noChangeAspect="1"/>
                    </pic:cNvPicPr>
                  </pic:nvPicPr>
                  <pic:blipFill>
                    <a:blip r:embed="rId68"/>
                    <a:stretch>
                      <a:fillRect/>
                    </a:stretch>
                  </pic:blipFill>
                  <pic:spPr>
                    <a:xfrm>
                      <a:off x="0" y="0"/>
                      <a:ext cx="2174240" cy="1162685"/>
                    </a:xfrm>
                    <a:prstGeom prst="rect">
                      <a:avLst/>
                    </a:prstGeom>
                    <a:noFill/>
                    <a:ln>
                      <a:noFill/>
                    </a:ln>
                  </pic:spPr>
                </pic:pic>
              </a:graphicData>
            </a:graphic>
          </wp:anchor>
        </w:drawing>
      </w:r>
    </w:p>
    <w:p w14:paraId="01A8A39B">
      <w:pPr>
        <w:rPr>
          <w:rFonts w:hint="default" w:ascii="Times New Roman" w:hAnsi="Times New Roman" w:eastAsia="宋体" w:cs="Times New Roman"/>
          <w:color w:val="auto"/>
          <w:lang w:eastAsia="zh-CN"/>
        </w:rPr>
        <w:sectPr>
          <w:pgSz w:w="16838" w:h="11906" w:orient="landscape"/>
          <w:pgMar w:top="1134" w:right="1134" w:bottom="1134" w:left="1134"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6D6C04C6">
      <w:pPr>
        <w:jc w:val="both"/>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附图</w:t>
      </w:r>
      <w:r>
        <w:rPr>
          <w:rFonts w:hint="eastAsia" w:cs="Times New Roman"/>
          <w:b/>
          <w:color w:val="auto"/>
          <w:sz w:val="24"/>
          <w:lang w:val="en-US" w:eastAsia="zh-CN"/>
        </w:rPr>
        <w:t>6</w:t>
      </w:r>
      <w:r>
        <w:rPr>
          <w:rFonts w:hint="default" w:ascii="Times New Roman" w:hAnsi="Times New Roman" w:cs="Times New Roman"/>
          <w:b/>
          <w:color w:val="auto"/>
          <w:sz w:val="24"/>
          <w:lang w:eastAsia="zh-CN"/>
        </w:rPr>
        <w:t>、</w:t>
      </w:r>
      <w:r>
        <w:rPr>
          <w:rFonts w:hint="default" w:ascii="Times New Roman" w:hAnsi="Times New Roman" w:eastAsia="宋体" w:cs="Times New Roman"/>
          <w:b/>
          <w:color w:val="auto"/>
          <w:sz w:val="24"/>
          <w:lang w:val="en-US" w:eastAsia="zh-CN"/>
        </w:rPr>
        <w:t>淄博市环境管控单元分布图</w:t>
      </w:r>
    </w:p>
    <w:p w14:paraId="2FA05DC2">
      <w:pPr>
        <w:tabs>
          <w:tab w:val="left" w:pos="2853"/>
        </w:tabs>
        <w:rPr>
          <w:rFonts w:hint="default" w:ascii="Times New Roman" w:hAnsi="Times New Roman" w:eastAsia="宋体" w:cs="Times New Roman"/>
          <w:b/>
          <w:bCs/>
          <w:color w:val="auto"/>
          <w:szCs w:val="21"/>
          <w:lang w:val="en-US" w:eastAsia="zh-CN"/>
        </w:rPr>
      </w:pPr>
      <w:r>
        <w:rPr>
          <w:rFonts w:hint="default" w:ascii="Times New Roman" w:hAnsi="Times New Roman" w:cs="Times New Roman"/>
          <w:color w:val="auto"/>
        </w:rPr>
        <mc:AlternateContent>
          <mc:Choice Requires="wps">
            <w:drawing>
              <wp:anchor distT="0" distB="0" distL="114300" distR="114300" simplePos="0" relativeHeight="251659264" behindDoc="0" locked="0" layoutInCell="1" allowOverlap="1">
                <wp:simplePos x="0" y="0"/>
                <wp:positionH relativeFrom="margin">
                  <wp:posOffset>2710815</wp:posOffset>
                </wp:positionH>
                <wp:positionV relativeFrom="paragraph">
                  <wp:posOffset>3134995</wp:posOffset>
                </wp:positionV>
                <wp:extent cx="944880" cy="266700"/>
                <wp:effectExtent l="4445" t="5080" r="22225" b="356870"/>
                <wp:wrapNone/>
                <wp:docPr id="1" name="对话气泡: 矩形 1"/>
                <wp:cNvGraphicFramePr/>
                <a:graphic xmlns:a="http://schemas.openxmlformats.org/drawingml/2006/main">
                  <a:graphicData uri="http://schemas.microsoft.com/office/word/2010/wordprocessingShape">
                    <wps:wsp>
                      <wps:cNvSpPr/>
                      <wps:spPr>
                        <a:xfrm>
                          <a:off x="0" y="0"/>
                          <a:ext cx="944880" cy="266700"/>
                        </a:xfrm>
                        <a:prstGeom prst="wedgeRectCallout">
                          <a:avLst>
                            <a:gd name="adj1" fmla="val -40324"/>
                            <a:gd name="adj2" fmla="val 174764"/>
                          </a:avLst>
                        </a:prstGeom>
                        <a:solidFill>
                          <a:srgbClr val="FFFFFF"/>
                        </a:solidFill>
                        <a:ln w="9525" cap="flat" cmpd="sng">
                          <a:solidFill>
                            <a:srgbClr val="000000"/>
                          </a:solidFill>
                          <a:prstDash val="solid"/>
                          <a:miter/>
                          <a:headEnd type="none" w="med" len="med"/>
                          <a:tailEnd type="none" w="med" len="med"/>
                        </a:ln>
                      </wps:spPr>
                      <wps:txbx>
                        <w:txbxContent>
                          <w:p w14:paraId="150584AA">
                            <w:pPr>
                              <w:spacing w:line="240" w:lineRule="auto"/>
                              <w:ind w:firstLine="0" w:firstLineChars="0"/>
                              <w:rPr>
                                <w:b/>
                                <w:bCs/>
                              </w:rPr>
                            </w:pPr>
                            <w:r>
                              <w:rPr>
                                <w:rFonts w:hint="eastAsia"/>
                                <w:b/>
                                <w:bCs/>
                              </w:rPr>
                              <w:t>本项目位置</w:t>
                            </w:r>
                          </w:p>
                        </w:txbxContent>
                      </wps:txbx>
                      <wps:bodyPr vert="horz" wrap="square" anchor="t" anchorCtr="0" upright="1"/>
                    </wps:wsp>
                  </a:graphicData>
                </a:graphic>
              </wp:anchor>
            </w:drawing>
          </mc:Choice>
          <mc:Fallback>
            <w:pict>
              <v:shape id="对话气泡: 矩形 1" o:spid="_x0000_s1026" o:spt="61" type="#_x0000_t61" style="position:absolute;left:0pt;margin-left:213.45pt;margin-top:246.85pt;height:21pt;width:74.4pt;mso-position-horizontal-relative:margin;z-index:251659264;mso-width-relative:page;mso-height-relative:page;" fillcolor="#FFFFFF" filled="t" stroked="t" coordsize="21600,21600" o:gfxdata="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l+QZnZAAAACwEAAA8AAAAAAAAAAQAgAAAAIgAAAGRycy9kb3ducmV2LnhtbFBLAQIUABQA&#10;AAAIAIdO4kBT8pjbYQIAAMgEAAAOAAAAAAAAAAEAIAAAACgBAABkcnMvZTJvRG9jLnhtbFBLBQYA&#10;AAAABgAGAFkBAAD7BQAAAAA=&#10;" adj="2090,48549">
                <v:fill on="t" focussize="0,0"/>
                <v:stroke color="#000000" joinstyle="miter"/>
                <v:imagedata o:title=""/>
                <o:lock v:ext="edit" aspectratio="f"/>
                <v:textbox>
                  <w:txbxContent>
                    <w:p w14:paraId="150584AA">
                      <w:pPr>
                        <w:spacing w:line="240" w:lineRule="auto"/>
                        <w:ind w:firstLine="0" w:firstLineChars="0"/>
                        <w:rPr>
                          <w:b/>
                          <w:bCs/>
                        </w:rPr>
                      </w:pPr>
                      <w:r>
                        <w:rPr>
                          <w:rFonts w:hint="eastAsia"/>
                          <w:b/>
                          <w:bCs/>
                        </w:rPr>
                        <w:t>本项目位置</w:t>
                      </w:r>
                    </w:p>
                  </w:txbxContent>
                </v:textbox>
              </v:shape>
            </w:pict>
          </mc:Fallback>
        </mc:AlternateContent>
      </w:r>
      <w:r>
        <w:rPr>
          <w:rFonts w:hint="default" w:ascii="Times New Roman" w:hAnsi="Times New Roman" w:eastAsia="方正小标宋简体" w:cs="Times New Roman"/>
          <w:color w:val="auto"/>
          <w:sz w:val="44"/>
          <w:szCs w:val="44"/>
        </w:rPr>
        <w:drawing>
          <wp:inline distT="0" distB="0" distL="114300" distR="114300">
            <wp:extent cx="5640070" cy="8253730"/>
            <wp:effectExtent l="0" t="0" r="17780" b="13970"/>
            <wp:docPr id="51" name="图片 2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descr="图片1"/>
                    <pic:cNvPicPr>
                      <a:picLocks noChangeAspect="1"/>
                    </pic:cNvPicPr>
                  </pic:nvPicPr>
                  <pic:blipFill>
                    <a:blip r:embed="rId69"/>
                    <a:srcRect l="2634" r="719"/>
                    <a:stretch>
                      <a:fillRect/>
                    </a:stretch>
                  </pic:blipFill>
                  <pic:spPr>
                    <a:xfrm>
                      <a:off x="0" y="0"/>
                      <a:ext cx="5640070" cy="8253730"/>
                    </a:xfrm>
                    <a:prstGeom prst="rect">
                      <a:avLst/>
                    </a:prstGeom>
                    <a:noFill/>
                    <a:ln>
                      <a:noFill/>
                    </a:ln>
                  </pic:spPr>
                </pic:pic>
              </a:graphicData>
            </a:graphic>
          </wp:inline>
        </w:drawing>
      </w:r>
    </w:p>
    <w:p w14:paraId="75B03DD6">
      <w:pPr>
        <w:jc w:val="both"/>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val="en-US" w:eastAsia="zh-CN"/>
        </w:rPr>
        <w:t>附图</w:t>
      </w:r>
      <w:r>
        <w:rPr>
          <w:rFonts w:hint="eastAsia" w:cs="Times New Roman"/>
          <w:b/>
          <w:color w:val="auto"/>
          <w:sz w:val="24"/>
          <w:lang w:val="en-US" w:eastAsia="zh-CN"/>
        </w:rPr>
        <w:t>7</w:t>
      </w:r>
      <w:r>
        <w:rPr>
          <w:rFonts w:hint="default" w:ascii="Times New Roman" w:hAnsi="Times New Roman" w:cs="Times New Roman"/>
          <w:b/>
          <w:color w:val="auto"/>
          <w:sz w:val="24"/>
          <w:lang w:eastAsia="zh-CN"/>
        </w:rPr>
        <w:t>、</w:t>
      </w:r>
      <w:r>
        <w:rPr>
          <w:rFonts w:hint="default" w:ascii="Times New Roman" w:hAnsi="Times New Roman" w:eastAsia="宋体" w:cs="Times New Roman"/>
          <w:b/>
          <w:color w:val="auto"/>
          <w:sz w:val="24"/>
          <w:lang w:val="en-US" w:eastAsia="zh-CN"/>
        </w:rPr>
        <w:t>本项目与双杨镇工业集聚区的位置关系图</w:t>
      </w:r>
    </w:p>
    <w:p w14:paraId="05AE4944">
      <w:pPr>
        <w:pStyle w:val="2"/>
        <w:ind w:left="0" w:leftChars="0" w:firstLine="0" w:firstLineChars="0"/>
        <w:rPr>
          <w:rFonts w:hint="default" w:ascii="Times New Roman" w:hAnsi="Times New Roman" w:eastAsia="宋体" w:cs="Times New Roman"/>
          <w:b/>
          <w:bCs/>
          <w:color w:val="auto"/>
          <w:szCs w:val="21"/>
          <w:lang w:val="en-US" w:eastAsia="zh-CN"/>
        </w:rPr>
      </w:pPr>
      <w:r>
        <w:rPr>
          <w:rFonts w:hint="default" w:ascii="Times New Roman" w:hAnsi="Times New Roman" w:cs="Times New Roman"/>
          <w:b/>
          <w:color w:val="auto"/>
          <w:sz w:val="24"/>
        </w:rPr>
        <mc:AlternateContent>
          <mc:Choice Requires="wps">
            <w:drawing>
              <wp:anchor distT="0" distB="0" distL="114300" distR="114300" simplePos="0" relativeHeight="251663360" behindDoc="0" locked="0" layoutInCell="1" allowOverlap="1">
                <wp:simplePos x="0" y="0"/>
                <wp:positionH relativeFrom="column">
                  <wp:posOffset>2305050</wp:posOffset>
                </wp:positionH>
                <wp:positionV relativeFrom="paragraph">
                  <wp:posOffset>2924810</wp:posOffset>
                </wp:positionV>
                <wp:extent cx="1108710" cy="327660"/>
                <wp:effectExtent l="974725" t="187960" r="12065" b="17780"/>
                <wp:wrapNone/>
                <wp:docPr id="5" name="矩形标注 3"/>
                <wp:cNvGraphicFramePr/>
                <a:graphic xmlns:a="http://schemas.openxmlformats.org/drawingml/2006/main">
                  <a:graphicData uri="http://schemas.microsoft.com/office/word/2010/wordprocessingShape">
                    <wps:wsp>
                      <wps:cNvSpPr/>
                      <wps:spPr>
                        <a:xfrm>
                          <a:off x="0" y="0"/>
                          <a:ext cx="1108710" cy="327660"/>
                        </a:xfrm>
                        <a:prstGeom prst="wedgeRectCallout">
                          <a:avLst>
                            <a:gd name="adj1" fmla="val -134532"/>
                            <a:gd name="adj2" fmla="val -103292"/>
                          </a:avLst>
                        </a:prstGeom>
                        <a:solidFill>
                          <a:srgbClr val="FFFFFF"/>
                        </a:solidFill>
                        <a:ln w="9525" cap="flat" cmpd="sng">
                          <a:solidFill>
                            <a:srgbClr val="000000"/>
                          </a:solidFill>
                          <a:prstDash val="solid"/>
                          <a:miter/>
                          <a:headEnd type="none" w="med" len="med"/>
                          <a:tailEnd type="none" w="med" len="med"/>
                        </a:ln>
                      </wps:spPr>
                      <wps:txbx>
                        <w:txbxContent>
                          <w:p w14:paraId="61515EAA">
                            <w:pPr>
                              <w:jc w:val="center"/>
                            </w:pPr>
                            <w:r>
                              <w:rPr>
                                <w:rFonts w:hint="eastAsia"/>
                              </w:rPr>
                              <w:t>项目所在位置</w:t>
                            </w:r>
                          </w:p>
                        </w:txbxContent>
                      </wps:txbx>
                      <wps:bodyPr vert="horz" wrap="square" anchor="t" anchorCtr="0" upright="1"/>
                    </wps:wsp>
                  </a:graphicData>
                </a:graphic>
              </wp:anchor>
            </w:drawing>
          </mc:Choice>
          <mc:Fallback>
            <w:pict>
              <v:shape id="矩形标注 3" o:spid="_x0000_s1026" o:spt="61" type="#_x0000_t61" style="position:absolute;left:0pt;margin-left:181.5pt;margin-top:230.3pt;height:25.8pt;width:87.3pt;z-index:251663360;mso-width-relative:page;mso-height-relative:page;" fillcolor="#FFFFFF" filled="t" stroked="t" coordsize="21600,21600" o:gfxdata="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5cNrBtgA&#10;AAALAQAADwAAAAAAAAABACAAAAAiAAAAZHJzL2Rvd25yZXYueG1sUEsBAhQAFAAAAAgAh07iQA16&#10;F0VYAgAAwwQAAA4AAAAAAAAAAQAgAAAAJwEAAGRycy9lMm9Eb2MueG1sUEsFBgAAAAAGAAYAWQEA&#10;APEFAAAAAA==&#10;" adj="-18259,-11511">
                <v:fill on="t" focussize="0,0"/>
                <v:stroke color="#000000" joinstyle="miter"/>
                <v:imagedata o:title=""/>
                <o:lock v:ext="edit" aspectratio="f"/>
                <v:textbox>
                  <w:txbxContent>
                    <w:p w14:paraId="61515EAA">
                      <w:pPr>
                        <w:jc w:val="center"/>
                      </w:pPr>
                      <w:r>
                        <w:rPr>
                          <w:rFonts w:hint="eastAsia"/>
                        </w:rPr>
                        <w:t>项目所在位置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4384" behindDoc="0" locked="0" layoutInCell="1" allowOverlap="1">
                <wp:simplePos x="0" y="0"/>
                <wp:positionH relativeFrom="column">
                  <wp:posOffset>1287780</wp:posOffset>
                </wp:positionH>
                <wp:positionV relativeFrom="paragraph">
                  <wp:posOffset>2698115</wp:posOffset>
                </wp:positionV>
                <wp:extent cx="76200" cy="76200"/>
                <wp:effectExtent l="22225" t="22225" r="34925" b="34925"/>
                <wp:wrapNone/>
                <wp:docPr id="6" name="矩形 86"/>
                <wp:cNvGraphicFramePr/>
                <a:graphic xmlns:a="http://schemas.openxmlformats.org/drawingml/2006/main">
                  <a:graphicData uri="http://schemas.microsoft.com/office/word/2010/wordprocessingShape">
                    <wps:wsp>
                      <wps:cNvSpPr/>
                      <wps:spPr>
                        <a:xfrm rot="2580000">
                          <a:off x="0" y="0"/>
                          <a:ext cx="76200" cy="76200"/>
                        </a:xfrm>
                        <a:prstGeom prst="rect">
                          <a:avLst/>
                        </a:prstGeom>
                        <a:no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86" o:spid="_x0000_s1026" o:spt="1" style="position:absolute;left:0pt;margin-left:101.4pt;margin-top:212.45pt;height:6pt;width:6pt;rotation:2818048f;z-index:251664384;mso-width-relative:page;mso-height-relative:page;" filled="f" stroked="t" coordsize="21600,21600" o:gfxdata="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a8ogC2AAAAAsBAAAP&#10;AAAAAAAAAAEAIAAAACIAAABkcnMvZG93bnJldi54bWxQSwECFAAUAAAACACHTuJAS45l1RgCAAA0&#10;BAAADgAAAAAAAAABACAAAAAnAQAAZHJzL2Uyb0RvYy54bWxQSwUGAAAAAAYABgBZAQAAsQUAAAAA&#10;">
                <v:fill on="f" focussize="0,0"/>
                <v:stroke color="#FF0000" joinstyle="miter"/>
                <v:imagedata o:title=""/>
                <o:lock v:ext="edit" aspectratio="f"/>
              </v:rect>
            </w:pict>
          </mc:Fallback>
        </mc:AlternateContent>
      </w:r>
      <w:r>
        <w:drawing>
          <wp:inline distT="0" distB="0" distL="114300" distR="114300">
            <wp:extent cx="5610225" cy="7905750"/>
            <wp:effectExtent l="0" t="0" r="9525" b="0"/>
            <wp:docPr id="5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2"/>
                    <pic:cNvPicPr>
                      <a:picLocks noChangeAspect="1"/>
                    </pic:cNvPicPr>
                  </pic:nvPicPr>
                  <pic:blipFill>
                    <a:blip r:embed="rId70"/>
                    <a:stretch>
                      <a:fillRect/>
                    </a:stretch>
                  </pic:blipFill>
                  <pic:spPr>
                    <a:xfrm>
                      <a:off x="0" y="0"/>
                      <a:ext cx="5610225" cy="7905750"/>
                    </a:xfrm>
                    <a:prstGeom prst="rect">
                      <a:avLst/>
                    </a:prstGeom>
                    <a:noFill/>
                    <a:ln>
                      <a:noFill/>
                    </a:ln>
                  </pic:spPr>
                </pic:pic>
              </a:graphicData>
            </a:graphic>
          </wp:inline>
        </w:drawing>
      </w:r>
    </w:p>
    <w:p w14:paraId="2A6D2A47">
      <w:pPr>
        <w:jc w:val="both"/>
        <w:rPr>
          <w:rFonts w:hint="default" w:ascii="Times New Roman" w:hAnsi="Times New Roman" w:eastAsia="宋体" w:cs="Times New Roman"/>
          <w:b/>
          <w:color w:val="auto"/>
          <w:sz w:val="24"/>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numberInDash"/>
          <w:cols w:space="720" w:num="1"/>
          <w:docGrid w:linePitch="312" w:charSpace="0"/>
        </w:sectPr>
      </w:pPr>
    </w:p>
    <w:p w14:paraId="3A021AF1">
      <w:pPr>
        <w:jc w:val="both"/>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附图</w:t>
      </w:r>
      <w:r>
        <w:rPr>
          <w:rFonts w:hint="eastAsia" w:cs="Times New Roman"/>
          <w:b/>
          <w:color w:val="auto"/>
          <w:sz w:val="24"/>
          <w:lang w:val="en-US" w:eastAsia="zh-CN"/>
        </w:rPr>
        <w:t>8</w:t>
      </w:r>
      <w:r>
        <w:rPr>
          <w:rFonts w:hint="default" w:ascii="Times New Roman" w:hAnsi="Times New Roman" w:eastAsia="宋体" w:cs="Times New Roman"/>
          <w:b/>
          <w:color w:val="auto"/>
          <w:sz w:val="24"/>
          <w:lang w:val="en-US" w:eastAsia="zh-CN"/>
        </w:rPr>
        <w:t>、</w:t>
      </w:r>
      <w:r>
        <w:rPr>
          <w:rFonts w:hint="default" w:ascii="Times New Roman" w:hAnsi="Times New Roman" w:eastAsia="宋体" w:cs="Times New Roman"/>
          <w:b/>
          <w:bCs/>
          <w:color w:val="auto"/>
          <w:sz w:val="24"/>
          <w:szCs w:val="24"/>
          <w:highlight w:val="none"/>
          <w:lang w:val="en-US" w:eastAsia="zh-CN"/>
        </w:rPr>
        <w:t>声环境功能区划位置关系图</w:t>
      </w:r>
    </w:p>
    <w:p w14:paraId="2507F581">
      <w:pPr>
        <w:jc w:val="both"/>
        <w:rPr>
          <w:rFonts w:hint="eastAsia" w:ascii="Times New Roman" w:hAnsi="Times New Roman" w:eastAsia="宋体" w:cs="Times New Roman"/>
          <w:b/>
          <w:color w:val="auto"/>
          <w:sz w:val="24"/>
          <w:lang w:val="en-US" w:eastAsia="zh-CN"/>
        </w:rPr>
      </w:pPr>
      <w:r>
        <w:rPr>
          <w:rFonts w:hint="default" w:ascii="Times New Roman" w:hAnsi="Times New Roman" w:cs="Times New Roman"/>
          <w:b/>
          <w:color w:val="auto"/>
          <w:sz w:val="24"/>
        </w:rPr>
        <mc:AlternateContent>
          <mc:Choice Requires="wps">
            <w:drawing>
              <wp:anchor distT="0" distB="0" distL="114300" distR="114300" simplePos="0" relativeHeight="251671552" behindDoc="0" locked="0" layoutInCell="1" allowOverlap="1">
                <wp:simplePos x="0" y="0"/>
                <wp:positionH relativeFrom="column">
                  <wp:posOffset>3654425</wp:posOffset>
                </wp:positionH>
                <wp:positionV relativeFrom="paragraph">
                  <wp:posOffset>3497580</wp:posOffset>
                </wp:positionV>
                <wp:extent cx="1108710" cy="327660"/>
                <wp:effectExtent l="974725" t="187960" r="12065" b="17780"/>
                <wp:wrapNone/>
                <wp:docPr id="12" name="矩形标注 3"/>
                <wp:cNvGraphicFramePr/>
                <a:graphic xmlns:a="http://schemas.openxmlformats.org/drawingml/2006/main">
                  <a:graphicData uri="http://schemas.microsoft.com/office/word/2010/wordprocessingShape">
                    <wps:wsp>
                      <wps:cNvSpPr/>
                      <wps:spPr>
                        <a:xfrm>
                          <a:off x="0" y="0"/>
                          <a:ext cx="1108710" cy="327660"/>
                        </a:xfrm>
                        <a:prstGeom prst="wedgeRectCallout">
                          <a:avLst>
                            <a:gd name="adj1" fmla="val -134532"/>
                            <a:gd name="adj2" fmla="val -103292"/>
                          </a:avLst>
                        </a:prstGeom>
                        <a:solidFill>
                          <a:srgbClr val="FFFFFF"/>
                        </a:solidFill>
                        <a:ln w="9525" cap="flat" cmpd="sng">
                          <a:solidFill>
                            <a:srgbClr val="000000"/>
                          </a:solidFill>
                          <a:prstDash val="solid"/>
                          <a:miter/>
                          <a:headEnd type="none" w="med" len="med"/>
                          <a:tailEnd type="none" w="med" len="med"/>
                        </a:ln>
                      </wps:spPr>
                      <wps:txbx>
                        <w:txbxContent>
                          <w:p w14:paraId="69F4C532">
                            <w:pPr>
                              <w:jc w:val="center"/>
                            </w:pPr>
                            <w:r>
                              <w:rPr>
                                <w:rFonts w:hint="eastAsia"/>
                              </w:rPr>
                              <w:t>项目所在位置</w:t>
                            </w:r>
                          </w:p>
                        </w:txbxContent>
                      </wps:txbx>
                      <wps:bodyPr wrap="square" upright="1"/>
                    </wps:wsp>
                  </a:graphicData>
                </a:graphic>
              </wp:anchor>
            </w:drawing>
          </mc:Choice>
          <mc:Fallback>
            <w:pict>
              <v:shape id="矩形标注 3" o:spid="_x0000_s1026" o:spt="61" type="#_x0000_t61" style="position:absolute;left:0pt;margin-left:287.75pt;margin-top:275.4pt;height:25.8pt;width:87.3pt;z-index:251671552;mso-width-relative:page;mso-height-relative:page;" fillcolor="#FFFFFF" filled="t" stroked="t" coordsize="21600,21600" o:gfxdata="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MWNhTXAAAACwEAAA8AAAAAAAAAAQAgAAAA&#10;IgAAAGRycy9kb3ducmV2LnhtbFBLAQIUABQAAAAIAIdO4kBUikKpRQIAAJ8EAAAOAAAAAAAAAAEA&#10;IAAAACYBAABkcnMvZTJvRG9jLnhtbFBLBQYAAAAABgAGAFkBAADdBQAAAAA=&#10;" adj="-18259,-11511">
                <v:fill on="t" focussize="0,0"/>
                <v:stroke color="#000000" joinstyle="miter"/>
                <v:imagedata o:title=""/>
                <o:lock v:ext="edit" aspectratio="f"/>
                <v:textbox>
                  <w:txbxContent>
                    <w:p w14:paraId="69F4C532">
                      <w:pPr>
                        <w:jc w:val="center"/>
                      </w:pPr>
                      <w:r>
                        <w:rPr>
                          <w:rFonts w:hint="eastAsia"/>
                        </w:rPr>
                        <w:t>项目所在位置</w:t>
                      </w:r>
                    </w:p>
                  </w:txbxContent>
                </v:textbox>
              </v:shape>
            </w:pict>
          </mc:Fallback>
        </mc:AlternateContent>
      </w:r>
      <w:r>
        <w:rPr>
          <w:rFonts w:hint="eastAsia" w:ascii="Times New Roman" w:hAnsi="Times New Roman" w:eastAsia="宋体" w:cs="Times New Roman"/>
          <w:b/>
          <w:color w:val="auto"/>
          <w:sz w:val="24"/>
          <w:lang w:val="en-US" w:eastAsia="zh-CN"/>
        </w:rPr>
        <w:drawing>
          <wp:inline distT="0" distB="0" distL="114300" distR="114300">
            <wp:extent cx="5585460" cy="8286750"/>
            <wp:effectExtent l="0" t="0" r="15240" b="0"/>
            <wp:docPr id="53" name="图片 2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2" descr="图片1"/>
                    <pic:cNvPicPr>
                      <a:picLocks noChangeAspect="1"/>
                    </pic:cNvPicPr>
                  </pic:nvPicPr>
                  <pic:blipFill>
                    <a:blip r:embed="rId71"/>
                    <a:stretch>
                      <a:fillRect/>
                    </a:stretch>
                  </pic:blipFill>
                  <pic:spPr>
                    <a:xfrm>
                      <a:off x="0" y="0"/>
                      <a:ext cx="5585460" cy="8286750"/>
                    </a:xfrm>
                    <a:prstGeom prst="rect">
                      <a:avLst/>
                    </a:prstGeom>
                    <a:noFill/>
                    <a:ln>
                      <a:noFill/>
                    </a:ln>
                  </pic:spPr>
                </pic:pic>
              </a:graphicData>
            </a:graphic>
          </wp:inline>
        </w:drawing>
      </w:r>
    </w:p>
    <w:p w14:paraId="422973EB">
      <w:pPr>
        <w:jc w:val="both"/>
        <w:rPr>
          <w:rFonts w:hint="default" w:ascii="Times New Roman" w:hAnsi="Times New Roman" w:eastAsia="宋体" w:cs="Times New Roman"/>
          <w:b/>
          <w:color w:val="auto"/>
          <w:sz w:val="24"/>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numberInDash"/>
          <w:cols w:space="720" w:num="1"/>
          <w:docGrid w:linePitch="312" w:charSpace="0"/>
        </w:sectPr>
      </w:pPr>
    </w:p>
    <w:p w14:paraId="4A1F17CC">
      <w:pPr>
        <w:jc w:val="both"/>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附图</w:t>
      </w:r>
      <w:r>
        <w:rPr>
          <w:rFonts w:hint="eastAsia" w:cs="Times New Roman"/>
          <w:b/>
          <w:color w:val="auto"/>
          <w:sz w:val="24"/>
          <w:lang w:val="en-US" w:eastAsia="zh-CN"/>
        </w:rPr>
        <w:t>9</w:t>
      </w:r>
      <w:r>
        <w:rPr>
          <w:rFonts w:hint="default" w:ascii="Times New Roman" w:hAnsi="Times New Roman" w:cs="Times New Roman"/>
          <w:b/>
          <w:color w:val="auto"/>
          <w:sz w:val="24"/>
          <w:lang w:eastAsia="zh-CN"/>
        </w:rPr>
        <w:t>、</w:t>
      </w:r>
      <w:r>
        <w:rPr>
          <w:rFonts w:hint="default" w:ascii="Times New Roman" w:hAnsi="Times New Roman" w:eastAsia="宋体" w:cs="Times New Roman"/>
          <w:b/>
          <w:color w:val="auto"/>
          <w:sz w:val="24"/>
          <w:lang w:val="en-US" w:eastAsia="zh-CN"/>
        </w:rPr>
        <w:t>工程师现场勘查照片</w:t>
      </w:r>
    </w:p>
    <w:p w14:paraId="3B3FDC6B">
      <w:pPr>
        <w:jc w:val="center"/>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drawing>
          <wp:inline distT="0" distB="0" distL="114300" distR="114300">
            <wp:extent cx="5479415" cy="4107815"/>
            <wp:effectExtent l="0" t="0" r="6985" b="6985"/>
            <wp:docPr id="54" name="图片 236" descr="635d2e8b22ea0fda915dede82fc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6" descr="635d2e8b22ea0fda915dede82fc9644"/>
                    <pic:cNvPicPr>
                      <a:picLocks noChangeAspect="1"/>
                    </pic:cNvPicPr>
                  </pic:nvPicPr>
                  <pic:blipFill>
                    <a:blip r:embed="rId72"/>
                    <a:stretch>
                      <a:fillRect/>
                    </a:stretch>
                  </pic:blipFill>
                  <pic:spPr>
                    <a:xfrm>
                      <a:off x="0" y="0"/>
                      <a:ext cx="5479415" cy="4107815"/>
                    </a:xfrm>
                    <a:prstGeom prst="rect">
                      <a:avLst/>
                    </a:prstGeom>
                    <a:noFill/>
                    <a:ln>
                      <a:noFill/>
                    </a:ln>
                  </pic:spPr>
                </pic:pic>
              </a:graphicData>
            </a:graphic>
          </wp:inline>
        </w:drawing>
      </w:r>
    </w:p>
    <w:p w14:paraId="13CF22DD">
      <w:pPr>
        <w:jc w:val="center"/>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drawing>
          <wp:inline distT="0" distB="0" distL="114300" distR="114300">
            <wp:extent cx="5463540" cy="4095750"/>
            <wp:effectExtent l="0" t="0" r="3810" b="0"/>
            <wp:docPr id="55" name="图片 237" descr="f4a8cfc5bfef53497a49ed7e91f33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7" descr="f4a8cfc5bfef53497a49ed7e91f33db"/>
                    <pic:cNvPicPr>
                      <a:picLocks noChangeAspect="1"/>
                    </pic:cNvPicPr>
                  </pic:nvPicPr>
                  <pic:blipFill>
                    <a:blip r:embed="rId73"/>
                    <a:stretch>
                      <a:fillRect/>
                    </a:stretch>
                  </pic:blipFill>
                  <pic:spPr>
                    <a:xfrm>
                      <a:off x="0" y="0"/>
                      <a:ext cx="5463540" cy="4095750"/>
                    </a:xfrm>
                    <a:prstGeom prst="rect">
                      <a:avLst/>
                    </a:prstGeom>
                    <a:noFill/>
                    <a:ln>
                      <a:noFill/>
                    </a:ln>
                  </pic:spPr>
                </pic:pic>
              </a:graphicData>
            </a:graphic>
          </wp:inline>
        </w:drawing>
      </w:r>
    </w:p>
    <w:sectPr>
      <w:footerReference r:id="rId18" w:type="default"/>
      <w:pgSz w:w="11906" w:h="16838"/>
      <w:pgMar w:top="1701" w:right="1531" w:bottom="1701" w:left="1531" w:header="851" w:footer="992" w:gutter="0"/>
      <w:pgBorders>
        <w:top w:val="none" w:sz="0" w:space="0"/>
        <w:left w:val="none" w:sz="0" w:space="0"/>
        <w:bottom w:val="none" w:sz="0" w:space="0"/>
        <w:right w:val="none" w:sz="0" w:space="0"/>
      </w:pgBorders>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
    <w:panose1 w:val="02010609060101010101"/>
    <w:charset w:val="86"/>
    <w:family w:val="auto"/>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ingLiU">
    <w:panose1 w:val="02020509000000000000"/>
    <w:charset w:val="88"/>
    <w:family w:val="modern"/>
    <w:pitch w:val="default"/>
    <w:sig w:usb0="A00002FF" w:usb1="28CFFCFA" w:usb2="00000016" w:usb3="00000000" w:csb0="00100001" w:csb1="00000000"/>
  </w:font>
  <w:font w:name="宋体-18030">
    <w:altName w:val="宋体"/>
    <w:panose1 w:val="02010609060001010101"/>
    <w:charset w:val="86"/>
    <w:family w:val="modern"/>
    <w:pitch w:val="default"/>
    <w:sig w:usb0="00000000" w:usb1="00000000" w:usb2="000A005E" w:usb3="00000000" w:csb0="00040001" w:csb1="00000000"/>
  </w:font>
  <w:font w:name="新宋体-18030">
    <w:altName w:val="宋体"/>
    <w:panose1 w:val="02010609060001010101"/>
    <w:charset w:val="86"/>
    <w:family w:val="modern"/>
    <w:pitch w:val="default"/>
    <w:sig w:usb0="00000000" w:usb1="00000000" w:usb2="000A005E" w:usb3="00000000" w:csb0="00040001" w:csb1="00000000"/>
  </w:font>
  <w:font w:name="TimesNewRomanPSMT">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方正小标宋_GBK">
    <w:panose1 w:val="02000000000000000000"/>
    <w:charset w:val="86"/>
    <w:family w:val="script"/>
    <w:pitch w:val="default"/>
    <w:sig w:usb0="A00002BF" w:usb1="38CF7CFA" w:usb2="00082016" w:usb3="00000000" w:csb0="00040001" w:csb1="00000000"/>
  </w:font>
  <w:font w:name="_x000B__x000C_">
    <w:altName w:val="Times New Roman"/>
    <w:panose1 w:val="00000000000000000000"/>
    <w:charset w:val="00"/>
    <w:family w:val="roman"/>
    <w:pitch w:val="default"/>
    <w:sig w:usb0="00000000" w:usb1="00000000" w:usb2="00000000" w:usb3="00000000" w:csb0="00000001" w:csb1="00000000"/>
  </w:font>
  <w:font w:name="等线">
    <w:altName w:val="微软雅黑"/>
    <w:panose1 w:val="02010600030101010101"/>
    <w:charset w:val="86"/>
    <w:family w:val="auto"/>
    <w:pitch w:val="default"/>
    <w:sig w:usb0="00000000" w:usb1="00000000" w:usb2="00000016" w:usb3="00000000" w:csb0="0004000F" w:csb1="00000000"/>
  </w:font>
  <w:font w:name="方正小标宋简体">
    <w:panose1 w:val="03000509000000000000"/>
    <w:charset w:val="86"/>
    <w:family w:val="script"/>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EBCF65">
    <w:pPr>
      <w:pStyle w:val="23"/>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724DD5">
    <w:pPr>
      <w:pStyle w:val="23"/>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35D8608">
                          <w:pPr>
                            <w:pStyle w:val="23"/>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UJBg4AgAAcA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a5QkGDgCAABwBAAADgAAAAAAAAABACAAAAAfAQAAZHJzL2Uyb0RvYy54&#10;bWxQSwUGAAAAAAYABgBZAQAAyQUAAAAA&#10;">
              <v:fill on="f" focussize="0,0"/>
              <v:stroke on="f" weight="0.5pt"/>
              <v:imagedata o:title=""/>
              <o:lock v:ext="edit" aspectratio="f"/>
              <v:textbox inset="0mm,0mm,0mm,0mm" style="mso-fit-shape-to-text:t;">
                <w:txbxContent>
                  <w:p w14:paraId="635D8608">
                    <w:pPr>
                      <w:pStyle w:val="23"/>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A94982">
    <w:pPr>
      <w:pStyle w:val="23"/>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AA5001F">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Qw8oc4AgAAcA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JDDyhzgCAABwBAAADgAAAAAAAAABACAAAAAfAQAAZHJzL2Uyb0RvYy54&#10;bWxQSwUGAAAAAAYABgBZAQAAyQUAAAAA&#10;">
              <v:fill on="f" focussize="0,0"/>
              <v:stroke on="f" weight="0.5pt"/>
              <v:imagedata o:title=""/>
              <o:lock v:ext="edit" aspectratio="f"/>
              <v:textbox inset="0mm,0mm,0mm,0mm" style="mso-fit-shape-to-text:t;">
                <w:txbxContent>
                  <w:p w14:paraId="7AA5001F">
                    <w:pPr>
                      <w:pStyle w:val="23"/>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eastAsia="宋体"/>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1A418">
    <w:pPr>
      <w:pStyle w:val="23"/>
      <w:framePr w:wrap="around" w:vAnchor="text" w:hAnchor="margin" w:xAlign="center" w:y="1"/>
      <w:rPr>
        <w:rStyle w:val="36"/>
      </w:rPr>
    </w:pPr>
    <w:r>
      <w:fldChar w:fldCharType="begin"/>
    </w:r>
    <w:r>
      <w:rPr>
        <w:rStyle w:val="36"/>
      </w:rPr>
      <w:instrText xml:space="preserve">PAGE  </w:instrText>
    </w:r>
    <w:r>
      <w:fldChar w:fldCharType="end"/>
    </w:r>
  </w:p>
  <w:p w14:paraId="4CA25A6F">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A0D1EA">
    <w:pPr>
      <w:pStyle w:val="23"/>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983D939">
                          <w:pPr>
                            <w:pStyle w:val="23"/>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PAGE  </w:instrText>
                          </w:r>
                          <w:r>
                            <w:rPr>
                              <w:rFonts w:hint="default" w:ascii="Times New Roman" w:hAnsi="Times New Roman" w:eastAsia="宋体" w:cs="Times New Roman"/>
                            </w:rPr>
                            <w:fldChar w:fldCharType="separate"/>
                          </w:r>
                          <w:r>
                            <w:rPr>
                              <w:rFonts w:hint="default" w:ascii="Times New Roman" w:hAnsi="Times New Roman" w:eastAsia="宋体" w:cs="Times New Roman"/>
                            </w:rPr>
                            <w:t>9</w:t>
                          </w:r>
                          <w:r>
                            <w:rPr>
                              <w:rFonts w:hint="default" w:ascii="Times New Roman" w:hAnsi="Times New Roman" w:eastAsia="宋体" w:cs="Times New Roman"/>
                            </w:rPr>
                            <w:fldChar w:fldCharType="end"/>
                          </w:r>
                          <w:r>
                            <w:rPr>
                              <w:rFonts w:hint="default" w:ascii="Times New Roman" w:hAnsi="Times New Roman" w:eastAsia="宋体" w:cs="Times New Roman"/>
                            </w:rPr>
                            <w:t xml:space="preserve"> </w:t>
                          </w:r>
                        </w:p>
                      </w:txbxContent>
                    </wps:txbx>
                    <wps:bodyPr vert="horz" wrap="none" lIns="0" tIns="0" rIns="0" bIns="0" anchor="t" anchorCtr="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J2rBdXgAQAAwgMAAA4AAAAA&#10;AAAAAQAgAAAAHgEAAGRycy9lMm9Eb2MueG1sUEsFBgAAAAAGAAYAWQEAAHAFAAAAAA==&#10;">
              <v:fill on="f" focussize="0,0"/>
              <v:stroke on="f"/>
              <v:imagedata o:title=""/>
              <o:lock v:ext="edit" aspectratio="f"/>
              <v:textbox inset="0mm,0mm,0mm,0mm" style="mso-fit-shape-to-text:t;">
                <w:txbxContent>
                  <w:p w14:paraId="0983D939">
                    <w:pPr>
                      <w:pStyle w:val="23"/>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PAGE  </w:instrText>
                    </w:r>
                    <w:r>
                      <w:rPr>
                        <w:rFonts w:hint="default" w:ascii="Times New Roman" w:hAnsi="Times New Roman" w:eastAsia="宋体" w:cs="Times New Roman"/>
                      </w:rPr>
                      <w:fldChar w:fldCharType="separate"/>
                    </w:r>
                    <w:r>
                      <w:rPr>
                        <w:rFonts w:hint="default" w:ascii="Times New Roman" w:hAnsi="Times New Roman" w:eastAsia="宋体" w:cs="Times New Roman"/>
                      </w:rPr>
                      <w:t>9</w:t>
                    </w:r>
                    <w:r>
                      <w:rPr>
                        <w:rFonts w:hint="default" w:ascii="Times New Roman" w:hAnsi="Times New Roman" w:eastAsia="宋体" w:cs="Times New Roman"/>
                      </w:rPr>
                      <w:fldChar w:fldCharType="end"/>
                    </w:r>
                    <w:r>
                      <w:rPr>
                        <w:rFonts w:hint="default" w:ascii="Times New Roman" w:hAnsi="Times New Roman" w:eastAsia="宋体" w:cs="Times New Roman"/>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6ED2D">
    <w:pPr>
      <w:pStyle w:val="23"/>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4050B9">
                          <w:pPr>
                            <w:pStyle w:val="23"/>
                          </w:pPr>
                          <w:r>
                            <w:fldChar w:fldCharType="begin"/>
                          </w:r>
                          <w:r>
                            <w:instrText xml:space="preserve"> PAGE  \* MERGEFORMAT </w:instrText>
                          </w:r>
                          <w:r>
                            <w:fldChar w:fldCharType="separate"/>
                          </w:r>
                          <w:r>
                            <w:t>- 57 -</w:t>
                          </w:r>
                          <w:r>
                            <w:fldChar w:fldCharType="end"/>
                          </w:r>
                        </w:p>
                      </w:txbxContent>
                    </wps:txbx>
                    <wps:bodyPr vert="horz" wrap="none" lIns="0" tIns="0" rIns="0" bIns="0" anchor="t" anchorCtr="0" upright="0">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o5uy4QEAAMIDAAAOAAAA&#10;AAAAAAEAIAAAAB4BAABkcnMvZTJvRG9jLnhtbFBLBQYAAAAABgAGAFkBAABxBQAAAAA=&#10;">
              <v:fill on="f" focussize="0,0"/>
              <v:stroke on="f"/>
              <v:imagedata o:title=""/>
              <o:lock v:ext="edit" aspectratio="f"/>
              <v:textbox inset="0mm,0mm,0mm,0mm" style="mso-fit-shape-to-text:t;">
                <w:txbxContent>
                  <w:p w14:paraId="504050B9">
                    <w:pPr>
                      <w:pStyle w:val="23"/>
                    </w:pPr>
                    <w:r>
                      <w:fldChar w:fldCharType="begin"/>
                    </w:r>
                    <w:r>
                      <w:instrText xml:space="preserve"> PAGE  \* MERGEFORMAT </w:instrText>
                    </w:r>
                    <w:r>
                      <w:fldChar w:fldCharType="separate"/>
                    </w:r>
                    <w:r>
                      <w:t>- 57 -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231AEB">
    <w:pPr>
      <w:pStyle w:val="23"/>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ED8736">
                          <w:pPr>
                            <w:pStyle w:val="23"/>
                          </w:pPr>
                          <w:r>
                            <w:fldChar w:fldCharType="begin"/>
                          </w:r>
                          <w:r>
                            <w:instrText xml:space="preserve"> PAGE  \* MERGEFORMAT </w:instrText>
                          </w:r>
                          <w:r>
                            <w:fldChar w:fldCharType="separate"/>
                          </w:r>
                          <w:r>
                            <w:t>- 3 -</w:t>
                          </w:r>
                          <w:r>
                            <w:fldChar w:fldCharType="end"/>
                          </w:r>
                        </w:p>
                      </w:txbxContent>
                    </wps:txbx>
                    <wps:bodyPr vert="horz" wrap="none" lIns="0" tIns="0" rIns="0" bIns="0" anchor="t" anchorCtr="0" upright="0">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KLXWvfgAQAAwgMAAA4AAAAA&#10;AAAAAQAgAAAAHgEAAGRycy9lMm9Eb2MueG1sUEsFBgAAAAAGAAYAWQEAAHAFAAAAAA==&#10;">
              <v:fill on="f" focussize="0,0"/>
              <v:stroke on="f"/>
              <v:imagedata o:title=""/>
              <o:lock v:ext="edit" aspectratio="f"/>
              <v:textbox inset="0mm,0mm,0mm,0mm" style="mso-fit-shape-to-text:t;">
                <w:txbxContent>
                  <w:p w14:paraId="20ED8736">
                    <w:pPr>
                      <w:pStyle w:val="23"/>
                    </w:pPr>
                    <w:r>
                      <w:fldChar w:fldCharType="begin"/>
                    </w:r>
                    <w:r>
                      <w:instrText xml:space="preserve"> PAGE  \* MERGEFORMAT </w:instrText>
                    </w:r>
                    <w:r>
                      <w:fldChar w:fldCharType="separate"/>
                    </w:r>
                    <w:r>
                      <w:t>- 3 -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6D35E1">
    <w:pPr>
      <w:pStyle w:val="23"/>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C0D950">
                          <w:pPr>
                            <w:pStyle w:val="23"/>
                          </w:pPr>
                          <w:r>
                            <w:fldChar w:fldCharType="begin"/>
                          </w:r>
                          <w:r>
                            <w:instrText xml:space="preserve"> PAGE  \* MERGEFORMAT </w:instrText>
                          </w:r>
                          <w:r>
                            <w:fldChar w:fldCharType="separate"/>
                          </w:r>
                          <w:r>
                            <w:t>- 5 -</w:t>
                          </w:r>
                          <w:r>
                            <w:fldChar w:fldCharType="end"/>
                          </w:r>
                        </w:p>
                      </w:txbxContent>
                    </wps:txbx>
                    <wps:bodyPr vert="horz" wrap="none" lIns="0" tIns="0" rIns="0" bIns="0" anchor="t" anchorCtr="0" upright="0">
                      <a:spAutoFit/>
                    </wps:bodyPr>
                  </wps:wsp>
                </a:graphicData>
              </a:graphic>
            </wp:anchor>
          </w:drawing>
        </mc:Choice>
        <mc:Fallback>
          <w:pict>
            <v:shape id="文本框 1031"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lAZWh+IBAADCAwAADgAA&#10;AAAAAAABACAAAAAeAQAAZHJzL2Uyb0RvYy54bWxQSwUGAAAAAAYABgBZAQAAcgUAAAAA&#10;">
              <v:fill on="f" focussize="0,0"/>
              <v:stroke on="f"/>
              <v:imagedata o:title=""/>
              <o:lock v:ext="edit" aspectratio="f"/>
              <v:textbox inset="0mm,0mm,0mm,0mm" style="mso-fit-shape-to-text:t;">
                <w:txbxContent>
                  <w:p w14:paraId="4AC0D950">
                    <w:pPr>
                      <w:pStyle w:val="23"/>
                    </w:pPr>
                    <w:r>
                      <w:fldChar w:fldCharType="begin"/>
                    </w:r>
                    <w:r>
                      <w:instrText xml:space="preserve"> PAGE  \* MERGEFORMAT </w:instrText>
                    </w:r>
                    <w:r>
                      <w:fldChar w:fldCharType="separate"/>
                    </w:r>
                    <w:r>
                      <w:t>- 5 -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8A5A61">
    <w:pPr>
      <w:pStyle w:val="23"/>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5A474">
    <w:pPr>
      <w:pStyle w:val="23"/>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56434">
    <w:pPr>
      <w:pStyle w:val="23"/>
    </w:pPr>
    <w:r>
      <w:rPr>
        <w:sz w:val="18"/>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326637">
                          <w:pPr>
                            <w:pStyle w:val="23"/>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7D326637">
                    <w:pPr>
                      <w:pStyle w:val="23"/>
                    </w:pPr>
                    <w:r>
                      <w:fldChar w:fldCharType="begin"/>
                    </w:r>
                    <w:r>
                      <w:instrText xml:space="preserve"> PAGE  \* MERGEFORMAT </w:instrText>
                    </w:r>
                    <w:r>
                      <w:fldChar w:fldCharType="separate"/>
                    </w:r>
                    <w:r>
                      <w:t>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5183B">
    <w:pPr>
      <w:pStyle w:val="4"/>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BE3BFB">
    <w:pPr>
      <w:pStyle w:val="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BF2C5">
    <w:pPr>
      <w:pStyle w:val="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428527">
    <w:pPr>
      <w:pStyle w:val="4"/>
      <w:pBdr>
        <w:bottom w:val="none" w:color="auto" w:sz="0" w:space="0"/>
      </w:pBdr>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50EBE">
    <w:pPr>
      <w:pStyle w:val="4"/>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E867A9"/>
    <w:multiLevelType w:val="singleLevel"/>
    <w:tmpl w:val="8FE867A9"/>
    <w:lvl w:ilvl="0" w:tentative="0">
      <w:start w:val="2"/>
      <w:numFmt w:val="decimal"/>
      <w:suff w:val="nothing"/>
      <w:lvlText w:val="%1、"/>
      <w:lvlJc w:val="left"/>
    </w:lvl>
  </w:abstractNum>
  <w:abstractNum w:abstractNumId="1">
    <w:nsid w:val="9F7E02ED"/>
    <w:multiLevelType w:val="singleLevel"/>
    <w:tmpl w:val="9F7E02ED"/>
    <w:lvl w:ilvl="0" w:tentative="0">
      <w:start w:val="1"/>
      <w:numFmt w:val="bullet"/>
      <w:pStyle w:val="8"/>
      <w:lvlText w:val=""/>
      <w:lvlJc w:val="left"/>
      <w:pPr>
        <w:tabs>
          <w:tab w:val="left" w:pos="2040"/>
        </w:tabs>
        <w:ind w:left="2040" w:hanging="360"/>
      </w:pPr>
      <w:rPr>
        <w:rFonts w:hint="default" w:ascii="Wingdings" w:hAnsi="Wingdings"/>
      </w:rPr>
    </w:lvl>
  </w:abstractNum>
  <w:abstractNum w:abstractNumId="2">
    <w:nsid w:val="C86B5DFB"/>
    <w:multiLevelType w:val="singleLevel"/>
    <w:tmpl w:val="C86B5DFB"/>
    <w:lvl w:ilvl="0" w:tentative="0">
      <w:start w:val="1"/>
      <w:numFmt w:val="decimal"/>
      <w:suff w:val="nothing"/>
      <w:lvlText w:val="%1、"/>
      <w:lvlJc w:val="left"/>
    </w:lvl>
  </w:abstractNum>
  <w:abstractNum w:abstractNumId="3">
    <w:nsid w:val="CF9A556B"/>
    <w:multiLevelType w:val="singleLevel"/>
    <w:tmpl w:val="CF9A556B"/>
    <w:lvl w:ilvl="0" w:tentative="0">
      <w:start w:val="1"/>
      <w:numFmt w:val="decimal"/>
      <w:suff w:val="nothing"/>
      <w:lvlText w:val="%1、"/>
      <w:lvlJc w:val="left"/>
    </w:lvl>
  </w:abstractNum>
  <w:abstractNum w:abstractNumId="4">
    <w:nsid w:val="D595AD83"/>
    <w:multiLevelType w:val="singleLevel"/>
    <w:tmpl w:val="D595AD83"/>
    <w:lvl w:ilvl="0" w:tentative="0">
      <w:start w:val="1"/>
      <w:numFmt w:val="decimal"/>
      <w:suff w:val="nothing"/>
      <w:lvlText w:val="%1、"/>
      <w:lvlJc w:val="left"/>
    </w:lvl>
  </w:abstractNum>
  <w:abstractNum w:abstractNumId="5">
    <w:nsid w:val="DAD5A6D5"/>
    <w:multiLevelType w:val="singleLevel"/>
    <w:tmpl w:val="DAD5A6D5"/>
    <w:lvl w:ilvl="0" w:tentative="0">
      <w:start w:val="3"/>
      <w:numFmt w:val="chineseCounting"/>
      <w:suff w:val="nothing"/>
      <w:lvlText w:val="%1、"/>
      <w:lvlJc w:val="left"/>
      <w:rPr>
        <w:rFonts w:hint="eastAsia"/>
      </w:rPr>
    </w:lvl>
  </w:abstractNum>
  <w:abstractNum w:abstractNumId="6">
    <w:nsid w:val="F8A5AE1A"/>
    <w:multiLevelType w:val="singleLevel"/>
    <w:tmpl w:val="F8A5AE1A"/>
    <w:lvl w:ilvl="0" w:tentative="0">
      <w:start w:val="5"/>
      <w:numFmt w:val="decimal"/>
      <w:suff w:val="nothing"/>
      <w:lvlText w:val="%1、"/>
      <w:lvlJc w:val="left"/>
    </w:lvl>
  </w:abstractNum>
  <w:abstractNum w:abstractNumId="7">
    <w:nsid w:val="0DE07AEE"/>
    <w:multiLevelType w:val="multilevel"/>
    <w:tmpl w:val="0DE07AEE"/>
    <w:lvl w:ilvl="0" w:tentative="0">
      <w:start w:val="1"/>
      <w:numFmt w:val="decimal"/>
      <w:suff w:val="nothing"/>
      <w:lvlText w:val="（%1）"/>
      <w:lvlJc w:val="left"/>
      <w:pPr>
        <w:ind w:left="1095" w:hanging="420"/>
      </w:pPr>
      <w:rPr>
        <w:rFonts w:hint="eastAsia"/>
      </w:rPr>
    </w:lvl>
    <w:lvl w:ilvl="1" w:tentative="0">
      <w:start w:val="1"/>
      <w:numFmt w:val="lowerLetter"/>
      <w:lvlText w:val="%2)"/>
      <w:lvlJc w:val="left"/>
      <w:pPr>
        <w:ind w:left="1515" w:hanging="420"/>
      </w:pPr>
    </w:lvl>
    <w:lvl w:ilvl="2" w:tentative="0">
      <w:start w:val="1"/>
      <w:numFmt w:val="lowerRoman"/>
      <w:lvlText w:val="%3."/>
      <w:lvlJc w:val="right"/>
      <w:pPr>
        <w:ind w:left="1935" w:hanging="420"/>
      </w:pPr>
    </w:lvl>
    <w:lvl w:ilvl="3" w:tentative="0">
      <w:start w:val="1"/>
      <w:numFmt w:val="decimal"/>
      <w:lvlText w:val="%4."/>
      <w:lvlJc w:val="left"/>
      <w:pPr>
        <w:ind w:left="2355" w:hanging="420"/>
      </w:pPr>
    </w:lvl>
    <w:lvl w:ilvl="4" w:tentative="0">
      <w:start w:val="1"/>
      <w:numFmt w:val="lowerLetter"/>
      <w:lvlText w:val="%5)"/>
      <w:lvlJc w:val="left"/>
      <w:pPr>
        <w:ind w:left="2775" w:hanging="420"/>
      </w:pPr>
    </w:lvl>
    <w:lvl w:ilvl="5" w:tentative="0">
      <w:start w:val="1"/>
      <w:numFmt w:val="lowerRoman"/>
      <w:lvlText w:val="%6."/>
      <w:lvlJc w:val="right"/>
      <w:pPr>
        <w:ind w:left="3195" w:hanging="420"/>
      </w:pPr>
    </w:lvl>
    <w:lvl w:ilvl="6" w:tentative="0">
      <w:start w:val="1"/>
      <w:numFmt w:val="decimal"/>
      <w:lvlText w:val="%7."/>
      <w:lvlJc w:val="left"/>
      <w:pPr>
        <w:ind w:left="3615" w:hanging="420"/>
      </w:pPr>
    </w:lvl>
    <w:lvl w:ilvl="7" w:tentative="0">
      <w:start w:val="1"/>
      <w:numFmt w:val="lowerLetter"/>
      <w:lvlText w:val="%8)"/>
      <w:lvlJc w:val="left"/>
      <w:pPr>
        <w:ind w:left="4035" w:hanging="420"/>
      </w:pPr>
    </w:lvl>
    <w:lvl w:ilvl="8" w:tentative="0">
      <w:start w:val="1"/>
      <w:numFmt w:val="lowerRoman"/>
      <w:lvlText w:val="%9."/>
      <w:lvlJc w:val="right"/>
      <w:pPr>
        <w:ind w:left="4455" w:hanging="420"/>
      </w:pPr>
    </w:lvl>
  </w:abstractNum>
  <w:abstractNum w:abstractNumId="8">
    <w:nsid w:val="555E2CB4"/>
    <w:multiLevelType w:val="singleLevel"/>
    <w:tmpl w:val="555E2CB4"/>
    <w:lvl w:ilvl="0" w:tentative="0">
      <w:start w:val="5"/>
      <w:numFmt w:val="decimal"/>
      <w:suff w:val="nothing"/>
      <w:lvlText w:val="（%1）"/>
      <w:lvlJc w:val="left"/>
    </w:lvl>
  </w:abstractNum>
  <w:abstractNum w:abstractNumId="9">
    <w:nsid w:val="55933D2D"/>
    <w:multiLevelType w:val="multilevel"/>
    <w:tmpl w:val="55933D2D"/>
    <w:lvl w:ilvl="0" w:tentative="0">
      <w:start w:val="1"/>
      <w:numFmt w:val="decimal"/>
      <w:suff w:val="nothing"/>
      <w:lvlText w:val="（%1）"/>
      <w:lvlJc w:val="left"/>
      <w:pPr>
        <w:ind w:left="1095" w:hanging="420"/>
      </w:pPr>
      <w:rPr>
        <w:rFonts w:hint="eastAsia"/>
      </w:rPr>
    </w:lvl>
    <w:lvl w:ilvl="1" w:tentative="0">
      <w:start w:val="1"/>
      <w:numFmt w:val="lowerLetter"/>
      <w:lvlText w:val="%2)"/>
      <w:lvlJc w:val="left"/>
      <w:pPr>
        <w:ind w:left="1515" w:hanging="420"/>
      </w:pPr>
    </w:lvl>
    <w:lvl w:ilvl="2" w:tentative="0">
      <w:start w:val="1"/>
      <w:numFmt w:val="lowerRoman"/>
      <w:lvlText w:val="%3."/>
      <w:lvlJc w:val="right"/>
      <w:pPr>
        <w:ind w:left="1935" w:hanging="420"/>
      </w:pPr>
    </w:lvl>
    <w:lvl w:ilvl="3" w:tentative="0">
      <w:start w:val="1"/>
      <w:numFmt w:val="decimal"/>
      <w:lvlText w:val="%4."/>
      <w:lvlJc w:val="left"/>
      <w:pPr>
        <w:ind w:left="2355" w:hanging="420"/>
      </w:pPr>
    </w:lvl>
    <w:lvl w:ilvl="4" w:tentative="0">
      <w:start w:val="1"/>
      <w:numFmt w:val="lowerLetter"/>
      <w:lvlText w:val="%5)"/>
      <w:lvlJc w:val="left"/>
      <w:pPr>
        <w:ind w:left="2775" w:hanging="420"/>
      </w:pPr>
    </w:lvl>
    <w:lvl w:ilvl="5" w:tentative="0">
      <w:start w:val="1"/>
      <w:numFmt w:val="lowerRoman"/>
      <w:lvlText w:val="%6."/>
      <w:lvlJc w:val="right"/>
      <w:pPr>
        <w:ind w:left="3195" w:hanging="420"/>
      </w:pPr>
    </w:lvl>
    <w:lvl w:ilvl="6" w:tentative="0">
      <w:start w:val="1"/>
      <w:numFmt w:val="decimal"/>
      <w:lvlText w:val="%7."/>
      <w:lvlJc w:val="left"/>
      <w:pPr>
        <w:ind w:left="3615" w:hanging="420"/>
      </w:pPr>
    </w:lvl>
    <w:lvl w:ilvl="7" w:tentative="0">
      <w:start w:val="1"/>
      <w:numFmt w:val="lowerLetter"/>
      <w:lvlText w:val="%8)"/>
      <w:lvlJc w:val="left"/>
      <w:pPr>
        <w:ind w:left="4035" w:hanging="420"/>
      </w:pPr>
    </w:lvl>
    <w:lvl w:ilvl="8" w:tentative="0">
      <w:start w:val="1"/>
      <w:numFmt w:val="lowerRoman"/>
      <w:lvlText w:val="%9."/>
      <w:lvlJc w:val="right"/>
      <w:pPr>
        <w:ind w:left="4455" w:hanging="420"/>
      </w:pPr>
    </w:lvl>
  </w:abstractNum>
  <w:abstractNum w:abstractNumId="10">
    <w:nsid w:val="623E3AB0"/>
    <w:multiLevelType w:val="singleLevel"/>
    <w:tmpl w:val="623E3AB0"/>
    <w:lvl w:ilvl="0" w:tentative="0">
      <w:start w:val="1"/>
      <w:numFmt w:val="decimal"/>
      <w:suff w:val="nothing"/>
      <w:lvlText w:val="%1、"/>
      <w:lvlJc w:val="left"/>
    </w:lvl>
  </w:abstractNum>
  <w:num w:numId="1">
    <w:abstractNumId w:val="1"/>
  </w:num>
  <w:num w:numId="2">
    <w:abstractNumId w:val="4"/>
  </w:num>
  <w:num w:numId="3">
    <w:abstractNumId w:val="10"/>
  </w:num>
  <w:num w:numId="4">
    <w:abstractNumId w:val="2"/>
  </w:num>
  <w:num w:numId="5">
    <w:abstractNumId w:val="6"/>
  </w:num>
  <w:num w:numId="6">
    <w:abstractNumId w:val="5"/>
  </w:num>
  <w:num w:numId="7">
    <w:abstractNumId w:val="8"/>
  </w:num>
  <w:num w:numId="8">
    <w:abstractNumId w:val="3"/>
  </w:num>
  <w:num w:numId="9">
    <w:abstractNumId w:val="9"/>
  </w:num>
  <w:num w:numId="10">
    <w:abstractNumId w:val="7"/>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I1ZmY4NzgwYzZmM2U2M2IwYjYzMzhkNmJkZDc0MDUifQ=="/>
  </w:docVars>
  <w:rsids>
    <w:rsidRoot w:val="00172A27"/>
    <w:rsid w:val="000050B2"/>
    <w:rsid w:val="000060B3"/>
    <w:rsid w:val="00023000"/>
    <w:rsid w:val="00042539"/>
    <w:rsid w:val="00042D0C"/>
    <w:rsid w:val="0004364B"/>
    <w:rsid w:val="00061B1F"/>
    <w:rsid w:val="00071578"/>
    <w:rsid w:val="000733C4"/>
    <w:rsid w:val="00074783"/>
    <w:rsid w:val="0008070B"/>
    <w:rsid w:val="000810AC"/>
    <w:rsid w:val="00081A02"/>
    <w:rsid w:val="00082231"/>
    <w:rsid w:val="00092D38"/>
    <w:rsid w:val="0009377B"/>
    <w:rsid w:val="00097B0B"/>
    <w:rsid w:val="000A20C9"/>
    <w:rsid w:val="000B058F"/>
    <w:rsid w:val="000B4467"/>
    <w:rsid w:val="000B4DB9"/>
    <w:rsid w:val="000C024B"/>
    <w:rsid w:val="000C09AC"/>
    <w:rsid w:val="000C767F"/>
    <w:rsid w:val="000D5A44"/>
    <w:rsid w:val="000E3ED2"/>
    <w:rsid w:val="00131F42"/>
    <w:rsid w:val="001357F1"/>
    <w:rsid w:val="00140FA8"/>
    <w:rsid w:val="00142FEB"/>
    <w:rsid w:val="00143A2D"/>
    <w:rsid w:val="00145A41"/>
    <w:rsid w:val="00150FFD"/>
    <w:rsid w:val="00151675"/>
    <w:rsid w:val="001570FF"/>
    <w:rsid w:val="00157435"/>
    <w:rsid w:val="0017403C"/>
    <w:rsid w:val="0017504D"/>
    <w:rsid w:val="0017671A"/>
    <w:rsid w:val="00177422"/>
    <w:rsid w:val="0018099E"/>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141E"/>
    <w:rsid w:val="002125B4"/>
    <w:rsid w:val="002155B8"/>
    <w:rsid w:val="00224839"/>
    <w:rsid w:val="002249B2"/>
    <w:rsid w:val="00225378"/>
    <w:rsid w:val="00226574"/>
    <w:rsid w:val="002278EC"/>
    <w:rsid w:val="0023280E"/>
    <w:rsid w:val="002377D1"/>
    <w:rsid w:val="002506BC"/>
    <w:rsid w:val="0025299C"/>
    <w:rsid w:val="00254345"/>
    <w:rsid w:val="00264557"/>
    <w:rsid w:val="002805AB"/>
    <w:rsid w:val="00284204"/>
    <w:rsid w:val="00291773"/>
    <w:rsid w:val="002A168C"/>
    <w:rsid w:val="002A3DC7"/>
    <w:rsid w:val="002B49E2"/>
    <w:rsid w:val="002B7B00"/>
    <w:rsid w:val="002B7B47"/>
    <w:rsid w:val="002B7C44"/>
    <w:rsid w:val="002C2B17"/>
    <w:rsid w:val="002D3DD0"/>
    <w:rsid w:val="002E1F3A"/>
    <w:rsid w:val="002E298A"/>
    <w:rsid w:val="00301978"/>
    <w:rsid w:val="003023AB"/>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2DA2"/>
    <w:rsid w:val="003B420D"/>
    <w:rsid w:val="003C6C16"/>
    <w:rsid w:val="003D794D"/>
    <w:rsid w:val="003E3058"/>
    <w:rsid w:val="003E76A9"/>
    <w:rsid w:val="003F0809"/>
    <w:rsid w:val="003F6A8C"/>
    <w:rsid w:val="003F755C"/>
    <w:rsid w:val="004052F1"/>
    <w:rsid w:val="00406F01"/>
    <w:rsid w:val="00416D50"/>
    <w:rsid w:val="00416FD5"/>
    <w:rsid w:val="00417772"/>
    <w:rsid w:val="00420E6A"/>
    <w:rsid w:val="00425A9E"/>
    <w:rsid w:val="00426D6B"/>
    <w:rsid w:val="00431E6C"/>
    <w:rsid w:val="00433CE7"/>
    <w:rsid w:val="004479E5"/>
    <w:rsid w:val="00452738"/>
    <w:rsid w:val="00456091"/>
    <w:rsid w:val="00466321"/>
    <w:rsid w:val="00484B9B"/>
    <w:rsid w:val="004855F6"/>
    <w:rsid w:val="0048661E"/>
    <w:rsid w:val="00490B57"/>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05DD"/>
    <w:rsid w:val="00542E07"/>
    <w:rsid w:val="00545424"/>
    <w:rsid w:val="0054548D"/>
    <w:rsid w:val="00554A7B"/>
    <w:rsid w:val="0055572C"/>
    <w:rsid w:val="0056106A"/>
    <w:rsid w:val="005720AE"/>
    <w:rsid w:val="00581E3E"/>
    <w:rsid w:val="00594D77"/>
    <w:rsid w:val="005969E4"/>
    <w:rsid w:val="005A06B7"/>
    <w:rsid w:val="005A1759"/>
    <w:rsid w:val="005A3C52"/>
    <w:rsid w:val="005A68A7"/>
    <w:rsid w:val="005D36AB"/>
    <w:rsid w:val="005E4F63"/>
    <w:rsid w:val="00617CC3"/>
    <w:rsid w:val="006377A6"/>
    <w:rsid w:val="00637A3D"/>
    <w:rsid w:val="006411EF"/>
    <w:rsid w:val="0065769C"/>
    <w:rsid w:val="006748B8"/>
    <w:rsid w:val="006775C3"/>
    <w:rsid w:val="006927C1"/>
    <w:rsid w:val="0069290A"/>
    <w:rsid w:val="0069775A"/>
    <w:rsid w:val="00697813"/>
    <w:rsid w:val="006A3EE8"/>
    <w:rsid w:val="006A72BF"/>
    <w:rsid w:val="006B03F2"/>
    <w:rsid w:val="006B37DC"/>
    <w:rsid w:val="006B4F68"/>
    <w:rsid w:val="006C0592"/>
    <w:rsid w:val="006C272E"/>
    <w:rsid w:val="006C5479"/>
    <w:rsid w:val="006D13B5"/>
    <w:rsid w:val="006E12FF"/>
    <w:rsid w:val="006E2A6B"/>
    <w:rsid w:val="006E607E"/>
    <w:rsid w:val="00706C5D"/>
    <w:rsid w:val="00732922"/>
    <w:rsid w:val="0075162E"/>
    <w:rsid w:val="00754034"/>
    <w:rsid w:val="00756556"/>
    <w:rsid w:val="007618C4"/>
    <w:rsid w:val="00767980"/>
    <w:rsid w:val="00770B19"/>
    <w:rsid w:val="0077463F"/>
    <w:rsid w:val="007754BF"/>
    <w:rsid w:val="007836EA"/>
    <w:rsid w:val="00784A7E"/>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44285"/>
    <w:rsid w:val="00870620"/>
    <w:rsid w:val="0087135F"/>
    <w:rsid w:val="00872D94"/>
    <w:rsid w:val="00880364"/>
    <w:rsid w:val="00891592"/>
    <w:rsid w:val="00891E9E"/>
    <w:rsid w:val="00893649"/>
    <w:rsid w:val="008A2F68"/>
    <w:rsid w:val="008B4FA6"/>
    <w:rsid w:val="008B5282"/>
    <w:rsid w:val="008B7C17"/>
    <w:rsid w:val="008C2D01"/>
    <w:rsid w:val="008C40E6"/>
    <w:rsid w:val="008D0F7A"/>
    <w:rsid w:val="008D16A8"/>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10A1"/>
    <w:rsid w:val="00982438"/>
    <w:rsid w:val="0098404C"/>
    <w:rsid w:val="00985283"/>
    <w:rsid w:val="00995992"/>
    <w:rsid w:val="009A03E5"/>
    <w:rsid w:val="009A0852"/>
    <w:rsid w:val="009A0F3B"/>
    <w:rsid w:val="009A1BB4"/>
    <w:rsid w:val="009A2628"/>
    <w:rsid w:val="009A3200"/>
    <w:rsid w:val="009A5857"/>
    <w:rsid w:val="009B0897"/>
    <w:rsid w:val="009B7BD9"/>
    <w:rsid w:val="009C7DD5"/>
    <w:rsid w:val="009E01E3"/>
    <w:rsid w:val="009E227D"/>
    <w:rsid w:val="009E5019"/>
    <w:rsid w:val="00A04F1B"/>
    <w:rsid w:val="00A0501B"/>
    <w:rsid w:val="00A139CE"/>
    <w:rsid w:val="00A14947"/>
    <w:rsid w:val="00A16BE5"/>
    <w:rsid w:val="00A32A83"/>
    <w:rsid w:val="00A368DB"/>
    <w:rsid w:val="00A41D95"/>
    <w:rsid w:val="00A423AA"/>
    <w:rsid w:val="00A53EC6"/>
    <w:rsid w:val="00A55C0F"/>
    <w:rsid w:val="00A6244D"/>
    <w:rsid w:val="00A8713F"/>
    <w:rsid w:val="00A90BA1"/>
    <w:rsid w:val="00A97A9A"/>
    <w:rsid w:val="00AA0671"/>
    <w:rsid w:val="00AA2531"/>
    <w:rsid w:val="00AB1E09"/>
    <w:rsid w:val="00AB5330"/>
    <w:rsid w:val="00AB7747"/>
    <w:rsid w:val="00AC14CE"/>
    <w:rsid w:val="00AC2A56"/>
    <w:rsid w:val="00AD055E"/>
    <w:rsid w:val="00AD47A7"/>
    <w:rsid w:val="00AE30C4"/>
    <w:rsid w:val="00AF0CBF"/>
    <w:rsid w:val="00AF257F"/>
    <w:rsid w:val="00AF33CF"/>
    <w:rsid w:val="00AF4D50"/>
    <w:rsid w:val="00AF6179"/>
    <w:rsid w:val="00B00565"/>
    <w:rsid w:val="00B1295A"/>
    <w:rsid w:val="00B20A45"/>
    <w:rsid w:val="00B22C5C"/>
    <w:rsid w:val="00B24F30"/>
    <w:rsid w:val="00B25C21"/>
    <w:rsid w:val="00B2683C"/>
    <w:rsid w:val="00B31ABF"/>
    <w:rsid w:val="00B33BE3"/>
    <w:rsid w:val="00B53B5D"/>
    <w:rsid w:val="00B6055E"/>
    <w:rsid w:val="00B6317D"/>
    <w:rsid w:val="00B71F65"/>
    <w:rsid w:val="00B7723F"/>
    <w:rsid w:val="00B80534"/>
    <w:rsid w:val="00B83D81"/>
    <w:rsid w:val="00B8433C"/>
    <w:rsid w:val="00B87491"/>
    <w:rsid w:val="00BA29E9"/>
    <w:rsid w:val="00BA7142"/>
    <w:rsid w:val="00BA7CA7"/>
    <w:rsid w:val="00BB237C"/>
    <w:rsid w:val="00BB41A3"/>
    <w:rsid w:val="00BC32DC"/>
    <w:rsid w:val="00BC35B6"/>
    <w:rsid w:val="00BC3A1F"/>
    <w:rsid w:val="00BD1B51"/>
    <w:rsid w:val="00BD4596"/>
    <w:rsid w:val="00BE1405"/>
    <w:rsid w:val="00BE312D"/>
    <w:rsid w:val="00BE32F3"/>
    <w:rsid w:val="00BF1C20"/>
    <w:rsid w:val="00C10578"/>
    <w:rsid w:val="00C135BC"/>
    <w:rsid w:val="00C15C95"/>
    <w:rsid w:val="00C2596A"/>
    <w:rsid w:val="00C27537"/>
    <w:rsid w:val="00C328FE"/>
    <w:rsid w:val="00C33507"/>
    <w:rsid w:val="00C36B5B"/>
    <w:rsid w:val="00C4409D"/>
    <w:rsid w:val="00C44E72"/>
    <w:rsid w:val="00C45A06"/>
    <w:rsid w:val="00C47E5B"/>
    <w:rsid w:val="00C61E4B"/>
    <w:rsid w:val="00C64BFF"/>
    <w:rsid w:val="00C704E9"/>
    <w:rsid w:val="00C763C9"/>
    <w:rsid w:val="00C80057"/>
    <w:rsid w:val="00C82232"/>
    <w:rsid w:val="00C82913"/>
    <w:rsid w:val="00C85F20"/>
    <w:rsid w:val="00C972B1"/>
    <w:rsid w:val="00CA2CCE"/>
    <w:rsid w:val="00CA43FD"/>
    <w:rsid w:val="00CA7EF8"/>
    <w:rsid w:val="00CB33A4"/>
    <w:rsid w:val="00CC489B"/>
    <w:rsid w:val="00CC4F00"/>
    <w:rsid w:val="00CD2BCD"/>
    <w:rsid w:val="00CD3536"/>
    <w:rsid w:val="00CD3A4C"/>
    <w:rsid w:val="00CE10E9"/>
    <w:rsid w:val="00CE2910"/>
    <w:rsid w:val="00CE5393"/>
    <w:rsid w:val="00CF36BE"/>
    <w:rsid w:val="00CF6000"/>
    <w:rsid w:val="00D003F3"/>
    <w:rsid w:val="00D02373"/>
    <w:rsid w:val="00D0364F"/>
    <w:rsid w:val="00D06834"/>
    <w:rsid w:val="00D24FF0"/>
    <w:rsid w:val="00D308ED"/>
    <w:rsid w:val="00D348C5"/>
    <w:rsid w:val="00D36D86"/>
    <w:rsid w:val="00D428AA"/>
    <w:rsid w:val="00D50A34"/>
    <w:rsid w:val="00D53EFA"/>
    <w:rsid w:val="00D94A7C"/>
    <w:rsid w:val="00D95896"/>
    <w:rsid w:val="00DB2983"/>
    <w:rsid w:val="00DC1257"/>
    <w:rsid w:val="00DC3DC0"/>
    <w:rsid w:val="00DC5B2B"/>
    <w:rsid w:val="00DD318D"/>
    <w:rsid w:val="00DF09EA"/>
    <w:rsid w:val="00DF2E12"/>
    <w:rsid w:val="00DF514A"/>
    <w:rsid w:val="00DF6690"/>
    <w:rsid w:val="00DF6804"/>
    <w:rsid w:val="00E0358D"/>
    <w:rsid w:val="00E03DCF"/>
    <w:rsid w:val="00E04323"/>
    <w:rsid w:val="00E070A2"/>
    <w:rsid w:val="00E2656A"/>
    <w:rsid w:val="00E412D0"/>
    <w:rsid w:val="00E56322"/>
    <w:rsid w:val="00E60982"/>
    <w:rsid w:val="00E6284A"/>
    <w:rsid w:val="00E62C62"/>
    <w:rsid w:val="00E654C1"/>
    <w:rsid w:val="00E65D97"/>
    <w:rsid w:val="00E72A5A"/>
    <w:rsid w:val="00E73354"/>
    <w:rsid w:val="00E9242D"/>
    <w:rsid w:val="00EB5255"/>
    <w:rsid w:val="00EB5B25"/>
    <w:rsid w:val="00EB5C47"/>
    <w:rsid w:val="00ED0639"/>
    <w:rsid w:val="00ED1E2A"/>
    <w:rsid w:val="00EF3127"/>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A7CB8"/>
    <w:rsid w:val="00FB503A"/>
    <w:rsid w:val="00FB516C"/>
    <w:rsid w:val="00FB7DDD"/>
    <w:rsid w:val="00FC02BF"/>
    <w:rsid w:val="00FD0236"/>
    <w:rsid w:val="00FD18F4"/>
    <w:rsid w:val="00FD54DB"/>
    <w:rsid w:val="00FD619F"/>
    <w:rsid w:val="010158D6"/>
    <w:rsid w:val="010C5839"/>
    <w:rsid w:val="01155EFB"/>
    <w:rsid w:val="01290F7E"/>
    <w:rsid w:val="013435B5"/>
    <w:rsid w:val="01350C9C"/>
    <w:rsid w:val="01366559"/>
    <w:rsid w:val="01396E1E"/>
    <w:rsid w:val="013C06BC"/>
    <w:rsid w:val="01444AF2"/>
    <w:rsid w:val="01447C0F"/>
    <w:rsid w:val="014A102B"/>
    <w:rsid w:val="014A7E1C"/>
    <w:rsid w:val="01562C2C"/>
    <w:rsid w:val="015754F6"/>
    <w:rsid w:val="01583748"/>
    <w:rsid w:val="015D1E09"/>
    <w:rsid w:val="015E047B"/>
    <w:rsid w:val="015F4A27"/>
    <w:rsid w:val="016025FC"/>
    <w:rsid w:val="016A206F"/>
    <w:rsid w:val="016D6AC7"/>
    <w:rsid w:val="0170465E"/>
    <w:rsid w:val="01714809"/>
    <w:rsid w:val="01722330"/>
    <w:rsid w:val="01771818"/>
    <w:rsid w:val="017D31AE"/>
    <w:rsid w:val="01916C5A"/>
    <w:rsid w:val="01925EE9"/>
    <w:rsid w:val="019623AB"/>
    <w:rsid w:val="01A06883"/>
    <w:rsid w:val="01AA4CF6"/>
    <w:rsid w:val="01B315B0"/>
    <w:rsid w:val="01B45EC4"/>
    <w:rsid w:val="01B56A63"/>
    <w:rsid w:val="01BF5575"/>
    <w:rsid w:val="01C25065"/>
    <w:rsid w:val="01C34939"/>
    <w:rsid w:val="01C73C8F"/>
    <w:rsid w:val="01CE57B8"/>
    <w:rsid w:val="01D31020"/>
    <w:rsid w:val="01D33634"/>
    <w:rsid w:val="01D34B7C"/>
    <w:rsid w:val="01D453F0"/>
    <w:rsid w:val="01D90B5E"/>
    <w:rsid w:val="01DB2F22"/>
    <w:rsid w:val="01DB6127"/>
    <w:rsid w:val="01DC0480"/>
    <w:rsid w:val="01E1230C"/>
    <w:rsid w:val="01E17FFA"/>
    <w:rsid w:val="01E40F90"/>
    <w:rsid w:val="01F42D45"/>
    <w:rsid w:val="01F812B2"/>
    <w:rsid w:val="01FD42EF"/>
    <w:rsid w:val="01FE5971"/>
    <w:rsid w:val="02003F90"/>
    <w:rsid w:val="020227A1"/>
    <w:rsid w:val="02027416"/>
    <w:rsid w:val="020402CA"/>
    <w:rsid w:val="020F0807"/>
    <w:rsid w:val="02110373"/>
    <w:rsid w:val="021B6DEC"/>
    <w:rsid w:val="021D693B"/>
    <w:rsid w:val="021E07EB"/>
    <w:rsid w:val="022E0268"/>
    <w:rsid w:val="023A4BFB"/>
    <w:rsid w:val="023C3E8A"/>
    <w:rsid w:val="024C492F"/>
    <w:rsid w:val="026378B5"/>
    <w:rsid w:val="02697903"/>
    <w:rsid w:val="02747437"/>
    <w:rsid w:val="027475EC"/>
    <w:rsid w:val="02755A93"/>
    <w:rsid w:val="027A5940"/>
    <w:rsid w:val="02810A7C"/>
    <w:rsid w:val="02883D06"/>
    <w:rsid w:val="02897931"/>
    <w:rsid w:val="028B18FB"/>
    <w:rsid w:val="029029F1"/>
    <w:rsid w:val="02946700"/>
    <w:rsid w:val="02961D10"/>
    <w:rsid w:val="029A1BD0"/>
    <w:rsid w:val="029F7154"/>
    <w:rsid w:val="02A4476B"/>
    <w:rsid w:val="02A824AD"/>
    <w:rsid w:val="02B32C00"/>
    <w:rsid w:val="02B86A83"/>
    <w:rsid w:val="02BC1AB4"/>
    <w:rsid w:val="02BE582C"/>
    <w:rsid w:val="02BF15A4"/>
    <w:rsid w:val="02C72207"/>
    <w:rsid w:val="02CD5A6F"/>
    <w:rsid w:val="02D07464"/>
    <w:rsid w:val="02D3157B"/>
    <w:rsid w:val="02DA6AC8"/>
    <w:rsid w:val="02DC336F"/>
    <w:rsid w:val="02DD2621"/>
    <w:rsid w:val="02DD6B97"/>
    <w:rsid w:val="02DD7B4E"/>
    <w:rsid w:val="02E01C47"/>
    <w:rsid w:val="02E132C9"/>
    <w:rsid w:val="02E17A33"/>
    <w:rsid w:val="02E37041"/>
    <w:rsid w:val="02E62FD5"/>
    <w:rsid w:val="02ED1C6E"/>
    <w:rsid w:val="02F0687C"/>
    <w:rsid w:val="02F41532"/>
    <w:rsid w:val="02F4707C"/>
    <w:rsid w:val="02F84729"/>
    <w:rsid w:val="02F92D08"/>
    <w:rsid w:val="02F96569"/>
    <w:rsid w:val="02FE20CD"/>
    <w:rsid w:val="02FE3E7B"/>
    <w:rsid w:val="03001A0A"/>
    <w:rsid w:val="03045209"/>
    <w:rsid w:val="03092820"/>
    <w:rsid w:val="030E7E36"/>
    <w:rsid w:val="0314369E"/>
    <w:rsid w:val="03157C90"/>
    <w:rsid w:val="031A4A2D"/>
    <w:rsid w:val="03217B69"/>
    <w:rsid w:val="03232CF9"/>
    <w:rsid w:val="0323640E"/>
    <w:rsid w:val="0331568B"/>
    <w:rsid w:val="03367AB9"/>
    <w:rsid w:val="033A4153"/>
    <w:rsid w:val="033E4DA4"/>
    <w:rsid w:val="0341667A"/>
    <w:rsid w:val="03422E78"/>
    <w:rsid w:val="03463A74"/>
    <w:rsid w:val="034649C6"/>
    <w:rsid w:val="0348159A"/>
    <w:rsid w:val="034870A7"/>
    <w:rsid w:val="034F09E1"/>
    <w:rsid w:val="035E01C7"/>
    <w:rsid w:val="0361265C"/>
    <w:rsid w:val="036208AE"/>
    <w:rsid w:val="036D2DAF"/>
    <w:rsid w:val="036D7252"/>
    <w:rsid w:val="036E30C9"/>
    <w:rsid w:val="03710AF1"/>
    <w:rsid w:val="038928AB"/>
    <w:rsid w:val="038C592B"/>
    <w:rsid w:val="03972E1B"/>
    <w:rsid w:val="039B3DC0"/>
    <w:rsid w:val="039B791C"/>
    <w:rsid w:val="039C5442"/>
    <w:rsid w:val="039E2B42"/>
    <w:rsid w:val="03A27FDA"/>
    <w:rsid w:val="03A5079A"/>
    <w:rsid w:val="03AF33C7"/>
    <w:rsid w:val="03B3040D"/>
    <w:rsid w:val="03B54905"/>
    <w:rsid w:val="03BB7FBE"/>
    <w:rsid w:val="03BF2FC9"/>
    <w:rsid w:val="03BF759D"/>
    <w:rsid w:val="03CA6453"/>
    <w:rsid w:val="03CC41AB"/>
    <w:rsid w:val="03CE7CF1"/>
    <w:rsid w:val="03CF5817"/>
    <w:rsid w:val="03D10B54"/>
    <w:rsid w:val="03E07A24"/>
    <w:rsid w:val="03E37F54"/>
    <w:rsid w:val="03E870E6"/>
    <w:rsid w:val="03EA7B21"/>
    <w:rsid w:val="03EC461B"/>
    <w:rsid w:val="03F14EDE"/>
    <w:rsid w:val="03F359AA"/>
    <w:rsid w:val="03F4527E"/>
    <w:rsid w:val="03FB1D6E"/>
    <w:rsid w:val="03FE4B43"/>
    <w:rsid w:val="03FF5215"/>
    <w:rsid w:val="040556DD"/>
    <w:rsid w:val="0405748B"/>
    <w:rsid w:val="04096F7B"/>
    <w:rsid w:val="040C70AC"/>
    <w:rsid w:val="041A1DAA"/>
    <w:rsid w:val="041B6CAE"/>
    <w:rsid w:val="041D744C"/>
    <w:rsid w:val="04264057"/>
    <w:rsid w:val="0426756C"/>
    <w:rsid w:val="042F4508"/>
    <w:rsid w:val="04310280"/>
    <w:rsid w:val="04387860"/>
    <w:rsid w:val="043D6C25"/>
    <w:rsid w:val="04446205"/>
    <w:rsid w:val="04473600"/>
    <w:rsid w:val="0451447E"/>
    <w:rsid w:val="04543648"/>
    <w:rsid w:val="04552A50"/>
    <w:rsid w:val="04575F38"/>
    <w:rsid w:val="045B52FD"/>
    <w:rsid w:val="045D72C7"/>
    <w:rsid w:val="045F1712"/>
    <w:rsid w:val="046248DD"/>
    <w:rsid w:val="04635ABA"/>
    <w:rsid w:val="04640655"/>
    <w:rsid w:val="04697A1A"/>
    <w:rsid w:val="04702B56"/>
    <w:rsid w:val="04754611"/>
    <w:rsid w:val="04762137"/>
    <w:rsid w:val="04763EE5"/>
    <w:rsid w:val="04784101"/>
    <w:rsid w:val="04785EAF"/>
    <w:rsid w:val="047B14FB"/>
    <w:rsid w:val="047D1EEE"/>
    <w:rsid w:val="048D6780"/>
    <w:rsid w:val="04936632"/>
    <w:rsid w:val="04A258FF"/>
    <w:rsid w:val="04AB1EA0"/>
    <w:rsid w:val="04B2316F"/>
    <w:rsid w:val="04B53428"/>
    <w:rsid w:val="04B64F01"/>
    <w:rsid w:val="04B862AB"/>
    <w:rsid w:val="04B92804"/>
    <w:rsid w:val="04BB2603"/>
    <w:rsid w:val="04BC3FEE"/>
    <w:rsid w:val="04BD38C2"/>
    <w:rsid w:val="04BF588C"/>
    <w:rsid w:val="04BF7082"/>
    <w:rsid w:val="04C2712A"/>
    <w:rsid w:val="04C812E2"/>
    <w:rsid w:val="04C9495C"/>
    <w:rsid w:val="04D167A0"/>
    <w:rsid w:val="04E1377D"/>
    <w:rsid w:val="04E35A1E"/>
    <w:rsid w:val="04E62626"/>
    <w:rsid w:val="04E672BC"/>
    <w:rsid w:val="04EB26C1"/>
    <w:rsid w:val="04F41E13"/>
    <w:rsid w:val="04F574FF"/>
    <w:rsid w:val="04F75026"/>
    <w:rsid w:val="050634BB"/>
    <w:rsid w:val="051319C5"/>
    <w:rsid w:val="05145BD8"/>
    <w:rsid w:val="051A0D14"/>
    <w:rsid w:val="051B5E9A"/>
    <w:rsid w:val="051E6A56"/>
    <w:rsid w:val="053C0C8A"/>
    <w:rsid w:val="05410997"/>
    <w:rsid w:val="05487A70"/>
    <w:rsid w:val="054A19C3"/>
    <w:rsid w:val="054A4FDA"/>
    <w:rsid w:val="054B35C3"/>
    <w:rsid w:val="054D2E98"/>
    <w:rsid w:val="05577DE1"/>
    <w:rsid w:val="055A3F23"/>
    <w:rsid w:val="055A5762"/>
    <w:rsid w:val="056145E3"/>
    <w:rsid w:val="05614B95"/>
    <w:rsid w:val="05726749"/>
    <w:rsid w:val="0575419C"/>
    <w:rsid w:val="05760640"/>
    <w:rsid w:val="057757D1"/>
    <w:rsid w:val="05790165"/>
    <w:rsid w:val="057A17B3"/>
    <w:rsid w:val="05841A3B"/>
    <w:rsid w:val="05911B9F"/>
    <w:rsid w:val="059960DD"/>
    <w:rsid w:val="059A678C"/>
    <w:rsid w:val="059C0C51"/>
    <w:rsid w:val="059D61AC"/>
    <w:rsid w:val="05A76A4C"/>
    <w:rsid w:val="05AB5E10"/>
    <w:rsid w:val="05AC2571"/>
    <w:rsid w:val="05B13C4F"/>
    <w:rsid w:val="05BB0A35"/>
    <w:rsid w:val="05C62623"/>
    <w:rsid w:val="05C66327"/>
    <w:rsid w:val="05CC64B2"/>
    <w:rsid w:val="05DB66F5"/>
    <w:rsid w:val="05DC421B"/>
    <w:rsid w:val="05DD06BF"/>
    <w:rsid w:val="05DE0ED6"/>
    <w:rsid w:val="05E25CD6"/>
    <w:rsid w:val="05E65BAD"/>
    <w:rsid w:val="05E772CE"/>
    <w:rsid w:val="05EF21A1"/>
    <w:rsid w:val="05F477B7"/>
    <w:rsid w:val="05F83EAE"/>
    <w:rsid w:val="05F96B7B"/>
    <w:rsid w:val="05FA6D67"/>
    <w:rsid w:val="05FB28F4"/>
    <w:rsid w:val="05FC5058"/>
    <w:rsid w:val="060004A8"/>
    <w:rsid w:val="0600615C"/>
    <w:rsid w:val="0607573C"/>
    <w:rsid w:val="06093262"/>
    <w:rsid w:val="060D7C05"/>
    <w:rsid w:val="061233A4"/>
    <w:rsid w:val="06163BAC"/>
    <w:rsid w:val="06180BE3"/>
    <w:rsid w:val="061A763E"/>
    <w:rsid w:val="062005AC"/>
    <w:rsid w:val="062173A7"/>
    <w:rsid w:val="06265C73"/>
    <w:rsid w:val="062B505D"/>
    <w:rsid w:val="06344057"/>
    <w:rsid w:val="06367DD0"/>
    <w:rsid w:val="0639341C"/>
    <w:rsid w:val="063E7D85"/>
    <w:rsid w:val="0644195F"/>
    <w:rsid w:val="06451DC1"/>
    <w:rsid w:val="06562220"/>
    <w:rsid w:val="06575D97"/>
    <w:rsid w:val="065A3ABE"/>
    <w:rsid w:val="066A7A79"/>
    <w:rsid w:val="066F5412"/>
    <w:rsid w:val="06732DD2"/>
    <w:rsid w:val="067410D2"/>
    <w:rsid w:val="06755A67"/>
    <w:rsid w:val="0676235A"/>
    <w:rsid w:val="067A4160"/>
    <w:rsid w:val="067E27BC"/>
    <w:rsid w:val="0687687D"/>
    <w:rsid w:val="068E3E81"/>
    <w:rsid w:val="068F128E"/>
    <w:rsid w:val="06905732"/>
    <w:rsid w:val="069A2A70"/>
    <w:rsid w:val="06A116ED"/>
    <w:rsid w:val="06A65982"/>
    <w:rsid w:val="06A938AC"/>
    <w:rsid w:val="06AD62E4"/>
    <w:rsid w:val="06AE3E0A"/>
    <w:rsid w:val="06AE7966"/>
    <w:rsid w:val="06B01930"/>
    <w:rsid w:val="06B11926"/>
    <w:rsid w:val="06B43B46"/>
    <w:rsid w:val="06B86DA7"/>
    <w:rsid w:val="06B8791C"/>
    <w:rsid w:val="06C5794E"/>
    <w:rsid w:val="06CB4DDC"/>
    <w:rsid w:val="06D41A55"/>
    <w:rsid w:val="06D90654"/>
    <w:rsid w:val="06DA4BFF"/>
    <w:rsid w:val="06E3397F"/>
    <w:rsid w:val="06E415DA"/>
    <w:rsid w:val="06E65A30"/>
    <w:rsid w:val="06F2019A"/>
    <w:rsid w:val="06F54E7E"/>
    <w:rsid w:val="06F55739"/>
    <w:rsid w:val="06F7130D"/>
    <w:rsid w:val="06F9146A"/>
    <w:rsid w:val="070B300A"/>
    <w:rsid w:val="070F7ECF"/>
    <w:rsid w:val="07100BC6"/>
    <w:rsid w:val="07126147"/>
    <w:rsid w:val="071579E5"/>
    <w:rsid w:val="0726771F"/>
    <w:rsid w:val="07293586"/>
    <w:rsid w:val="07295285"/>
    <w:rsid w:val="072C1FA0"/>
    <w:rsid w:val="07300ECC"/>
    <w:rsid w:val="07320597"/>
    <w:rsid w:val="073836D3"/>
    <w:rsid w:val="073A6A62"/>
    <w:rsid w:val="073B1607"/>
    <w:rsid w:val="073C55D1"/>
    <w:rsid w:val="073C699B"/>
    <w:rsid w:val="073E6F3C"/>
    <w:rsid w:val="0741116F"/>
    <w:rsid w:val="0744651C"/>
    <w:rsid w:val="074B2551"/>
    <w:rsid w:val="074D717F"/>
    <w:rsid w:val="075D7DCE"/>
    <w:rsid w:val="07636392"/>
    <w:rsid w:val="076606C8"/>
    <w:rsid w:val="07697EE6"/>
    <w:rsid w:val="076F3599"/>
    <w:rsid w:val="07723089"/>
    <w:rsid w:val="077548AF"/>
    <w:rsid w:val="07770C56"/>
    <w:rsid w:val="077E71C0"/>
    <w:rsid w:val="079364BB"/>
    <w:rsid w:val="0793709D"/>
    <w:rsid w:val="07937C68"/>
    <w:rsid w:val="079528D4"/>
    <w:rsid w:val="079923C4"/>
    <w:rsid w:val="079C1EB4"/>
    <w:rsid w:val="079D5D01"/>
    <w:rsid w:val="079D7363"/>
    <w:rsid w:val="079E3E7E"/>
    <w:rsid w:val="07A019A5"/>
    <w:rsid w:val="07A0211C"/>
    <w:rsid w:val="07A70F85"/>
    <w:rsid w:val="07AA2823"/>
    <w:rsid w:val="07AA637F"/>
    <w:rsid w:val="07B05960"/>
    <w:rsid w:val="07B0770E"/>
    <w:rsid w:val="07BA4A6A"/>
    <w:rsid w:val="07BB67DE"/>
    <w:rsid w:val="07BD1346"/>
    <w:rsid w:val="07C733D5"/>
    <w:rsid w:val="07C82CA9"/>
    <w:rsid w:val="07C83968"/>
    <w:rsid w:val="07CB629E"/>
    <w:rsid w:val="07CE417C"/>
    <w:rsid w:val="07D1251D"/>
    <w:rsid w:val="07D15C84"/>
    <w:rsid w:val="07D61314"/>
    <w:rsid w:val="07D8750A"/>
    <w:rsid w:val="07E6312F"/>
    <w:rsid w:val="07E96D56"/>
    <w:rsid w:val="07EF0236"/>
    <w:rsid w:val="07F16273"/>
    <w:rsid w:val="07F4584C"/>
    <w:rsid w:val="07F47375"/>
    <w:rsid w:val="07F65A68"/>
    <w:rsid w:val="07FE491D"/>
    <w:rsid w:val="0802440D"/>
    <w:rsid w:val="0806526F"/>
    <w:rsid w:val="080B6520"/>
    <w:rsid w:val="080C528C"/>
    <w:rsid w:val="082E6EC7"/>
    <w:rsid w:val="083D5445"/>
    <w:rsid w:val="0840235A"/>
    <w:rsid w:val="085831B1"/>
    <w:rsid w:val="085B58CB"/>
    <w:rsid w:val="085D1644"/>
    <w:rsid w:val="085F6817"/>
    <w:rsid w:val="08687FE8"/>
    <w:rsid w:val="08767C22"/>
    <w:rsid w:val="087846CF"/>
    <w:rsid w:val="087A1F0C"/>
    <w:rsid w:val="08805332"/>
    <w:rsid w:val="088123BC"/>
    <w:rsid w:val="088274F0"/>
    <w:rsid w:val="089718A3"/>
    <w:rsid w:val="08972F2D"/>
    <w:rsid w:val="08A07782"/>
    <w:rsid w:val="08A52FEB"/>
    <w:rsid w:val="08A90D2D"/>
    <w:rsid w:val="08A94275"/>
    <w:rsid w:val="08AE52CD"/>
    <w:rsid w:val="08B55488"/>
    <w:rsid w:val="08BF32EA"/>
    <w:rsid w:val="08C8043F"/>
    <w:rsid w:val="08C8368E"/>
    <w:rsid w:val="08CD7283"/>
    <w:rsid w:val="08CF1E16"/>
    <w:rsid w:val="08D31906"/>
    <w:rsid w:val="08D5567E"/>
    <w:rsid w:val="08D613F6"/>
    <w:rsid w:val="08DA2C94"/>
    <w:rsid w:val="08DD52E4"/>
    <w:rsid w:val="08E04023"/>
    <w:rsid w:val="08E2175A"/>
    <w:rsid w:val="08E720CC"/>
    <w:rsid w:val="08F43AA3"/>
    <w:rsid w:val="08F55D20"/>
    <w:rsid w:val="08FD4BD5"/>
    <w:rsid w:val="08FE1D39"/>
    <w:rsid w:val="09023F99"/>
    <w:rsid w:val="090B4153"/>
    <w:rsid w:val="090B5543"/>
    <w:rsid w:val="090D25F9"/>
    <w:rsid w:val="09147C79"/>
    <w:rsid w:val="091F0FEF"/>
    <w:rsid w:val="092217DD"/>
    <w:rsid w:val="092403B3"/>
    <w:rsid w:val="09246605"/>
    <w:rsid w:val="09280DA2"/>
    <w:rsid w:val="0932635B"/>
    <w:rsid w:val="0937305E"/>
    <w:rsid w:val="093A7294"/>
    <w:rsid w:val="093C6053"/>
    <w:rsid w:val="093D3223"/>
    <w:rsid w:val="094445B2"/>
    <w:rsid w:val="094748D9"/>
    <w:rsid w:val="094C7564"/>
    <w:rsid w:val="094E3FC1"/>
    <w:rsid w:val="09524F20"/>
    <w:rsid w:val="09537312"/>
    <w:rsid w:val="09545C4B"/>
    <w:rsid w:val="095567BF"/>
    <w:rsid w:val="0959154C"/>
    <w:rsid w:val="095A2027"/>
    <w:rsid w:val="095A5B83"/>
    <w:rsid w:val="095B41AD"/>
    <w:rsid w:val="095D48EC"/>
    <w:rsid w:val="09622C8A"/>
    <w:rsid w:val="096B4234"/>
    <w:rsid w:val="0979602F"/>
    <w:rsid w:val="097A67FC"/>
    <w:rsid w:val="097E5D15"/>
    <w:rsid w:val="0983157E"/>
    <w:rsid w:val="098B21E0"/>
    <w:rsid w:val="09945539"/>
    <w:rsid w:val="099C263F"/>
    <w:rsid w:val="099E0166"/>
    <w:rsid w:val="09A90D29"/>
    <w:rsid w:val="09B01645"/>
    <w:rsid w:val="09B01C47"/>
    <w:rsid w:val="09B26FEE"/>
    <w:rsid w:val="09B554AF"/>
    <w:rsid w:val="09B72FD5"/>
    <w:rsid w:val="09B80B68"/>
    <w:rsid w:val="09C120A6"/>
    <w:rsid w:val="09C94AB7"/>
    <w:rsid w:val="09CB082F"/>
    <w:rsid w:val="09DA51A9"/>
    <w:rsid w:val="09DB3168"/>
    <w:rsid w:val="09DE0562"/>
    <w:rsid w:val="09DE67B4"/>
    <w:rsid w:val="09DE7C9B"/>
    <w:rsid w:val="09E214C0"/>
    <w:rsid w:val="09E22B15"/>
    <w:rsid w:val="09EA6F07"/>
    <w:rsid w:val="09EE3807"/>
    <w:rsid w:val="09F9539C"/>
    <w:rsid w:val="0A0124A3"/>
    <w:rsid w:val="0A050710"/>
    <w:rsid w:val="0A07615D"/>
    <w:rsid w:val="0A0A1357"/>
    <w:rsid w:val="0A0F3905"/>
    <w:rsid w:val="0A1102E2"/>
    <w:rsid w:val="0A110938"/>
    <w:rsid w:val="0A125155"/>
    <w:rsid w:val="0A187F18"/>
    <w:rsid w:val="0A1A3D63"/>
    <w:rsid w:val="0A1B6FC9"/>
    <w:rsid w:val="0A1E1F37"/>
    <w:rsid w:val="0A263993"/>
    <w:rsid w:val="0A2D3AC2"/>
    <w:rsid w:val="0A314B36"/>
    <w:rsid w:val="0A341FB8"/>
    <w:rsid w:val="0A375EC4"/>
    <w:rsid w:val="0A3B3C06"/>
    <w:rsid w:val="0A3D5E32"/>
    <w:rsid w:val="0A3D797F"/>
    <w:rsid w:val="0A41654B"/>
    <w:rsid w:val="0A424F95"/>
    <w:rsid w:val="0A541EFC"/>
    <w:rsid w:val="0A544CC8"/>
    <w:rsid w:val="0A565E2C"/>
    <w:rsid w:val="0A566A16"/>
    <w:rsid w:val="0A5739E9"/>
    <w:rsid w:val="0A5922DF"/>
    <w:rsid w:val="0A596A08"/>
    <w:rsid w:val="0A5B7E05"/>
    <w:rsid w:val="0A5D3D18"/>
    <w:rsid w:val="0A5D5410"/>
    <w:rsid w:val="0A5E16A3"/>
    <w:rsid w:val="0A60366D"/>
    <w:rsid w:val="0A622F41"/>
    <w:rsid w:val="0A667856"/>
    <w:rsid w:val="0A6845A4"/>
    <w:rsid w:val="0A710A18"/>
    <w:rsid w:val="0A726EFC"/>
    <w:rsid w:val="0A740EC6"/>
    <w:rsid w:val="0A752C53"/>
    <w:rsid w:val="0A7D4792"/>
    <w:rsid w:val="0A863FDE"/>
    <w:rsid w:val="0A870BFA"/>
    <w:rsid w:val="0A8A06EA"/>
    <w:rsid w:val="0A8F5D00"/>
    <w:rsid w:val="0A9428B8"/>
    <w:rsid w:val="0A951569"/>
    <w:rsid w:val="0A9872DF"/>
    <w:rsid w:val="0A9E3C73"/>
    <w:rsid w:val="0AA255B6"/>
    <w:rsid w:val="0AA51080"/>
    <w:rsid w:val="0AA755DF"/>
    <w:rsid w:val="0AA90B70"/>
    <w:rsid w:val="0AAE1DC2"/>
    <w:rsid w:val="0AAF1EFF"/>
    <w:rsid w:val="0ABA1A7A"/>
    <w:rsid w:val="0ABD087A"/>
    <w:rsid w:val="0AC27E20"/>
    <w:rsid w:val="0AC41808"/>
    <w:rsid w:val="0AC51722"/>
    <w:rsid w:val="0AC52104"/>
    <w:rsid w:val="0AC6703C"/>
    <w:rsid w:val="0AC7549A"/>
    <w:rsid w:val="0AD1181D"/>
    <w:rsid w:val="0AD41965"/>
    <w:rsid w:val="0ADF27E4"/>
    <w:rsid w:val="0AE07925"/>
    <w:rsid w:val="0AE47DFA"/>
    <w:rsid w:val="0AE724F0"/>
    <w:rsid w:val="0AE918B4"/>
    <w:rsid w:val="0AED4ED7"/>
    <w:rsid w:val="0AEE0C79"/>
    <w:rsid w:val="0AF10769"/>
    <w:rsid w:val="0AF3628F"/>
    <w:rsid w:val="0AF50259"/>
    <w:rsid w:val="0AF618DB"/>
    <w:rsid w:val="0AFD0EBC"/>
    <w:rsid w:val="0B095AB3"/>
    <w:rsid w:val="0B0B182B"/>
    <w:rsid w:val="0B0E6394"/>
    <w:rsid w:val="0B0F188B"/>
    <w:rsid w:val="0B120D44"/>
    <w:rsid w:val="0B1F3EA8"/>
    <w:rsid w:val="0B252B64"/>
    <w:rsid w:val="0B364677"/>
    <w:rsid w:val="0B460AB5"/>
    <w:rsid w:val="0B4D7D2D"/>
    <w:rsid w:val="0B5243BB"/>
    <w:rsid w:val="0B5F3B76"/>
    <w:rsid w:val="0B6251C3"/>
    <w:rsid w:val="0B651B02"/>
    <w:rsid w:val="0B6947A3"/>
    <w:rsid w:val="0B6A290B"/>
    <w:rsid w:val="0B6D6042"/>
    <w:rsid w:val="0B772A1C"/>
    <w:rsid w:val="0B7D045A"/>
    <w:rsid w:val="0B81451E"/>
    <w:rsid w:val="0B837613"/>
    <w:rsid w:val="0B841BD3"/>
    <w:rsid w:val="0B84338B"/>
    <w:rsid w:val="0B845139"/>
    <w:rsid w:val="0B846A84"/>
    <w:rsid w:val="0B892750"/>
    <w:rsid w:val="0B8A2CB3"/>
    <w:rsid w:val="0B8B296C"/>
    <w:rsid w:val="0B900784"/>
    <w:rsid w:val="0B917FB3"/>
    <w:rsid w:val="0B931810"/>
    <w:rsid w:val="0B9D61FB"/>
    <w:rsid w:val="0BA23811"/>
    <w:rsid w:val="0BA457DB"/>
    <w:rsid w:val="0BA871AF"/>
    <w:rsid w:val="0BAE1C83"/>
    <w:rsid w:val="0BB04180"/>
    <w:rsid w:val="0BB07CE3"/>
    <w:rsid w:val="0BB27EF8"/>
    <w:rsid w:val="0BC35C62"/>
    <w:rsid w:val="0BC55E7E"/>
    <w:rsid w:val="0BCA3494"/>
    <w:rsid w:val="0BD27BF6"/>
    <w:rsid w:val="0BD738A8"/>
    <w:rsid w:val="0BDA11FD"/>
    <w:rsid w:val="0BE8061C"/>
    <w:rsid w:val="0BED2CDE"/>
    <w:rsid w:val="0BF12B54"/>
    <w:rsid w:val="0BF30E45"/>
    <w:rsid w:val="0BF56037"/>
    <w:rsid w:val="0BF71DAF"/>
    <w:rsid w:val="0BF83BD6"/>
    <w:rsid w:val="0C0011BA"/>
    <w:rsid w:val="0C0263B4"/>
    <w:rsid w:val="0C040028"/>
    <w:rsid w:val="0C0544CC"/>
    <w:rsid w:val="0C0A3890"/>
    <w:rsid w:val="0C0B585A"/>
    <w:rsid w:val="0C0D15D3"/>
    <w:rsid w:val="0C12226C"/>
    <w:rsid w:val="0C14470F"/>
    <w:rsid w:val="0C144DE8"/>
    <w:rsid w:val="0C161698"/>
    <w:rsid w:val="0C1666D9"/>
    <w:rsid w:val="0C175FAD"/>
    <w:rsid w:val="0C1E10EA"/>
    <w:rsid w:val="0C2228AF"/>
    <w:rsid w:val="0C2263B9"/>
    <w:rsid w:val="0C2506CA"/>
    <w:rsid w:val="0C263F95"/>
    <w:rsid w:val="0C2C32DA"/>
    <w:rsid w:val="0C2D57D1"/>
    <w:rsid w:val="0C335B09"/>
    <w:rsid w:val="0C350433"/>
    <w:rsid w:val="0C3B3C7D"/>
    <w:rsid w:val="0C453C2D"/>
    <w:rsid w:val="0C476893"/>
    <w:rsid w:val="0C4840C9"/>
    <w:rsid w:val="0C4A7332"/>
    <w:rsid w:val="0C541442"/>
    <w:rsid w:val="0C556015"/>
    <w:rsid w:val="0C582584"/>
    <w:rsid w:val="0C6C00A7"/>
    <w:rsid w:val="0C6D745E"/>
    <w:rsid w:val="0C6E0E1D"/>
    <w:rsid w:val="0C721436"/>
    <w:rsid w:val="0C797D50"/>
    <w:rsid w:val="0C7A0ECA"/>
    <w:rsid w:val="0C7E65A6"/>
    <w:rsid w:val="0C810882"/>
    <w:rsid w:val="0C8278CB"/>
    <w:rsid w:val="0C831DFB"/>
    <w:rsid w:val="0C880C59"/>
    <w:rsid w:val="0C883B2F"/>
    <w:rsid w:val="0C886EAB"/>
    <w:rsid w:val="0C89186A"/>
    <w:rsid w:val="0C923562"/>
    <w:rsid w:val="0C9703DB"/>
    <w:rsid w:val="0C9E0E40"/>
    <w:rsid w:val="0CA15669"/>
    <w:rsid w:val="0CA5180B"/>
    <w:rsid w:val="0CA737D5"/>
    <w:rsid w:val="0CA75583"/>
    <w:rsid w:val="0CA86C70"/>
    <w:rsid w:val="0CAB2EAE"/>
    <w:rsid w:val="0CAF4438"/>
    <w:rsid w:val="0CC47EE3"/>
    <w:rsid w:val="0CD143AE"/>
    <w:rsid w:val="0CD30126"/>
    <w:rsid w:val="0CD43E9E"/>
    <w:rsid w:val="0CDB1EA2"/>
    <w:rsid w:val="0CDE0DB3"/>
    <w:rsid w:val="0CEA0AB3"/>
    <w:rsid w:val="0CEC2F96"/>
    <w:rsid w:val="0CF06F2A"/>
    <w:rsid w:val="0CF70BBD"/>
    <w:rsid w:val="0D076022"/>
    <w:rsid w:val="0D0C53E6"/>
    <w:rsid w:val="0D0E73B0"/>
    <w:rsid w:val="0D162709"/>
    <w:rsid w:val="0D1D28A2"/>
    <w:rsid w:val="0D200E92"/>
    <w:rsid w:val="0D2766C4"/>
    <w:rsid w:val="0D2F0D3A"/>
    <w:rsid w:val="0D33389B"/>
    <w:rsid w:val="0D3A63F7"/>
    <w:rsid w:val="0D3D7C96"/>
    <w:rsid w:val="0D467272"/>
    <w:rsid w:val="0D556D8D"/>
    <w:rsid w:val="0D5F19BA"/>
    <w:rsid w:val="0D621C7D"/>
    <w:rsid w:val="0D646FD0"/>
    <w:rsid w:val="0D660F9A"/>
    <w:rsid w:val="0D692839"/>
    <w:rsid w:val="0D705208"/>
    <w:rsid w:val="0D7169EE"/>
    <w:rsid w:val="0D7A2C98"/>
    <w:rsid w:val="0D7F321E"/>
    <w:rsid w:val="0D8021AC"/>
    <w:rsid w:val="0D80268F"/>
    <w:rsid w:val="0D803BF8"/>
    <w:rsid w:val="0D815DD4"/>
    <w:rsid w:val="0D84401D"/>
    <w:rsid w:val="0D851649"/>
    <w:rsid w:val="0D8633EB"/>
    <w:rsid w:val="0D865199"/>
    <w:rsid w:val="0D8C7028"/>
    <w:rsid w:val="0D8E04F1"/>
    <w:rsid w:val="0D906017"/>
    <w:rsid w:val="0D927FE1"/>
    <w:rsid w:val="0D951880"/>
    <w:rsid w:val="0D955AAF"/>
    <w:rsid w:val="0DA25D4B"/>
    <w:rsid w:val="0DA63A8D"/>
    <w:rsid w:val="0DAB10A3"/>
    <w:rsid w:val="0DAD2B87"/>
    <w:rsid w:val="0DAF0B93"/>
    <w:rsid w:val="0DB43078"/>
    <w:rsid w:val="0DB53CD0"/>
    <w:rsid w:val="0DB624FC"/>
    <w:rsid w:val="0DC161D1"/>
    <w:rsid w:val="0DC350E0"/>
    <w:rsid w:val="0DD2616E"/>
    <w:rsid w:val="0DD35A97"/>
    <w:rsid w:val="0DD35E02"/>
    <w:rsid w:val="0DD7115C"/>
    <w:rsid w:val="0DD759F4"/>
    <w:rsid w:val="0DDA3736"/>
    <w:rsid w:val="0DDC300B"/>
    <w:rsid w:val="0DE3083D"/>
    <w:rsid w:val="0DE95727"/>
    <w:rsid w:val="0DEA1BCB"/>
    <w:rsid w:val="0DF07539"/>
    <w:rsid w:val="0DF540CC"/>
    <w:rsid w:val="0DF91E0E"/>
    <w:rsid w:val="0DFC545B"/>
    <w:rsid w:val="0E0B7D94"/>
    <w:rsid w:val="0E0D776A"/>
    <w:rsid w:val="0E1A2554"/>
    <w:rsid w:val="0E1F739B"/>
    <w:rsid w:val="0E222820"/>
    <w:rsid w:val="0E2441A3"/>
    <w:rsid w:val="0E2A338D"/>
    <w:rsid w:val="0E2C21E4"/>
    <w:rsid w:val="0E3147CF"/>
    <w:rsid w:val="0E356BBF"/>
    <w:rsid w:val="0E372937"/>
    <w:rsid w:val="0E373F1B"/>
    <w:rsid w:val="0E444851"/>
    <w:rsid w:val="0E455CF9"/>
    <w:rsid w:val="0E526540"/>
    <w:rsid w:val="0E5434E9"/>
    <w:rsid w:val="0E584FB4"/>
    <w:rsid w:val="0E5A03D3"/>
    <w:rsid w:val="0E5D6E92"/>
    <w:rsid w:val="0E5F55B1"/>
    <w:rsid w:val="0E5F60C6"/>
    <w:rsid w:val="0E604A69"/>
    <w:rsid w:val="0E625C06"/>
    <w:rsid w:val="0E6A4ABA"/>
    <w:rsid w:val="0E6A6868"/>
    <w:rsid w:val="0E6A79B7"/>
    <w:rsid w:val="0E6B152D"/>
    <w:rsid w:val="0E707BF7"/>
    <w:rsid w:val="0E73034D"/>
    <w:rsid w:val="0E732258"/>
    <w:rsid w:val="0E762DB7"/>
    <w:rsid w:val="0E772D33"/>
    <w:rsid w:val="0E7B6CC7"/>
    <w:rsid w:val="0E7C659C"/>
    <w:rsid w:val="0E7E6D1D"/>
    <w:rsid w:val="0E8042DE"/>
    <w:rsid w:val="0E811E04"/>
    <w:rsid w:val="0E8912B7"/>
    <w:rsid w:val="0E8A550D"/>
    <w:rsid w:val="0E9F6F26"/>
    <w:rsid w:val="0EA0228A"/>
    <w:rsid w:val="0EA10C39"/>
    <w:rsid w:val="0EA33B28"/>
    <w:rsid w:val="0EB1363B"/>
    <w:rsid w:val="0EB36461"/>
    <w:rsid w:val="0EB77646"/>
    <w:rsid w:val="0EC3241C"/>
    <w:rsid w:val="0EC56195"/>
    <w:rsid w:val="0ECA0760"/>
    <w:rsid w:val="0ECA37AB"/>
    <w:rsid w:val="0ECE759F"/>
    <w:rsid w:val="0ED14B39"/>
    <w:rsid w:val="0ED939EE"/>
    <w:rsid w:val="0EE67DAC"/>
    <w:rsid w:val="0EF32D02"/>
    <w:rsid w:val="0EF549B6"/>
    <w:rsid w:val="0EF83E74"/>
    <w:rsid w:val="0EF935B0"/>
    <w:rsid w:val="0EFC4554"/>
    <w:rsid w:val="0EFD76DC"/>
    <w:rsid w:val="0F006637"/>
    <w:rsid w:val="0F022F45"/>
    <w:rsid w:val="0F053294"/>
    <w:rsid w:val="0F0740B7"/>
    <w:rsid w:val="0F096081"/>
    <w:rsid w:val="0F12423D"/>
    <w:rsid w:val="0F13775A"/>
    <w:rsid w:val="0F1A028E"/>
    <w:rsid w:val="0F1E7653"/>
    <w:rsid w:val="0F1F3AF7"/>
    <w:rsid w:val="0F256C33"/>
    <w:rsid w:val="0F2733BC"/>
    <w:rsid w:val="0F2A73D0"/>
    <w:rsid w:val="0F2C5B85"/>
    <w:rsid w:val="0F2C6214"/>
    <w:rsid w:val="0F2D7FC5"/>
    <w:rsid w:val="0F303BB7"/>
    <w:rsid w:val="0F3052F1"/>
    <w:rsid w:val="0F35418F"/>
    <w:rsid w:val="0F3644C0"/>
    <w:rsid w:val="0F386966"/>
    <w:rsid w:val="0F3A26DF"/>
    <w:rsid w:val="0F3A448D"/>
    <w:rsid w:val="0F3D3F7D"/>
    <w:rsid w:val="0F4157E3"/>
    <w:rsid w:val="0F4C2412"/>
    <w:rsid w:val="0F5016BA"/>
    <w:rsid w:val="0F5D461F"/>
    <w:rsid w:val="0F5F45FE"/>
    <w:rsid w:val="0F64150A"/>
    <w:rsid w:val="0F6634D4"/>
    <w:rsid w:val="0F67175D"/>
    <w:rsid w:val="0F696B20"/>
    <w:rsid w:val="0F6B614E"/>
    <w:rsid w:val="0F7D081D"/>
    <w:rsid w:val="0F7F416C"/>
    <w:rsid w:val="0F900C4F"/>
    <w:rsid w:val="0F9022FF"/>
    <w:rsid w:val="0F9067A2"/>
    <w:rsid w:val="0F930041"/>
    <w:rsid w:val="0F9718DF"/>
    <w:rsid w:val="0F985657"/>
    <w:rsid w:val="0F9A112B"/>
    <w:rsid w:val="0F9A317D"/>
    <w:rsid w:val="0F9F0794"/>
    <w:rsid w:val="0FA311DA"/>
    <w:rsid w:val="0FA4722F"/>
    <w:rsid w:val="0FB0474F"/>
    <w:rsid w:val="0FB12275"/>
    <w:rsid w:val="0FB73D2F"/>
    <w:rsid w:val="0FC401FA"/>
    <w:rsid w:val="0FC63F72"/>
    <w:rsid w:val="0FC71A98"/>
    <w:rsid w:val="0FC85F3C"/>
    <w:rsid w:val="0FD84356"/>
    <w:rsid w:val="0FDC19E8"/>
    <w:rsid w:val="0FE06513"/>
    <w:rsid w:val="0FE91A0F"/>
    <w:rsid w:val="0FE97C61"/>
    <w:rsid w:val="0FED59A3"/>
    <w:rsid w:val="0FF54858"/>
    <w:rsid w:val="0FF85798"/>
    <w:rsid w:val="10042CED"/>
    <w:rsid w:val="10073757"/>
    <w:rsid w:val="100D7DF3"/>
    <w:rsid w:val="10152804"/>
    <w:rsid w:val="101F18BD"/>
    <w:rsid w:val="10246EEB"/>
    <w:rsid w:val="102869DB"/>
    <w:rsid w:val="102B2027"/>
    <w:rsid w:val="102C368A"/>
    <w:rsid w:val="102D2243"/>
    <w:rsid w:val="10354C54"/>
    <w:rsid w:val="103C6032"/>
    <w:rsid w:val="103D3B3E"/>
    <w:rsid w:val="103F5849"/>
    <w:rsid w:val="104B4477"/>
    <w:rsid w:val="104B58B5"/>
    <w:rsid w:val="104F21BA"/>
    <w:rsid w:val="10530694"/>
    <w:rsid w:val="105312C0"/>
    <w:rsid w:val="10596222"/>
    <w:rsid w:val="105964EA"/>
    <w:rsid w:val="10596B94"/>
    <w:rsid w:val="1060257A"/>
    <w:rsid w:val="10613C9B"/>
    <w:rsid w:val="106B68C8"/>
    <w:rsid w:val="106D2F64"/>
    <w:rsid w:val="106F1CCE"/>
    <w:rsid w:val="10732DF0"/>
    <w:rsid w:val="107870C0"/>
    <w:rsid w:val="107A6B0B"/>
    <w:rsid w:val="107B6C56"/>
    <w:rsid w:val="10863144"/>
    <w:rsid w:val="10881228"/>
    <w:rsid w:val="108C633A"/>
    <w:rsid w:val="109553F2"/>
    <w:rsid w:val="10980BF3"/>
    <w:rsid w:val="109934BB"/>
    <w:rsid w:val="109F4086"/>
    <w:rsid w:val="10A02A15"/>
    <w:rsid w:val="10A342B4"/>
    <w:rsid w:val="10A51DDA"/>
    <w:rsid w:val="10A55A69"/>
    <w:rsid w:val="10B63710"/>
    <w:rsid w:val="10C806C9"/>
    <w:rsid w:val="10CC380A"/>
    <w:rsid w:val="10D177B4"/>
    <w:rsid w:val="10D4446D"/>
    <w:rsid w:val="10D45E87"/>
    <w:rsid w:val="10D821AF"/>
    <w:rsid w:val="10D92C55"/>
    <w:rsid w:val="10E2045D"/>
    <w:rsid w:val="10E70644"/>
    <w:rsid w:val="10EA0134"/>
    <w:rsid w:val="10F10820"/>
    <w:rsid w:val="10F1501F"/>
    <w:rsid w:val="10F16DCD"/>
    <w:rsid w:val="10F259CB"/>
    <w:rsid w:val="10F354AA"/>
    <w:rsid w:val="110C1E59"/>
    <w:rsid w:val="110D1458"/>
    <w:rsid w:val="110E3732"/>
    <w:rsid w:val="111156C1"/>
    <w:rsid w:val="1118788E"/>
    <w:rsid w:val="111C2F7A"/>
    <w:rsid w:val="111C5B2B"/>
    <w:rsid w:val="1122248D"/>
    <w:rsid w:val="11230F50"/>
    <w:rsid w:val="11290813"/>
    <w:rsid w:val="11306187"/>
    <w:rsid w:val="113A382E"/>
    <w:rsid w:val="113D2012"/>
    <w:rsid w:val="114A128D"/>
    <w:rsid w:val="11537A88"/>
    <w:rsid w:val="11553800"/>
    <w:rsid w:val="11576BB6"/>
    <w:rsid w:val="115C2CBB"/>
    <w:rsid w:val="115E01DA"/>
    <w:rsid w:val="116204FA"/>
    <w:rsid w:val="11621A79"/>
    <w:rsid w:val="11665CA1"/>
    <w:rsid w:val="116752E1"/>
    <w:rsid w:val="116B3023"/>
    <w:rsid w:val="11785740"/>
    <w:rsid w:val="117B6FDE"/>
    <w:rsid w:val="11800151"/>
    <w:rsid w:val="1182036D"/>
    <w:rsid w:val="1184411A"/>
    <w:rsid w:val="1193257A"/>
    <w:rsid w:val="11944992"/>
    <w:rsid w:val="11951E4E"/>
    <w:rsid w:val="11A56D5B"/>
    <w:rsid w:val="11BA7B07"/>
    <w:rsid w:val="11BB6C8F"/>
    <w:rsid w:val="11BD1A9D"/>
    <w:rsid w:val="11BD3153"/>
    <w:rsid w:val="11D33AE4"/>
    <w:rsid w:val="11DA5EF4"/>
    <w:rsid w:val="11E32DE3"/>
    <w:rsid w:val="11E95EFF"/>
    <w:rsid w:val="11F052D6"/>
    <w:rsid w:val="11F823DD"/>
    <w:rsid w:val="12011292"/>
    <w:rsid w:val="12035223"/>
    <w:rsid w:val="12064AFA"/>
    <w:rsid w:val="12071F57"/>
    <w:rsid w:val="12080872"/>
    <w:rsid w:val="120A0438"/>
    <w:rsid w:val="120B3EBE"/>
    <w:rsid w:val="12106795"/>
    <w:rsid w:val="1211524D"/>
    <w:rsid w:val="121951D4"/>
    <w:rsid w:val="121A2353"/>
    <w:rsid w:val="122D46DF"/>
    <w:rsid w:val="123029BC"/>
    <w:rsid w:val="12305C9C"/>
    <w:rsid w:val="1232769D"/>
    <w:rsid w:val="12374CB3"/>
    <w:rsid w:val="123C051C"/>
    <w:rsid w:val="123D6042"/>
    <w:rsid w:val="123F625E"/>
    <w:rsid w:val="124421F7"/>
    <w:rsid w:val="12490E8B"/>
    <w:rsid w:val="124949E7"/>
    <w:rsid w:val="12521AED"/>
    <w:rsid w:val="12543AB7"/>
    <w:rsid w:val="12595693"/>
    <w:rsid w:val="125C296C"/>
    <w:rsid w:val="125C3704"/>
    <w:rsid w:val="126535FF"/>
    <w:rsid w:val="12677142"/>
    <w:rsid w:val="12687563"/>
    <w:rsid w:val="127952CC"/>
    <w:rsid w:val="12796516"/>
    <w:rsid w:val="127E013D"/>
    <w:rsid w:val="12850115"/>
    <w:rsid w:val="128A6C79"/>
    <w:rsid w:val="128F2D41"/>
    <w:rsid w:val="12906AB9"/>
    <w:rsid w:val="12910332"/>
    <w:rsid w:val="12971BF6"/>
    <w:rsid w:val="129A4008"/>
    <w:rsid w:val="12A6008B"/>
    <w:rsid w:val="12A762DD"/>
    <w:rsid w:val="12AD578C"/>
    <w:rsid w:val="12B411CC"/>
    <w:rsid w:val="12B56C34"/>
    <w:rsid w:val="12B75316"/>
    <w:rsid w:val="12BD702D"/>
    <w:rsid w:val="12BD714C"/>
    <w:rsid w:val="12C329EB"/>
    <w:rsid w:val="12C35AA1"/>
    <w:rsid w:val="12C64289"/>
    <w:rsid w:val="12C80001"/>
    <w:rsid w:val="12CB7FFE"/>
    <w:rsid w:val="12CD2621"/>
    <w:rsid w:val="12CE41C9"/>
    <w:rsid w:val="12D53D40"/>
    <w:rsid w:val="12E0534B"/>
    <w:rsid w:val="12E07ADD"/>
    <w:rsid w:val="12E30515"/>
    <w:rsid w:val="12EC00F2"/>
    <w:rsid w:val="12F55709"/>
    <w:rsid w:val="12F60DD0"/>
    <w:rsid w:val="13015FE8"/>
    <w:rsid w:val="130A23C8"/>
    <w:rsid w:val="130D5CAA"/>
    <w:rsid w:val="131068CB"/>
    <w:rsid w:val="13140A84"/>
    <w:rsid w:val="13160B8C"/>
    <w:rsid w:val="13161004"/>
    <w:rsid w:val="13196AAF"/>
    <w:rsid w:val="131C20FB"/>
    <w:rsid w:val="13207E3D"/>
    <w:rsid w:val="13220EF9"/>
    <w:rsid w:val="13250FB0"/>
    <w:rsid w:val="13257202"/>
    <w:rsid w:val="132D60B6"/>
    <w:rsid w:val="13370C17"/>
    <w:rsid w:val="13382A5C"/>
    <w:rsid w:val="13384870"/>
    <w:rsid w:val="133E0380"/>
    <w:rsid w:val="13511DA5"/>
    <w:rsid w:val="13535210"/>
    <w:rsid w:val="13557860"/>
    <w:rsid w:val="135950FD"/>
    <w:rsid w:val="135D0D26"/>
    <w:rsid w:val="13653AA2"/>
    <w:rsid w:val="136A2E67"/>
    <w:rsid w:val="136A69FC"/>
    <w:rsid w:val="136E13F9"/>
    <w:rsid w:val="13765CAF"/>
    <w:rsid w:val="13853A9D"/>
    <w:rsid w:val="13944A2F"/>
    <w:rsid w:val="13951726"/>
    <w:rsid w:val="13963C5C"/>
    <w:rsid w:val="13A33471"/>
    <w:rsid w:val="13A66595"/>
    <w:rsid w:val="13A740BB"/>
    <w:rsid w:val="13A9462C"/>
    <w:rsid w:val="13B10A95"/>
    <w:rsid w:val="13B660AC"/>
    <w:rsid w:val="13BA3DEE"/>
    <w:rsid w:val="13BF6E98"/>
    <w:rsid w:val="13BF7F65"/>
    <w:rsid w:val="13C02329"/>
    <w:rsid w:val="13C133CE"/>
    <w:rsid w:val="13C36177"/>
    <w:rsid w:val="13C50F53"/>
    <w:rsid w:val="13C92283"/>
    <w:rsid w:val="13D660DB"/>
    <w:rsid w:val="13DC24DA"/>
    <w:rsid w:val="13DD5D2E"/>
    <w:rsid w:val="13E40E6B"/>
    <w:rsid w:val="13F41A5D"/>
    <w:rsid w:val="13F54E26"/>
    <w:rsid w:val="13F5606B"/>
    <w:rsid w:val="13F60B9E"/>
    <w:rsid w:val="13FC4E78"/>
    <w:rsid w:val="14032F9A"/>
    <w:rsid w:val="140908D1"/>
    <w:rsid w:val="140D728C"/>
    <w:rsid w:val="14101C60"/>
    <w:rsid w:val="14164D9C"/>
    <w:rsid w:val="14186072"/>
    <w:rsid w:val="141A663B"/>
    <w:rsid w:val="141D612B"/>
    <w:rsid w:val="1424570B"/>
    <w:rsid w:val="142602DA"/>
    <w:rsid w:val="14270D58"/>
    <w:rsid w:val="14276FAA"/>
    <w:rsid w:val="142E65C5"/>
    <w:rsid w:val="14396509"/>
    <w:rsid w:val="143C4803"/>
    <w:rsid w:val="143C61AE"/>
    <w:rsid w:val="143D6B19"/>
    <w:rsid w:val="143E2A83"/>
    <w:rsid w:val="143E753F"/>
    <w:rsid w:val="14416FC6"/>
    <w:rsid w:val="14447B5C"/>
    <w:rsid w:val="144E09DA"/>
    <w:rsid w:val="14505FA8"/>
    <w:rsid w:val="14506500"/>
    <w:rsid w:val="14522278"/>
    <w:rsid w:val="14524026"/>
    <w:rsid w:val="145241BB"/>
    <w:rsid w:val="14575AE1"/>
    <w:rsid w:val="145853B5"/>
    <w:rsid w:val="14587163"/>
    <w:rsid w:val="145C6C53"/>
    <w:rsid w:val="14636234"/>
    <w:rsid w:val="14667AD2"/>
    <w:rsid w:val="14681A9C"/>
    <w:rsid w:val="14691987"/>
    <w:rsid w:val="146E6C7B"/>
    <w:rsid w:val="147214E9"/>
    <w:rsid w:val="147B758D"/>
    <w:rsid w:val="1483359D"/>
    <w:rsid w:val="148443FC"/>
    <w:rsid w:val="148B12E6"/>
    <w:rsid w:val="149208C7"/>
    <w:rsid w:val="1494463F"/>
    <w:rsid w:val="14952156"/>
    <w:rsid w:val="1497412F"/>
    <w:rsid w:val="149D171D"/>
    <w:rsid w:val="149F05A5"/>
    <w:rsid w:val="14AD5701"/>
    <w:rsid w:val="14B73D4F"/>
    <w:rsid w:val="14B922F8"/>
    <w:rsid w:val="14BA1BCC"/>
    <w:rsid w:val="14BF2B65"/>
    <w:rsid w:val="14C11377"/>
    <w:rsid w:val="14C5501A"/>
    <w:rsid w:val="14C667C2"/>
    <w:rsid w:val="14CA0ED3"/>
    <w:rsid w:val="14DB5560"/>
    <w:rsid w:val="14DC7D94"/>
    <w:rsid w:val="14DD2C3C"/>
    <w:rsid w:val="14E76E65"/>
    <w:rsid w:val="14EA24B1"/>
    <w:rsid w:val="14ED7F17"/>
    <w:rsid w:val="14F80B71"/>
    <w:rsid w:val="14FB646C"/>
    <w:rsid w:val="14FC0436"/>
    <w:rsid w:val="15054DD7"/>
    <w:rsid w:val="150C0BC9"/>
    <w:rsid w:val="150C46E3"/>
    <w:rsid w:val="150E72EC"/>
    <w:rsid w:val="15221E0D"/>
    <w:rsid w:val="15243815"/>
    <w:rsid w:val="152C7D6F"/>
    <w:rsid w:val="152D05F0"/>
    <w:rsid w:val="152D239E"/>
    <w:rsid w:val="15311E8E"/>
    <w:rsid w:val="1532259A"/>
    <w:rsid w:val="153320AA"/>
    <w:rsid w:val="1537146E"/>
    <w:rsid w:val="153A3325"/>
    <w:rsid w:val="15400323"/>
    <w:rsid w:val="154020D1"/>
    <w:rsid w:val="15436924"/>
    <w:rsid w:val="15436ADA"/>
    <w:rsid w:val="15466355"/>
    <w:rsid w:val="15471D38"/>
    <w:rsid w:val="15490101"/>
    <w:rsid w:val="154A2F50"/>
    <w:rsid w:val="154D2A40"/>
    <w:rsid w:val="15511B43"/>
    <w:rsid w:val="15522BCF"/>
    <w:rsid w:val="155301D7"/>
    <w:rsid w:val="155344FA"/>
    <w:rsid w:val="15697A03"/>
    <w:rsid w:val="15717B63"/>
    <w:rsid w:val="15761F97"/>
    <w:rsid w:val="157F2B4B"/>
    <w:rsid w:val="15806971"/>
    <w:rsid w:val="15882F8B"/>
    <w:rsid w:val="15887BBF"/>
    <w:rsid w:val="158C1F5E"/>
    <w:rsid w:val="158F3058"/>
    <w:rsid w:val="159424D1"/>
    <w:rsid w:val="1598015F"/>
    <w:rsid w:val="159B19FD"/>
    <w:rsid w:val="159E3610"/>
    <w:rsid w:val="15AB60E4"/>
    <w:rsid w:val="15AC59B8"/>
    <w:rsid w:val="15B64A89"/>
    <w:rsid w:val="15C135E0"/>
    <w:rsid w:val="15C63491"/>
    <w:rsid w:val="15CA1987"/>
    <w:rsid w:val="15CE592F"/>
    <w:rsid w:val="15D46BD0"/>
    <w:rsid w:val="15D46CBD"/>
    <w:rsid w:val="15DA6411"/>
    <w:rsid w:val="15DD3DC4"/>
    <w:rsid w:val="15E038B4"/>
    <w:rsid w:val="15E05662"/>
    <w:rsid w:val="15E9458A"/>
    <w:rsid w:val="160457F4"/>
    <w:rsid w:val="16075022"/>
    <w:rsid w:val="16087E1D"/>
    <w:rsid w:val="160A3100"/>
    <w:rsid w:val="161B669A"/>
    <w:rsid w:val="161C2B3E"/>
    <w:rsid w:val="161D2B21"/>
    <w:rsid w:val="161D68B6"/>
    <w:rsid w:val="161F3D65"/>
    <w:rsid w:val="16210154"/>
    <w:rsid w:val="162776F9"/>
    <w:rsid w:val="16322361"/>
    <w:rsid w:val="164D3FE5"/>
    <w:rsid w:val="164F2A01"/>
    <w:rsid w:val="1650051A"/>
    <w:rsid w:val="16581113"/>
    <w:rsid w:val="16581F4E"/>
    <w:rsid w:val="165C3BCA"/>
    <w:rsid w:val="16612C47"/>
    <w:rsid w:val="166567A5"/>
    <w:rsid w:val="16685D83"/>
    <w:rsid w:val="16696085"/>
    <w:rsid w:val="167504A0"/>
    <w:rsid w:val="167A5AB7"/>
    <w:rsid w:val="167F317C"/>
    <w:rsid w:val="16816E45"/>
    <w:rsid w:val="16832492"/>
    <w:rsid w:val="169D1F69"/>
    <w:rsid w:val="16A0669F"/>
    <w:rsid w:val="16A3500D"/>
    <w:rsid w:val="16A50D85"/>
    <w:rsid w:val="16A7036B"/>
    <w:rsid w:val="16AB5C70"/>
    <w:rsid w:val="16AD3796"/>
    <w:rsid w:val="16AE11E8"/>
    <w:rsid w:val="16AE5760"/>
    <w:rsid w:val="16B54D41"/>
    <w:rsid w:val="16B55AB3"/>
    <w:rsid w:val="16B70AB9"/>
    <w:rsid w:val="16BD3139"/>
    <w:rsid w:val="16BE143E"/>
    <w:rsid w:val="16BF1736"/>
    <w:rsid w:val="16C07FEF"/>
    <w:rsid w:val="16C15493"/>
    <w:rsid w:val="16C64858"/>
    <w:rsid w:val="16C84A74"/>
    <w:rsid w:val="16CB6312"/>
    <w:rsid w:val="16CB705D"/>
    <w:rsid w:val="16D056D6"/>
    <w:rsid w:val="16D615D8"/>
    <w:rsid w:val="16E3540A"/>
    <w:rsid w:val="16E51568"/>
    <w:rsid w:val="16E82A20"/>
    <w:rsid w:val="16E878A8"/>
    <w:rsid w:val="16ED44DA"/>
    <w:rsid w:val="16EE0361"/>
    <w:rsid w:val="16F615E1"/>
    <w:rsid w:val="16FF7D6A"/>
    <w:rsid w:val="17006A33"/>
    <w:rsid w:val="170610F8"/>
    <w:rsid w:val="170F7470"/>
    <w:rsid w:val="17172581"/>
    <w:rsid w:val="171750B3"/>
    <w:rsid w:val="171F03F3"/>
    <w:rsid w:val="1720225E"/>
    <w:rsid w:val="17237EFC"/>
    <w:rsid w:val="172A3039"/>
    <w:rsid w:val="172A4DE7"/>
    <w:rsid w:val="17314DB3"/>
    <w:rsid w:val="173220AD"/>
    <w:rsid w:val="17347CCD"/>
    <w:rsid w:val="173C0FBE"/>
    <w:rsid w:val="174001C6"/>
    <w:rsid w:val="17410382"/>
    <w:rsid w:val="174452FC"/>
    <w:rsid w:val="174A116E"/>
    <w:rsid w:val="175D4C5F"/>
    <w:rsid w:val="175E3991"/>
    <w:rsid w:val="17626C76"/>
    <w:rsid w:val="17701D14"/>
    <w:rsid w:val="17735226"/>
    <w:rsid w:val="1774709D"/>
    <w:rsid w:val="17771FF6"/>
    <w:rsid w:val="17792D99"/>
    <w:rsid w:val="177B7D38"/>
    <w:rsid w:val="177C2D11"/>
    <w:rsid w:val="177C7F0A"/>
    <w:rsid w:val="1787048B"/>
    <w:rsid w:val="178829CA"/>
    <w:rsid w:val="1789621C"/>
    <w:rsid w:val="178E7858"/>
    <w:rsid w:val="17936E30"/>
    <w:rsid w:val="17984446"/>
    <w:rsid w:val="179E7583"/>
    <w:rsid w:val="17A51B0E"/>
    <w:rsid w:val="17A728DB"/>
    <w:rsid w:val="17A74689"/>
    <w:rsid w:val="17AB69E5"/>
    <w:rsid w:val="17B83B4A"/>
    <w:rsid w:val="17B9260F"/>
    <w:rsid w:val="17B943BD"/>
    <w:rsid w:val="17BF715C"/>
    <w:rsid w:val="17C02320"/>
    <w:rsid w:val="17C0399D"/>
    <w:rsid w:val="17C63699"/>
    <w:rsid w:val="17CA6350"/>
    <w:rsid w:val="17CE0CD4"/>
    <w:rsid w:val="17CF19E0"/>
    <w:rsid w:val="17D11706"/>
    <w:rsid w:val="17D17D9B"/>
    <w:rsid w:val="17D34DF7"/>
    <w:rsid w:val="17DF606D"/>
    <w:rsid w:val="17E01949"/>
    <w:rsid w:val="17E04987"/>
    <w:rsid w:val="17E07B9B"/>
    <w:rsid w:val="17E27FC0"/>
    <w:rsid w:val="17EA27C8"/>
    <w:rsid w:val="17F51899"/>
    <w:rsid w:val="17F90BAA"/>
    <w:rsid w:val="18025D64"/>
    <w:rsid w:val="18041ADC"/>
    <w:rsid w:val="180513B0"/>
    <w:rsid w:val="181066D2"/>
    <w:rsid w:val="18175989"/>
    <w:rsid w:val="181B0BD3"/>
    <w:rsid w:val="182757CA"/>
    <w:rsid w:val="182B2BB2"/>
    <w:rsid w:val="183323C1"/>
    <w:rsid w:val="1833416F"/>
    <w:rsid w:val="1838202B"/>
    <w:rsid w:val="183879D7"/>
    <w:rsid w:val="183D6D9C"/>
    <w:rsid w:val="18403E12"/>
    <w:rsid w:val="184243B2"/>
    <w:rsid w:val="18477C1A"/>
    <w:rsid w:val="18482B9D"/>
    <w:rsid w:val="185C36C6"/>
    <w:rsid w:val="185D4305"/>
    <w:rsid w:val="186407CC"/>
    <w:rsid w:val="1864257A"/>
    <w:rsid w:val="18645C61"/>
    <w:rsid w:val="186C142F"/>
    <w:rsid w:val="18700F1F"/>
    <w:rsid w:val="187355C6"/>
    <w:rsid w:val="187E258F"/>
    <w:rsid w:val="187F409E"/>
    <w:rsid w:val="1881312C"/>
    <w:rsid w:val="18932590"/>
    <w:rsid w:val="18952734"/>
    <w:rsid w:val="189959D5"/>
    <w:rsid w:val="189C7F66"/>
    <w:rsid w:val="189F35B2"/>
    <w:rsid w:val="189F624C"/>
    <w:rsid w:val="18A1557C"/>
    <w:rsid w:val="18A8170F"/>
    <w:rsid w:val="18AB28D3"/>
    <w:rsid w:val="18AC1971"/>
    <w:rsid w:val="18B52DD6"/>
    <w:rsid w:val="18BC5F12"/>
    <w:rsid w:val="18C179CD"/>
    <w:rsid w:val="18C474BD"/>
    <w:rsid w:val="18C82B09"/>
    <w:rsid w:val="18C94AD3"/>
    <w:rsid w:val="18C970A9"/>
    <w:rsid w:val="18CC3B4F"/>
    <w:rsid w:val="18CD6371"/>
    <w:rsid w:val="18CE5C46"/>
    <w:rsid w:val="18D21BDA"/>
    <w:rsid w:val="18D41876"/>
    <w:rsid w:val="18D53478"/>
    <w:rsid w:val="18D70F9E"/>
    <w:rsid w:val="18D71108"/>
    <w:rsid w:val="18DA0A8E"/>
    <w:rsid w:val="18DA45EA"/>
    <w:rsid w:val="18DC65B5"/>
    <w:rsid w:val="18DC773B"/>
    <w:rsid w:val="18DE2E43"/>
    <w:rsid w:val="18E11E1D"/>
    <w:rsid w:val="18E13BCB"/>
    <w:rsid w:val="18F77CFC"/>
    <w:rsid w:val="18F95391"/>
    <w:rsid w:val="18FA6A3B"/>
    <w:rsid w:val="190340B4"/>
    <w:rsid w:val="190873AA"/>
    <w:rsid w:val="190E33B2"/>
    <w:rsid w:val="191044B0"/>
    <w:rsid w:val="19151AC7"/>
    <w:rsid w:val="19185113"/>
    <w:rsid w:val="1927569A"/>
    <w:rsid w:val="192979C9"/>
    <w:rsid w:val="192A5572"/>
    <w:rsid w:val="192F0DDA"/>
    <w:rsid w:val="193B777F"/>
    <w:rsid w:val="19436799"/>
    <w:rsid w:val="19452F6C"/>
    <w:rsid w:val="19456052"/>
    <w:rsid w:val="194859F8"/>
    <w:rsid w:val="194918D8"/>
    <w:rsid w:val="19552135"/>
    <w:rsid w:val="19553E0D"/>
    <w:rsid w:val="19573E8D"/>
    <w:rsid w:val="19584882"/>
    <w:rsid w:val="19600F94"/>
    <w:rsid w:val="196352F5"/>
    <w:rsid w:val="19677F5C"/>
    <w:rsid w:val="19697BC5"/>
    <w:rsid w:val="197118BE"/>
    <w:rsid w:val="197665C1"/>
    <w:rsid w:val="197D2EBD"/>
    <w:rsid w:val="19882298"/>
    <w:rsid w:val="198F7ACB"/>
    <w:rsid w:val="19916D03"/>
    <w:rsid w:val="1992225D"/>
    <w:rsid w:val="19940C3D"/>
    <w:rsid w:val="19946E8F"/>
    <w:rsid w:val="199C5D44"/>
    <w:rsid w:val="19A928E0"/>
    <w:rsid w:val="19B1359D"/>
    <w:rsid w:val="19BE5CBA"/>
    <w:rsid w:val="19BF7536"/>
    <w:rsid w:val="19CC27E2"/>
    <w:rsid w:val="19CC3F9A"/>
    <w:rsid w:val="19D7052B"/>
    <w:rsid w:val="19DB4ABE"/>
    <w:rsid w:val="19DC3AAE"/>
    <w:rsid w:val="19DF40F0"/>
    <w:rsid w:val="19E00326"/>
    <w:rsid w:val="19EC0A79"/>
    <w:rsid w:val="19EF056A"/>
    <w:rsid w:val="1A051B3B"/>
    <w:rsid w:val="1A0E09F0"/>
    <w:rsid w:val="1A1324AA"/>
    <w:rsid w:val="1A143B2C"/>
    <w:rsid w:val="1A147FD0"/>
    <w:rsid w:val="1A1C66C0"/>
    <w:rsid w:val="1A1D6E85"/>
    <w:rsid w:val="1A204BC7"/>
    <w:rsid w:val="1A253F8B"/>
    <w:rsid w:val="1A2828EF"/>
    <w:rsid w:val="1A2C7EE9"/>
    <w:rsid w:val="1A3E3269"/>
    <w:rsid w:val="1A42393B"/>
    <w:rsid w:val="1A4373AE"/>
    <w:rsid w:val="1A476CAC"/>
    <w:rsid w:val="1A481505"/>
    <w:rsid w:val="1A4B1C44"/>
    <w:rsid w:val="1A4C59BC"/>
    <w:rsid w:val="1A4E44C3"/>
    <w:rsid w:val="1A5A3C35"/>
    <w:rsid w:val="1A634553"/>
    <w:rsid w:val="1A676352"/>
    <w:rsid w:val="1A6D6D72"/>
    <w:rsid w:val="1A6E148E"/>
    <w:rsid w:val="1A6F2200"/>
    <w:rsid w:val="1A7458B9"/>
    <w:rsid w:val="1A75606A"/>
    <w:rsid w:val="1A7B2F83"/>
    <w:rsid w:val="1A7D5B75"/>
    <w:rsid w:val="1A7E3C31"/>
    <w:rsid w:val="1A7E4151"/>
    <w:rsid w:val="1A807414"/>
    <w:rsid w:val="1A861305"/>
    <w:rsid w:val="1A8B2040"/>
    <w:rsid w:val="1A9023F8"/>
    <w:rsid w:val="1A9058A9"/>
    <w:rsid w:val="1A935399"/>
    <w:rsid w:val="1A9A2283"/>
    <w:rsid w:val="1A9D1D74"/>
    <w:rsid w:val="1AAD45DE"/>
    <w:rsid w:val="1AAD645B"/>
    <w:rsid w:val="1ABC669E"/>
    <w:rsid w:val="1ABD6B02"/>
    <w:rsid w:val="1AC775D5"/>
    <w:rsid w:val="1AD61006"/>
    <w:rsid w:val="1ADD7BFB"/>
    <w:rsid w:val="1ADF35D3"/>
    <w:rsid w:val="1ADF413A"/>
    <w:rsid w:val="1AE4406F"/>
    <w:rsid w:val="1AEB2ADF"/>
    <w:rsid w:val="1AEB6F83"/>
    <w:rsid w:val="1AFA5418"/>
    <w:rsid w:val="1B0032DD"/>
    <w:rsid w:val="1B046F80"/>
    <w:rsid w:val="1B063DBD"/>
    <w:rsid w:val="1B0F622D"/>
    <w:rsid w:val="1B1239F4"/>
    <w:rsid w:val="1B146617"/>
    <w:rsid w:val="1B1640E1"/>
    <w:rsid w:val="1B1C0EEA"/>
    <w:rsid w:val="1B1C713C"/>
    <w:rsid w:val="1B293607"/>
    <w:rsid w:val="1B3267B5"/>
    <w:rsid w:val="1B387BCB"/>
    <w:rsid w:val="1B40161D"/>
    <w:rsid w:val="1B41324C"/>
    <w:rsid w:val="1B420427"/>
    <w:rsid w:val="1B441859"/>
    <w:rsid w:val="1B4B17D0"/>
    <w:rsid w:val="1B4C5F5B"/>
    <w:rsid w:val="1B4C6558"/>
    <w:rsid w:val="1B5E1503"/>
    <w:rsid w:val="1B612DA1"/>
    <w:rsid w:val="1B6606B1"/>
    <w:rsid w:val="1B6F1962"/>
    <w:rsid w:val="1B7E3953"/>
    <w:rsid w:val="1B8046EC"/>
    <w:rsid w:val="1B812F99"/>
    <w:rsid w:val="1B876601"/>
    <w:rsid w:val="1B882A24"/>
    <w:rsid w:val="1B8A3271"/>
    <w:rsid w:val="1B8C2514"/>
    <w:rsid w:val="1B8D2C3F"/>
    <w:rsid w:val="1B950C9D"/>
    <w:rsid w:val="1B9A62B3"/>
    <w:rsid w:val="1B9C202B"/>
    <w:rsid w:val="1BA01B1B"/>
    <w:rsid w:val="1BA02D05"/>
    <w:rsid w:val="1BA03591"/>
    <w:rsid w:val="1BA052D9"/>
    <w:rsid w:val="1BA3160C"/>
    <w:rsid w:val="1BA57132"/>
    <w:rsid w:val="1BAB4125"/>
    <w:rsid w:val="1BB03B3E"/>
    <w:rsid w:val="1BB43819"/>
    <w:rsid w:val="1BBB4BA7"/>
    <w:rsid w:val="1BBE6F12"/>
    <w:rsid w:val="1BC01FA0"/>
    <w:rsid w:val="1BC407B7"/>
    <w:rsid w:val="1BC91BBD"/>
    <w:rsid w:val="1BCD48DA"/>
    <w:rsid w:val="1BD564B6"/>
    <w:rsid w:val="1BD6553D"/>
    <w:rsid w:val="1BE31D2D"/>
    <w:rsid w:val="1BE55780"/>
    <w:rsid w:val="1BE74187"/>
    <w:rsid w:val="1BF15652"/>
    <w:rsid w:val="1BF400B9"/>
    <w:rsid w:val="1BF956CF"/>
    <w:rsid w:val="1C057BD0"/>
    <w:rsid w:val="1C0E7EC3"/>
    <w:rsid w:val="1C0F6CA1"/>
    <w:rsid w:val="1C14601F"/>
    <w:rsid w:val="1C1549BE"/>
    <w:rsid w:val="1C1C4F1A"/>
    <w:rsid w:val="1C2376BB"/>
    <w:rsid w:val="1C24690F"/>
    <w:rsid w:val="1C2A29A7"/>
    <w:rsid w:val="1C2C33AF"/>
    <w:rsid w:val="1C3034D1"/>
    <w:rsid w:val="1C35703B"/>
    <w:rsid w:val="1C380166"/>
    <w:rsid w:val="1C4050AC"/>
    <w:rsid w:val="1C444B9D"/>
    <w:rsid w:val="1C4F52EF"/>
    <w:rsid w:val="1C5054AF"/>
    <w:rsid w:val="1C55007C"/>
    <w:rsid w:val="1C5965AA"/>
    <w:rsid w:val="1C5E7925"/>
    <w:rsid w:val="1C6B037B"/>
    <w:rsid w:val="1C796955"/>
    <w:rsid w:val="1C7A05BE"/>
    <w:rsid w:val="1C7A65EA"/>
    <w:rsid w:val="1C7D00AF"/>
    <w:rsid w:val="1C7F5BD5"/>
    <w:rsid w:val="1C81555D"/>
    <w:rsid w:val="1C830AE6"/>
    <w:rsid w:val="1C8615F4"/>
    <w:rsid w:val="1C8B27CB"/>
    <w:rsid w:val="1C8E5E18"/>
    <w:rsid w:val="1C907DE2"/>
    <w:rsid w:val="1C9378D2"/>
    <w:rsid w:val="1C962F1E"/>
    <w:rsid w:val="1C9B0535"/>
    <w:rsid w:val="1C9B1AA4"/>
    <w:rsid w:val="1C9D24FF"/>
    <w:rsid w:val="1CA078F9"/>
    <w:rsid w:val="1CA23B7D"/>
    <w:rsid w:val="1CA4563B"/>
    <w:rsid w:val="1CA90EA4"/>
    <w:rsid w:val="1CAC44F0"/>
    <w:rsid w:val="1CAD0994"/>
    <w:rsid w:val="1CAD4C91"/>
    <w:rsid w:val="1CAF74D8"/>
    <w:rsid w:val="1CB11B06"/>
    <w:rsid w:val="1CB26FA1"/>
    <w:rsid w:val="1CB304A3"/>
    <w:rsid w:val="1CBA4E5F"/>
    <w:rsid w:val="1CBF4223"/>
    <w:rsid w:val="1CBF5FD1"/>
    <w:rsid w:val="1CCE090A"/>
    <w:rsid w:val="1CCF29AD"/>
    <w:rsid w:val="1CD04682"/>
    <w:rsid w:val="1CD1447D"/>
    <w:rsid w:val="1CDB647D"/>
    <w:rsid w:val="1CDB6B83"/>
    <w:rsid w:val="1CDD6D9F"/>
    <w:rsid w:val="1CE0619C"/>
    <w:rsid w:val="1CE819CC"/>
    <w:rsid w:val="1CEB5018"/>
    <w:rsid w:val="1CF33ECD"/>
    <w:rsid w:val="1CF85987"/>
    <w:rsid w:val="1CFA6464"/>
    <w:rsid w:val="1CFC7225"/>
    <w:rsid w:val="1CFD070F"/>
    <w:rsid w:val="1CFE394E"/>
    <w:rsid w:val="1D012A8E"/>
    <w:rsid w:val="1D0936F0"/>
    <w:rsid w:val="1D107795"/>
    <w:rsid w:val="1D13631D"/>
    <w:rsid w:val="1D187DD7"/>
    <w:rsid w:val="1D1F4CC2"/>
    <w:rsid w:val="1D210A3A"/>
    <w:rsid w:val="1D234A18"/>
    <w:rsid w:val="1D24677C"/>
    <w:rsid w:val="1D251426"/>
    <w:rsid w:val="1D2542EE"/>
    <w:rsid w:val="1D2547F1"/>
    <w:rsid w:val="1D291FE4"/>
    <w:rsid w:val="1D2C2A82"/>
    <w:rsid w:val="1D306ECF"/>
    <w:rsid w:val="1D37025D"/>
    <w:rsid w:val="1D37585D"/>
    <w:rsid w:val="1D3A1AFC"/>
    <w:rsid w:val="1D3A7D4E"/>
    <w:rsid w:val="1D3B36F4"/>
    <w:rsid w:val="1D3C1D18"/>
    <w:rsid w:val="1D4F671F"/>
    <w:rsid w:val="1D5148BC"/>
    <w:rsid w:val="1D5A6425"/>
    <w:rsid w:val="1D5C4168"/>
    <w:rsid w:val="1D5F6196"/>
    <w:rsid w:val="1D6132A5"/>
    <w:rsid w:val="1D6D7BEB"/>
    <w:rsid w:val="1D703D1D"/>
    <w:rsid w:val="1D801128"/>
    <w:rsid w:val="1D801C31"/>
    <w:rsid w:val="1D8524D4"/>
    <w:rsid w:val="1D862F93"/>
    <w:rsid w:val="1D890952"/>
    <w:rsid w:val="1D8E56D5"/>
    <w:rsid w:val="1D933C61"/>
    <w:rsid w:val="1D9F5E03"/>
    <w:rsid w:val="1DA56E9E"/>
    <w:rsid w:val="1DA678D8"/>
    <w:rsid w:val="1DA84CB7"/>
    <w:rsid w:val="1DA962DF"/>
    <w:rsid w:val="1DAB1E82"/>
    <w:rsid w:val="1DB96EC4"/>
    <w:rsid w:val="1DBA103F"/>
    <w:rsid w:val="1DC37071"/>
    <w:rsid w:val="1DC37D43"/>
    <w:rsid w:val="1DC75A85"/>
    <w:rsid w:val="1DCA7323"/>
    <w:rsid w:val="1DD314C1"/>
    <w:rsid w:val="1DD520AF"/>
    <w:rsid w:val="1DD66886"/>
    <w:rsid w:val="1DD7559C"/>
    <w:rsid w:val="1DD87373"/>
    <w:rsid w:val="1DDB0EA7"/>
    <w:rsid w:val="1DDC0E05"/>
    <w:rsid w:val="1DDD721A"/>
    <w:rsid w:val="1DDF4451"/>
    <w:rsid w:val="1DE04881"/>
    <w:rsid w:val="1DE1641B"/>
    <w:rsid w:val="1DE303E5"/>
    <w:rsid w:val="1DE657E0"/>
    <w:rsid w:val="1DE8740B"/>
    <w:rsid w:val="1DEE1760"/>
    <w:rsid w:val="1DF261E4"/>
    <w:rsid w:val="1DF92FB2"/>
    <w:rsid w:val="1DFE6553"/>
    <w:rsid w:val="1DFF017B"/>
    <w:rsid w:val="1E0246BD"/>
    <w:rsid w:val="1E0349E4"/>
    <w:rsid w:val="1E0C793C"/>
    <w:rsid w:val="1E0D7210"/>
    <w:rsid w:val="1E0F2F88"/>
    <w:rsid w:val="1E104084"/>
    <w:rsid w:val="1E105529"/>
    <w:rsid w:val="1E157715"/>
    <w:rsid w:val="1E1A44C4"/>
    <w:rsid w:val="1E1D66E0"/>
    <w:rsid w:val="1E1F199E"/>
    <w:rsid w:val="1E27272C"/>
    <w:rsid w:val="1E360515"/>
    <w:rsid w:val="1E37428D"/>
    <w:rsid w:val="1E3824DF"/>
    <w:rsid w:val="1E390005"/>
    <w:rsid w:val="1E391DB3"/>
    <w:rsid w:val="1E4C7D38"/>
    <w:rsid w:val="1E5135A1"/>
    <w:rsid w:val="1E59323C"/>
    <w:rsid w:val="1E5D2262"/>
    <w:rsid w:val="1E5F5CBE"/>
    <w:rsid w:val="1E5F6569"/>
    <w:rsid w:val="1E62755C"/>
    <w:rsid w:val="1E6908EA"/>
    <w:rsid w:val="1E69544E"/>
    <w:rsid w:val="1E6A6411"/>
    <w:rsid w:val="1E6A71B4"/>
    <w:rsid w:val="1E733517"/>
    <w:rsid w:val="1E7352C5"/>
    <w:rsid w:val="1E7601F6"/>
    <w:rsid w:val="1E7828DC"/>
    <w:rsid w:val="1E7A43DA"/>
    <w:rsid w:val="1E7B23CC"/>
    <w:rsid w:val="1E7D6144"/>
    <w:rsid w:val="1E7E1EBC"/>
    <w:rsid w:val="1E823334"/>
    <w:rsid w:val="1E85324A"/>
    <w:rsid w:val="1E870D71"/>
    <w:rsid w:val="1E8768B2"/>
    <w:rsid w:val="1E894C50"/>
    <w:rsid w:val="1E8C45D9"/>
    <w:rsid w:val="1E9763AE"/>
    <w:rsid w:val="1EA442D4"/>
    <w:rsid w:val="1EA732A6"/>
    <w:rsid w:val="1EA96F39"/>
    <w:rsid w:val="1EAC07D7"/>
    <w:rsid w:val="1EAD74F0"/>
    <w:rsid w:val="1EAF2075"/>
    <w:rsid w:val="1EB15DEE"/>
    <w:rsid w:val="1EB94CCE"/>
    <w:rsid w:val="1EB96D3B"/>
    <w:rsid w:val="1EBB4EBE"/>
    <w:rsid w:val="1EBD29E4"/>
    <w:rsid w:val="1EBF050A"/>
    <w:rsid w:val="1EBF34C5"/>
    <w:rsid w:val="1EC6316C"/>
    <w:rsid w:val="1EC975DB"/>
    <w:rsid w:val="1EE7460E"/>
    <w:rsid w:val="1EE951E5"/>
    <w:rsid w:val="1EE97E37"/>
    <w:rsid w:val="1EED34C2"/>
    <w:rsid w:val="1EF26B32"/>
    <w:rsid w:val="1EF34658"/>
    <w:rsid w:val="1EF5217E"/>
    <w:rsid w:val="1EF87EC0"/>
    <w:rsid w:val="1EF949F7"/>
    <w:rsid w:val="1EFE2F32"/>
    <w:rsid w:val="1F022AED"/>
    <w:rsid w:val="1F055CE3"/>
    <w:rsid w:val="1F095C2A"/>
    <w:rsid w:val="1F0A3F2F"/>
    <w:rsid w:val="1F0C74C8"/>
    <w:rsid w:val="1F134CFA"/>
    <w:rsid w:val="1F161D61"/>
    <w:rsid w:val="1F176598"/>
    <w:rsid w:val="1F180379"/>
    <w:rsid w:val="1F182311"/>
    <w:rsid w:val="1F191DDB"/>
    <w:rsid w:val="1F1D16D5"/>
    <w:rsid w:val="1F1F070A"/>
    <w:rsid w:val="1F232E78"/>
    <w:rsid w:val="1F2760B0"/>
    <w:rsid w:val="1F281D5F"/>
    <w:rsid w:val="1F2C1918"/>
    <w:rsid w:val="1F2E15CE"/>
    <w:rsid w:val="1F301408"/>
    <w:rsid w:val="1F310CB4"/>
    <w:rsid w:val="1F32696E"/>
    <w:rsid w:val="1F3C5FFF"/>
    <w:rsid w:val="1F425618"/>
    <w:rsid w:val="1F4560C7"/>
    <w:rsid w:val="1F4D79F0"/>
    <w:rsid w:val="1F52137F"/>
    <w:rsid w:val="1F5350F7"/>
    <w:rsid w:val="1F576995"/>
    <w:rsid w:val="1F5C21FD"/>
    <w:rsid w:val="1F5D59C8"/>
    <w:rsid w:val="1F6625C9"/>
    <w:rsid w:val="1F6F5FDA"/>
    <w:rsid w:val="1F703EFB"/>
    <w:rsid w:val="1F721A21"/>
    <w:rsid w:val="1F737547"/>
    <w:rsid w:val="1F745799"/>
    <w:rsid w:val="1F78690B"/>
    <w:rsid w:val="1F7E2174"/>
    <w:rsid w:val="1F906AC3"/>
    <w:rsid w:val="1F925C1F"/>
    <w:rsid w:val="1F986C6B"/>
    <w:rsid w:val="1F9C1D5B"/>
    <w:rsid w:val="1FA616CA"/>
    <w:rsid w:val="1FA83694"/>
    <w:rsid w:val="1FAB4F33"/>
    <w:rsid w:val="1FB43DE7"/>
    <w:rsid w:val="1FB82B0F"/>
    <w:rsid w:val="1FBD5480"/>
    <w:rsid w:val="1FBF3DAB"/>
    <w:rsid w:val="1FC57DA2"/>
    <w:rsid w:val="1FC73179"/>
    <w:rsid w:val="1FCD4EA9"/>
    <w:rsid w:val="1FCE0A74"/>
    <w:rsid w:val="1FD14111"/>
    <w:rsid w:val="1FD72769"/>
    <w:rsid w:val="1FDC564F"/>
    <w:rsid w:val="1FE7539E"/>
    <w:rsid w:val="1FEA5A5B"/>
    <w:rsid w:val="1FEC1E8F"/>
    <w:rsid w:val="1FEF4E1F"/>
    <w:rsid w:val="1FF22B62"/>
    <w:rsid w:val="1FF70178"/>
    <w:rsid w:val="1FF73CD4"/>
    <w:rsid w:val="1FFB1928"/>
    <w:rsid w:val="200143C1"/>
    <w:rsid w:val="20087C8F"/>
    <w:rsid w:val="200B777F"/>
    <w:rsid w:val="200F101E"/>
    <w:rsid w:val="200F54C2"/>
    <w:rsid w:val="20102174"/>
    <w:rsid w:val="20112FE8"/>
    <w:rsid w:val="201725C8"/>
    <w:rsid w:val="20174D7D"/>
    <w:rsid w:val="201B5C14"/>
    <w:rsid w:val="201E1010"/>
    <w:rsid w:val="201E5705"/>
    <w:rsid w:val="20254CE5"/>
    <w:rsid w:val="202D3637"/>
    <w:rsid w:val="20304A05"/>
    <w:rsid w:val="203171E6"/>
    <w:rsid w:val="2035608B"/>
    <w:rsid w:val="20361304"/>
    <w:rsid w:val="203805B3"/>
    <w:rsid w:val="204038CD"/>
    <w:rsid w:val="20485E60"/>
    <w:rsid w:val="20511636"/>
    <w:rsid w:val="20562EBF"/>
    <w:rsid w:val="20601879"/>
    <w:rsid w:val="206104AB"/>
    <w:rsid w:val="20625AE6"/>
    <w:rsid w:val="20665761"/>
    <w:rsid w:val="206661A3"/>
    <w:rsid w:val="20671BE0"/>
    <w:rsid w:val="206770AC"/>
    <w:rsid w:val="20682625"/>
    <w:rsid w:val="206D7BD6"/>
    <w:rsid w:val="20765541"/>
    <w:rsid w:val="208F040C"/>
    <w:rsid w:val="20915ED7"/>
    <w:rsid w:val="20947775"/>
    <w:rsid w:val="20963CB8"/>
    <w:rsid w:val="209A67D6"/>
    <w:rsid w:val="209B0B03"/>
    <w:rsid w:val="209D2ACD"/>
    <w:rsid w:val="209E3FA3"/>
    <w:rsid w:val="20A81A1B"/>
    <w:rsid w:val="20A976C4"/>
    <w:rsid w:val="20AD0A3C"/>
    <w:rsid w:val="20B07FB6"/>
    <w:rsid w:val="20B53D8C"/>
    <w:rsid w:val="20B646FB"/>
    <w:rsid w:val="20BA2413"/>
    <w:rsid w:val="20BF5AA4"/>
    <w:rsid w:val="20C01CFC"/>
    <w:rsid w:val="20C22534"/>
    <w:rsid w:val="20C279F7"/>
    <w:rsid w:val="20C77B4A"/>
    <w:rsid w:val="20CB68DC"/>
    <w:rsid w:val="20CC33B3"/>
    <w:rsid w:val="20CC5F0A"/>
    <w:rsid w:val="20CE0ED9"/>
    <w:rsid w:val="20D30AF2"/>
    <w:rsid w:val="20D56D75"/>
    <w:rsid w:val="20D67D8D"/>
    <w:rsid w:val="20DF30E6"/>
    <w:rsid w:val="20E00C0C"/>
    <w:rsid w:val="20ED20DF"/>
    <w:rsid w:val="20EF0E4F"/>
    <w:rsid w:val="20F00473"/>
    <w:rsid w:val="20F9067E"/>
    <w:rsid w:val="20FA5AB6"/>
    <w:rsid w:val="20FB77F4"/>
    <w:rsid w:val="21030097"/>
    <w:rsid w:val="2107263D"/>
    <w:rsid w:val="210769FB"/>
    <w:rsid w:val="210F3FE9"/>
    <w:rsid w:val="2112345C"/>
    <w:rsid w:val="211262ED"/>
    <w:rsid w:val="2113605E"/>
    <w:rsid w:val="21150E6D"/>
    <w:rsid w:val="211663DC"/>
    <w:rsid w:val="21186F74"/>
    <w:rsid w:val="211F7986"/>
    <w:rsid w:val="212263A4"/>
    <w:rsid w:val="212678E0"/>
    <w:rsid w:val="212C7C17"/>
    <w:rsid w:val="212D6F54"/>
    <w:rsid w:val="2130769E"/>
    <w:rsid w:val="21354AB4"/>
    <w:rsid w:val="213B74B1"/>
    <w:rsid w:val="213C1917"/>
    <w:rsid w:val="213F1C3D"/>
    <w:rsid w:val="213F6C51"/>
    <w:rsid w:val="214007BA"/>
    <w:rsid w:val="21414DE3"/>
    <w:rsid w:val="21423675"/>
    <w:rsid w:val="215018EE"/>
    <w:rsid w:val="21562C7C"/>
    <w:rsid w:val="215772C1"/>
    <w:rsid w:val="21584C46"/>
    <w:rsid w:val="215A2310"/>
    <w:rsid w:val="215D768B"/>
    <w:rsid w:val="216D4A20"/>
    <w:rsid w:val="216E1E94"/>
    <w:rsid w:val="21723F5A"/>
    <w:rsid w:val="21731A80"/>
    <w:rsid w:val="217771F7"/>
    <w:rsid w:val="217A4BBD"/>
    <w:rsid w:val="217C26E3"/>
    <w:rsid w:val="217C6C4C"/>
    <w:rsid w:val="2186530F"/>
    <w:rsid w:val="21867BCC"/>
    <w:rsid w:val="21894E00"/>
    <w:rsid w:val="218D2B42"/>
    <w:rsid w:val="21902632"/>
    <w:rsid w:val="21964FBA"/>
    <w:rsid w:val="2198641B"/>
    <w:rsid w:val="219D08AB"/>
    <w:rsid w:val="219D2C92"/>
    <w:rsid w:val="21A25EC1"/>
    <w:rsid w:val="21A734D8"/>
    <w:rsid w:val="21A84BD4"/>
    <w:rsid w:val="21A8713A"/>
    <w:rsid w:val="21A954A2"/>
    <w:rsid w:val="21AF72D1"/>
    <w:rsid w:val="21B208BE"/>
    <w:rsid w:val="21B53E47"/>
    <w:rsid w:val="21B71ED5"/>
    <w:rsid w:val="21BA1CD2"/>
    <w:rsid w:val="21BE719F"/>
    <w:rsid w:val="21C04125"/>
    <w:rsid w:val="21D249F9"/>
    <w:rsid w:val="21D610A3"/>
    <w:rsid w:val="21D73DBD"/>
    <w:rsid w:val="21DC7625"/>
    <w:rsid w:val="21DE318A"/>
    <w:rsid w:val="21E5472C"/>
    <w:rsid w:val="21EF55AB"/>
    <w:rsid w:val="21EF5B80"/>
    <w:rsid w:val="21F02E07"/>
    <w:rsid w:val="21F26EE5"/>
    <w:rsid w:val="21FD1DAD"/>
    <w:rsid w:val="22032E04"/>
    <w:rsid w:val="22042688"/>
    <w:rsid w:val="220742E6"/>
    <w:rsid w:val="220F3557"/>
    <w:rsid w:val="22145011"/>
    <w:rsid w:val="22162B37"/>
    <w:rsid w:val="222A4D23"/>
    <w:rsid w:val="222B5EB7"/>
    <w:rsid w:val="22316A32"/>
    <w:rsid w:val="223236E9"/>
    <w:rsid w:val="2234120F"/>
    <w:rsid w:val="22361F30"/>
    <w:rsid w:val="223C00C4"/>
    <w:rsid w:val="223C39BA"/>
    <w:rsid w:val="22486A69"/>
    <w:rsid w:val="2249740C"/>
    <w:rsid w:val="224C4C48"/>
    <w:rsid w:val="224F429B"/>
    <w:rsid w:val="22513B9B"/>
    <w:rsid w:val="22553C2E"/>
    <w:rsid w:val="22576990"/>
    <w:rsid w:val="225A62F8"/>
    <w:rsid w:val="225E44DE"/>
    <w:rsid w:val="22617B2B"/>
    <w:rsid w:val="226A2E83"/>
    <w:rsid w:val="226D64CF"/>
    <w:rsid w:val="22803731"/>
    <w:rsid w:val="22806203"/>
    <w:rsid w:val="22814ABB"/>
    <w:rsid w:val="22833F45"/>
    <w:rsid w:val="22903A0E"/>
    <w:rsid w:val="22A243CB"/>
    <w:rsid w:val="22A719E1"/>
    <w:rsid w:val="22AB4DEA"/>
    <w:rsid w:val="22B055DC"/>
    <w:rsid w:val="22BF26D4"/>
    <w:rsid w:val="22C00CF5"/>
    <w:rsid w:val="22C04851"/>
    <w:rsid w:val="22C5630B"/>
    <w:rsid w:val="22D8603F"/>
    <w:rsid w:val="22DA21F5"/>
    <w:rsid w:val="22E00434"/>
    <w:rsid w:val="22EA5B1F"/>
    <w:rsid w:val="22EC6DCC"/>
    <w:rsid w:val="22F15352"/>
    <w:rsid w:val="22F455A3"/>
    <w:rsid w:val="22F47480"/>
    <w:rsid w:val="22F66958"/>
    <w:rsid w:val="22F8048F"/>
    <w:rsid w:val="22F84732"/>
    <w:rsid w:val="22FD5AA5"/>
    <w:rsid w:val="23103A2A"/>
    <w:rsid w:val="231D1CA3"/>
    <w:rsid w:val="231D28C9"/>
    <w:rsid w:val="2322375E"/>
    <w:rsid w:val="2322550C"/>
    <w:rsid w:val="232313A6"/>
    <w:rsid w:val="23250B58"/>
    <w:rsid w:val="23272B22"/>
    <w:rsid w:val="2329689A"/>
    <w:rsid w:val="232A43C0"/>
    <w:rsid w:val="232B323E"/>
    <w:rsid w:val="232E3EB1"/>
    <w:rsid w:val="23452FA8"/>
    <w:rsid w:val="23494ECF"/>
    <w:rsid w:val="234B235B"/>
    <w:rsid w:val="234C07DB"/>
    <w:rsid w:val="234F56DB"/>
    <w:rsid w:val="235F050E"/>
    <w:rsid w:val="235F3CE9"/>
    <w:rsid w:val="23614286"/>
    <w:rsid w:val="236E69A3"/>
    <w:rsid w:val="23713D9D"/>
    <w:rsid w:val="23760A55"/>
    <w:rsid w:val="2376432F"/>
    <w:rsid w:val="237A0EA4"/>
    <w:rsid w:val="237B2E16"/>
    <w:rsid w:val="237F295E"/>
    <w:rsid w:val="23887F96"/>
    <w:rsid w:val="238D507B"/>
    <w:rsid w:val="238E5B20"/>
    <w:rsid w:val="238F22A9"/>
    <w:rsid w:val="238F343A"/>
    <w:rsid w:val="23902475"/>
    <w:rsid w:val="239432C7"/>
    <w:rsid w:val="23955CDE"/>
    <w:rsid w:val="23957A8C"/>
    <w:rsid w:val="23987286"/>
    <w:rsid w:val="23997852"/>
    <w:rsid w:val="239E037C"/>
    <w:rsid w:val="23A10B26"/>
    <w:rsid w:val="23A423C5"/>
    <w:rsid w:val="23A47C26"/>
    <w:rsid w:val="23AC7F56"/>
    <w:rsid w:val="23AE0B4E"/>
    <w:rsid w:val="23B07E0C"/>
    <w:rsid w:val="23B24756"/>
    <w:rsid w:val="23B51EDC"/>
    <w:rsid w:val="23B96153"/>
    <w:rsid w:val="23BF7B2A"/>
    <w:rsid w:val="23C02C18"/>
    <w:rsid w:val="23C14D25"/>
    <w:rsid w:val="23C623BF"/>
    <w:rsid w:val="23C70504"/>
    <w:rsid w:val="23CB16FF"/>
    <w:rsid w:val="23D23F80"/>
    <w:rsid w:val="23D762F6"/>
    <w:rsid w:val="23DE1C48"/>
    <w:rsid w:val="23E746D1"/>
    <w:rsid w:val="23EE53EE"/>
    <w:rsid w:val="23F8626D"/>
    <w:rsid w:val="240210CD"/>
    <w:rsid w:val="240D3AC6"/>
    <w:rsid w:val="240F73B9"/>
    <w:rsid w:val="24134E54"/>
    <w:rsid w:val="24172B97"/>
    <w:rsid w:val="24194B61"/>
    <w:rsid w:val="24212E47"/>
    <w:rsid w:val="242552B4"/>
    <w:rsid w:val="2426102C"/>
    <w:rsid w:val="24341478"/>
    <w:rsid w:val="24361E02"/>
    <w:rsid w:val="245071DF"/>
    <w:rsid w:val="24521E21"/>
    <w:rsid w:val="2452597D"/>
    <w:rsid w:val="245711E5"/>
    <w:rsid w:val="245E07C6"/>
    <w:rsid w:val="245E4322"/>
    <w:rsid w:val="2460183D"/>
    <w:rsid w:val="24612064"/>
    <w:rsid w:val="24651B54"/>
    <w:rsid w:val="24653902"/>
    <w:rsid w:val="246758CC"/>
    <w:rsid w:val="246E29A5"/>
    <w:rsid w:val="248024EA"/>
    <w:rsid w:val="248144B4"/>
    <w:rsid w:val="24816262"/>
    <w:rsid w:val="24822706"/>
    <w:rsid w:val="2485696F"/>
    <w:rsid w:val="248661B5"/>
    <w:rsid w:val="248A3369"/>
    <w:rsid w:val="248B7CD0"/>
    <w:rsid w:val="248D5F2E"/>
    <w:rsid w:val="249441E7"/>
    <w:rsid w:val="24973CD7"/>
    <w:rsid w:val="24992D39"/>
    <w:rsid w:val="24997A50"/>
    <w:rsid w:val="249D7540"/>
    <w:rsid w:val="24A205E2"/>
    <w:rsid w:val="24A614DE"/>
    <w:rsid w:val="24A63957"/>
    <w:rsid w:val="24A81A41"/>
    <w:rsid w:val="24A82CBA"/>
    <w:rsid w:val="24AF7273"/>
    <w:rsid w:val="24B35C75"/>
    <w:rsid w:val="24BF09F7"/>
    <w:rsid w:val="24C06D8A"/>
    <w:rsid w:val="24C8034D"/>
    <w:rsid w:val="24D146B3"/>
    <w:rsid w:val="24D32F62"/>
    <w:rsid w:val="24E07603"/>
    <w:rsid w:val="24E16D01"/>
    <w:rsid w:val="24EC0600"/>
    <w:rsid w:val="24EC4023"/>
    <w:rsid w:val="24ED56A6"/>
    <w:rsid w:val="24ED6295"/>
    <w:rsid w:val="24EE1B49"/>
    <w:rsid w:val="24EE7D9B"/>
    <w:rsid w:val="24EF7670"/>
    <w:rsid w:val="24F1187F"/>
    <w:rsid w:val="24FC40EF"/>
    <w:rsid w:val="24FF3D57"/>
    <w:rsid w:val="2503311B"/>
    <w:rsid w:val="2504136D"/>
    <w:rsid w:val="250550E5"/>
    <w:rsid w:val="250B6D40"/>
    <w:rsid w:val="25115342"/>
    <w:rsid w:val="251F40F9"/>
    <w:rsid w:val="25207407"/>
    <w:rsid w:val="252217F3"/>
    <w:rsid w:val="252D53FE"/>
    <w:rsid w:val="252D7E52"/>
    <w:rsid w:val="253357AE"/>
    <w:rsid w:val="25423449"/>
    <w:rsid w:val="25423C43"/>
    <w:rsid w:val="254479BB"/>
    <w:rsid w:val="25535E50"/>
    <w:rsid w:val="25546BA5"/>
    <w:rsid w:val="2557740C"/>
    <w:rsid w:val="255B1070"/>
    <w:rsid w:val="25613EAC"/>
    <w:rsid w:val="256736AA"/>
    <w:rsid w:val="257225F5"/>
    <w:rsid w:val="2573204F"/>
    <w:rsid w:val="25826736"/>
    <w:rsid w:val="258277C2"/>
    <w:rsid w:val="25875AFA"/>
    <w:rsid w:val="258B383C"/>
    <w:rsid w:val="258C1362"/>
    <w:rsid w:val="258C3110"/>
    <w:rsid w:val="25900E53"/>
    <w:rsid w:val="25920B1C"/>
    <w:rsid w:val="25950217"/>
    <w:rsid w:val="259D531E"/>
    <w:rsid w:val="259F2E44"/>
    <w:rsid w:val="25A20B86"/>
    <w:rsid w:val="25A23A66"/>
    <w:rsid w:val="25A641D2"/>
    <w:rsid w:val="25AB7A3A"/>
    <w:rsid w:val="25AC5561"/>
    <w:rsid w:val="25AC730F"/>
    <w:rsid w:val="25B05051"/>
    <w:rsid w:val="25B06DFF"/>
    <w:rsid w:val="25B83F05"/>
    <w:rsid w:val="25BA0C9E"/>
    <w:rsid w:val="25C03186"/>
    <w:rsid w:val="25C32FD6"/>
    <w:rsid w:val="25C64874"/>
    <w:rsid w:val="25D03C0B"/>
    <w:rsid w:val="25D7082F"/>
    <w:rsid w:val="25D86A57"/>
    <w:rsid w:val="25E12698"/>
    <w:rsid w:val="25E20F82"/>
    <w:rsid w:val="25E46AA9"/>
    <w:rsid w:val="25E802D7"/>
    <w:rsid w:val="25EC2D81"/>
    <w:rsid w:val="25EF228A"/>
    <w:rsid w:val="25FC2044"/>
    <w:rsid w:val="25FF1B34"/>
    <w:rsid w:val="261C4494"/>
    <w:rsid w:val="261F3F85"/>
    <w:rsid w:val="26217CFD"/>
    <w:rsid w:val="26297825"/>
    <w:rsid w:val="262E1F56"/>
    <w:rsid w:val="2636171F"/>
    <w:rsid w:val="26391D8F"/>
    <w:rsid w:val="263B67B6"/>
    <w:rsid w:val="26526108"/>
    <w:rsid w:val="265504D1"/>
    <w:rsid w:val="2668592C"/>
    <w:rsid w:val="266A16A4"/>
    <w:rsid w:val="266B24A0"/>
    <w:rsid w:val="266C303E"/>
    <w:rsid w:val="26722306"/>
    <w:rsid w:val="267D46D7"/>
    <w:rsid w:val="26822D5C"/>
    <w:rsid w:val="26832765"/>
    <w:rsid w:val="26881B2A"/>
    <w:rsid w:val="268C2C23"/>
    <w:rsid w:val="268F69D3"/>
    <w:rsid w:val="269B7AAF"/>
    <w:rsid w:val="269C7383"/>
    <w:rsid w:val="26A5092E"/>
    <w:rsid w:val="26A5448A"/>
    <w:rsid w:val="26A73613"/>
    <w:rsid w:val="26A840C1"/>
    <w:rsid w:val="26AD333E"/>
    <w:rsid w:val="26B11081"/>
    <w:rsid w:val="26B91CE3"/>
    <w:rsid w:val="26BB5A5B"/>
    <w:rsid w:val="26BC7A25"/>
    <w:rsid w:val="26BE379D"/>
    <w:rsid w:val="26C07516"/>
    <w:rsid w:val="26C41924"/>
    <w:rsid w:val="26C568DA"/>
    <w:rsid w:val="26C86119"/>
    <w:rsid w:val="26CB6BF8"/>
    <w:rsid w:val="26CC5EBA"/>
    <w:rsid w:val="26CC7C68"/>
    <w:rsid w:val="26CE2F65"/>
    <w:rsid w:val="26D20FF7"/>
    <w:rsid w:val="26D7660D"/>
    <w:rsid w:val="26D9216F"/>
    <w:rsid w:val="26DE22CE"/>
    <w:rsid w:val="26E36D60"/>
    <w:rsid w:val="26E75939"/>
    <w:rsid w:val="26E93FA3"/>
    <w:rsid w:val="26EB1705"/>
    <w:rsid w:val="26ED11C8"/>
    <w:rsid w:val="26F61189"/>
    <w:rsid w:val="26F64CE5"/>
    <w:rsid w:val="26FE003E"/>
    <w:rsid w:val="26FE1F5C"/>
    <w:rsid w:val="26FE3B9A"/>
    <w:rsid w:val="27007912"/>
    <w:rsid w:val="27051CAA"/>
    <w:rsid w:val="27096BC8"/>
    <w:rsid w:val="270B5F28"/>
    <w:rsid w:val="270B65FE"/>
    <w:rsid w:val="270C62B7"/>
    <w:rsid w:val="270E195B"/>
    <w:rsid w:val="27117D71"/>
    <w:rsid w:val="27165388"/>
    <w:rsid w:val="271B6840"/>
    <w:rsid w:val="27247AA4"/>
    <w:rsid w:val="272563B7"/>
    <w:rsid w:val="272A11D3"/>
    <w:rsid w:val="272C03B2"/>
    <w:rsid w:val="27313F6F"/>
    <w:rsid w:val="273238A5"/>
    <w:rsid w:val="27354955"/>
    <w:rsid w:val="273677D8"/>
    <w:rsid w:val="27374912"/>
    <w:rsid w:val="273B6B9C"/>
    <w:rsid w:val="27402404"/>
    <w:rsid w:val="274211CB"/>
    <w:rsid w:val="2742617D"/>
    <w:rsid w:val="27457A1B"/>
    <w:rsid w:val="27554102"/>
    <w:rsid w:val="275B0FEC"/>
    <w:rsid w:val="276334B2"/>
    <w:rsid w:val="27693709"/>
    <w:rsid w:val="277057A2"/>
    <w:rsid w:val="277327DA"/>
    <w:rsid w:val="277A5916"/>
    <w:rsid w:val="27807D96"/>
    <w:rsid w:val="27814EF7"/>
    <w:rsid w:val="278F2A80"/>
    <w:rsid w:val="27906EE8"/>
    <w:rsid w:val="27910EB2"/>
    <w:rsid w:val="27932534"/>
    <w:rsid w:val="279369D8"/>
    <w:rsid w:val="279462AC"/>
    <w:rsid w:val="279D33B3"/>
    <w:rsid w:val="279D5271"/>
    <w:rsid w:val="279F35CF"/>
    <w:rsid w:val="27A24E6D"/>
    <w:rsid w:val="27AC1848"/>
    <w:rsid w:val="27AC6324"/>
    <w:rsid w:val="27AD7087"/>
    <w:rsid w:val="27AE5E80"/>
    <w:rsid w:val="27B41158"/>
    <w:rsid w:val="27B64475"/>
    <w:rsid w:val="27BD3A55"/>
    <w:rsid w:val="27BD5470"/>
    <w:rsid w:val="27BD5803"/>
    <w:rsid w:val="27C2106B"/>
    <w:rsid w:val="27C46B92"/>
    <w:rsid w:val="27C70430"/>
    <w:rsid w:val="27CF54F0"/>
    <w:rsid w:val="27D05536"/>
    <w:rsid w:val="27EF6D82"/>
    <w:rsid w:val="27F82CDF"/>
    <w:rsid w:val="28096C9A"/>
    <w:rsid w:val="281151DA"/>
    <w:rsid w:val="2814263E"/>
    <w:rsid w:val="281A0EA7"/>
    <w:rsid w:val="281F2148"/>
    <w:rsid w:val="28221B0A"/>
    <w:rsid w:val="28277120"/>
    <w:rsid w:val="282B4E63"/>
    <w:rsid w:val="282F32ED"/>
    <w:rsid w:val="283C798F"/>
    <w:rsid w:val="284877C3"/>
    <w:rsid w:val="284B2E0F"/>
    <w:rsid w:val="28517ABB"/>
    <w:rsid w:val="28580458"/>
    <w:rsid w:val="285E1492"/>
    <w:rsid w:val="28676A4F"/>
    <w:rsid w:val="28681C13"/>
    <w:rsid w:val="286F1B1C"/>
    <w:rsid w:val="287740D0"/>
    <w:rsid w:val="2879797C"/>
    <w:rsid w:val="287A36F4"/>
    <w:rsid w:val="28801FE8"/>
    <w:rsid w:val="28893937"/>
    <w:rsid w:val="288B6363"/>
    <w:rsid w:val="2890116A"/>
    <w:rsid w:val="28940C5A"/>
    <w:rsid w:val="289A51D2"/>
    <w:rsid w:val="289B5D70"/>
    <w:rsid w:val="289C366A"/>
    <w:rsid w:val="289F315B"/>
    <w:rsid w:val="28A1747B"/>
    <w:rsid w:val="28A8551B"/>
    <w:rsid w:val="28BA16D6"/>
    <w:rsid w:val="28BC503F"/>
    <w:rsid w:val="28BE7A85"/>
    <w:rsid w:val="28BF0948"/>
    <w:rsid w:val="28C716BC"/>
    <w:rsid w:val="28CB21A2"/>
    <w:rsid w:val="28CD5F1A"/>
    <w:rsid w:val="28D3378E"/>
    <w:rsid w:val="28D63020"/>
    <w:rsid w:val="28E75A13"/>
    <w:rsid w:val="28E84B02"/>
    <w:rsid w:val="28EA2628"/>
    <w:rsid w:val="28ED036A"/>
    <w:rsid w:val="28F46B87"/>
    <w:rsid w:val="28FB65E3"/>
    <w:rsid w:val="28FC5319"/>
    <w:rsid w:val="28FD5E5B"/>
    <w:rsid w:val="2900009D"/>
    <w:rsid w:val="29003BF9"/>
    <w:rsid w:val="29145B4B"/>
    <w:rsid w:val="291E6775"/>
    <w:rsid w:val="29206EB8"/>
    <w:rsid w:val="29220E0A"/>
    <w:rsid w:val="29242A1C"/>
    <w:rsid w:val="292813A2"/>
    <w:rsid w:val="29297A99"/>
    <w:rsid w:val="292C0E92"/>
    <w:rsid w:val="292C49EE"/>
    <w:rsid w:val="29310257"/>
    <w:rsid w:val="29445A87"/>
    <w:rsid w:val="29455AB0"/>
    <w:rsid w:val="295000C0"/>
    <w:rsid w:val="29542197"/>
    <w:rsid w:val="295464C2"/>
    <w:rsid w:val="29565B6D"/>
    <w:rsid w:val="29595666"/>
    <w:rsid w:val="29600B3C"/>
    <w:rsid w:val="29650ADB"/>
    <w:rsid w:val="29673C78"/>
    <w:rsid w:val="297168A5"/>
    <w:rsid w:val="29736AC1"/>
    <w:rsid w:val="29750226"/>
    <w:rsid w:val="297866ED"/>
    <w:rsid w:val="297C3C21"/>
    <w:rsid w:val="29874881"/>
    <w:rsid w:val="29910CF5"/>
    <w:rsid w:val="299762DC"/>
    <w:rsid w:val="299802D6"/>
    <w:rsid w:val="299A22A0"/>
    <w:rsid w:val="299C31FE"/>
    <w:rsid w:val="299D71D5"/>
    <w:rsid w:val="29A24CB1"/>
    <w:rsid w:val="29A7676B"/>
    <w:rsid w:val="29AF561F"/>
    <w:rsid w:val="29B03871"/>
    <w:rsid w:val="29B64C00"/>
    <w:rsid w:val="29BA649E"/>
    <w:rsid w:val="29C21847"/>
    <w:rsid w:val="29C52923"/>
    <w:rsid w:val="29C5361A"/>
    <w:rsid w:val="29C554FD"/>
    <w:rsid w:val="29C55A1E"/>
    <w:rsid w:val="29C73D0E"/>
    <w:rsid w:val="29CA4207"/>
    <w:rsid w:val="29CC7F7F"/>
    <w:rsid w:val="29CE019B"/>
    <w:rsid w:val="29CE74E7"/>
    <w:rsid w:val="29DF4157"/>
    <w:rsid w:val="29E07E09"/>
    <w:rsid w:val="29E277A3"/>
    <w:rsid w:val="29E31C2B"/>
    <w:rsid w:val="29E325E0"/>
    <w:rsid w:val="29E7300B"/>
    <w:rsid w:val="29EA442F"/>
    <w:rsid w:val="29F13D32"/>
    <w:rsid w:val="2A006359"/>
    <w:rsid w:val="2A03455E"/>
    <w:rsid w:val="2A0B066F"/>
    <w:rsid w:val="2A0E67EA"/>
    <w:rsid w:val="2A135BAE"/>
    <w:rsid w:val="2A1536D4"/>
    <w:rsid w:val="2A1B5CDA"/>
    <w:rsid w:val="2A1E27BC"/>
    <w:rsid w:val="2A21557C"/>
    <w:rsid w:val="2A2B5CA6"/>
    <w:rsid w:val="2A2D4EC2"/>
    <w:rsid w:val="2A306760"/>
    <w:rsid w:val="2A351FC9"/>
    <w:rsid w:val="2A3F1839"/>
    <w:rsid w:val="2A44220C"/>
    <w:rsid w:val="2A452503"/>
    <w:rsid w:val="2A473AAA"/>
    <w:rsid w:val="2A4915D0"/>
    <w:rsid w:val="2A5341FD"/>
    <w:rsid w:val="2A5979A0"/>
    <w:rsid w:val="2A614B6C"/>
    <w:rsid w:val="2A647DD0"/>
    <w:rsid w:val="2A681F45"/>
    <w:rsid w:val="2A68414C"/>
    <w:rsid w:val="2A691C72"/>
    <w:rsid w:val="2A6B7798"/>
    <w:rsid w:val="2A7217AB"/>
    <w:rsid w:val="2A7228D5"/>
    <w:rsid w:val="2A73664D"/>
    <w:rsid w:val="2A7376FC"/>
    <w:rsid w:val="2A742AF1"/>
    <w:rsid w:val="2A7C03CA"/>
    <w:rsid w:val="2A7F27ED"/>
    <w:rsid w:val="2A7F2CDE"/>
    <w:rsid w:val="2A88659C"/>
    <w:rsid w:val="2A8B7E3A"/>
    <w:rsid w:val="2A9071FF"/>
    <w:rsid w:val="2A9211C9"/>
    <w:rsid w:val="2A922F77"/>
    <w:rsid w:val="2A9B7114"/>
    <w:rsid w:val="2AA37589"/>
    <w:rsid w:val="2AA408FD"/>
    <w:rsid w:val="2AA655DF"/>
    <w:rsid w:val="2AA66A22"/>
    <w:rsid w:val="2AA77572"/>
    <w:rsid w:val="2AAC5EAF"/>
    <w:rsid w:val="2AAE4D1A"/>
    <w:rsid w:val="2AB47391"/>
    <w:rsid w:val="2AB949A8"/>
    <w:rsid w:val="2AB96538"/>
    <w:rsid w:val="2ABA427C"/>
    <w:rsid w:val="2ABC1DA2"/>
    <w:rsid w:val="2ABE1C8B"/>
    <w:rsid w:val="2AC74B8A"/>
    <w:rsid w:val="2ACB0237"/>
    <w:rsid w:val="2ACB6489"/>
    <w:rsid w:val="2AD00736"/>
    <w:rsid w:val="2AD07052"/>
    <w:rsid w:val="2AD152A2"/>
    <w:rsid w:val="2AD45D29"/>
    <w:rsid w:val="2AD62479"/>
    <w:rsid w:val="2AD76BDC"/>
    <w:rsid w:val="2ADA66CC"/>
    <w:rsid w:val="2ADB2B70"/>
    <w:rsid w:val="2ADF3CE2"/>
    <w:rsid w:val="2AE13EFE"/>
    <w:rsid w:val="2AE5754B"/>
    <w:rsid w:val="2AEB08D9"/>
    <w:rsid w:val="2AED3710"/>
    <w:rsid w:val="2AF23A16"/>
    <w:rsid w:val="2AF43C32"/>
    <w:rsid w:val="2AF4778E"/>
    <w:rsid w:val="2AF7592B"/>
    <w:rsid w:val="2AF7636C"/>
    <w:rsid w:val="2AFE4227"/>
    <w:rsid w:val="2AFF35A8"/>
    <w:rsid w:val="2B02634F"/>
    <w:rsid w:val="2B050B4A"/>
    <w:rsid w:val="2B1020EE"/>
    <w:rsid w:val="2B261911"/>
    <w:rsid w:val="2B287437"/>
    <w:rsid w:val="2B30421D"/>
    <w:rsid w:val="2B3265D2"/>
    <w:rsid w:val="2B381D70"/>
    <w:rsid w:val="2B383241"/>
    <w:rsid w:val="2B3B716B"/>
    <w:rsid w:val="2B3C2EE3"/>
    <w:rsid w:val="2B432555"/>
    <w:rsid w:val="2B45448D"/>
    <w:rsid w:val="2B486052"/>
    <w:rsid w:val="2B4E4339"/>
    <w:rsid w:val="2B54647E"/>
    <w:rsid w:val="2B59624A"/>
    <w:rsid w:val="2B604E23"/>
    <w:rsid w:val="2B657023"/>
    <w:rsid w:val="2B670E49"/>
    <w:rsid w:val="2B6761B2"/>
    <w:rsid w:val="2B6A5E5D"/>
    <w:rsid w:val="2B726905"/>
    <w:rsid w:val="2B7803BF"/>
    <w:rsid w:val="2B7D59D5"/>
    <w:rsid w:val="2B8C1E7D"/>
    <w:rsid w:val="2B8C79C6"/>
    <w:rsid w:val="2B8C7D56"/>
    <w:rsid w:val="2B8E36FC"/>
    <w:rsid w:val="2B996587"/>
    <w:rsid w:val="2B9B3029"/>
    <w:rsid w:val="2B9E594C"/>
    <w:rsid w:val="2BA5214F"/>
    <w:rsid w:val="2BA52AAD"/>
    <w:rsid w:val="2BA70CA4"/>
    <w:rsid w:val="2BA936A8"/>
    <w:rsid w:val="2BA9559E"/>
    <w:rsid w:val="2BAA609E"/>
    <w:rsid w:val="2BAC056D"/>
    <w:rsid w:val="2BB138D1"/>
    <w:rsid w:val="2BB4047B"/>
    <w:rsid w:val="2BB45838"/>
    <w:rsid w:val="2BB948D5"/>
    <w:rsid w:val="2BC453B2"/>
    <w:rsid w:val="2BCD0048"/>
    <w:rsid w:val="2BCE6231"/>
    <w:rsid w:val="2BCF1785"/>
    <w:rsid w:val="2BD42E91"/>
    <w:rsid w:val="2BD54053"/>
    <w:rsid w:val="2BDD0222"/>
    <w:rsid w:val="2BDD46C6"/>
    <w:rsid w:val="2BDE30F0"/>
    <w:rsid w:val="2BE710A1"/>
    <w:rsid w:val="2BEA293F"/>
    <w:rsid w:val="2BEA56D2"/>
    <w:rsid w:val="2BEE0681"/>
    <w:rsid w:val="2BF16CA3"/>
    <w:rsid w:val="2BF3579D"/>
    <w:rsid w:val="2BF462F7"/>
    <w:rsid w:val="2BFC02D1"/>
    <w:rsid w:val="2BFC0FF0"/>
    <w:rsid w:val="2C063C1D"/>
    <w:rsid w:val="2C0A7596"/>
    <w:rsid w:val="2C0B2FE1"/>
    <w:rsid w:val="2C106849"/>
    <w:rsid w:val="2C13673D"/>
    <w:rsid w:val="2C1856FE"/>
    <w:rsid w:val="2C1A76C8"/>
    <w:rsid w:val="2C1D0F66"/>
    <w:rsid w:val="2C1E3C6A"/>
    <w:rsid w:val="2C216C4A"/>
    <w:rsid w:val="2C2736A5"/>
    <w:rsid w:val="2C2B3683"/>
    <w:rsid w:val="2C2C11A9"/>
    <w:rsid w:val="2C315A5A"/>
    <w:rsid w:val="2C3A328B"/>
    <w:rsid w:val="2C3B112F"/>
    <w:rsid w:val="2C3B13EC"/>
    <w:rsid w:val="2C3E1BDD"/>
    <w:rsid w:val="2C4A0180"/>
    <w:rsid w:val="2C4B1C25"/>
    <w:rsid w:val="2C55425C"/>
    <w:rsid w:val="2C576226"/>
    <w:rsid w:val="2C5C383D"/>
    <w:rsid w:val="2C5E74DA"/>
    <w:rsid w:val="2C66290D"/>
    <w:rsid w:val="2C6775BE"/>
    <w:rsid w:val="2C683709"/>
    <w:rsid w:val="2C6B3A80"/>
    <w:rsid w:val="2C6D4E03"/>
    <w:rsid w:val="2C715B5A"/>
    <w:rsid w:val="2C721C1E"/>
    <w:rsid w:val="2C72792B"/>
    <w:rsid w:val="2C7566AC"/>
    <w:rsid w:val="2C770676"/>
    <w:rsid w:val="2C771052"/>
    <w:rsid w:val="2C78619D"/>
    <w:rsid w:val="2C804246"/>
    <w:rsid w:val="2C834431"/>
    <w:rsid w:val="2C8B4122"/>
    <w:rsid w:val="2C9A4978"/>
    <w:rsid w:val="2C9A4BC8"/>
    <w:rsid w:val="2CA52D7B"/>
    <w:rsid w:val="2CAD056F"/>
    <w:rsid w:val="2CB01DDA"/>
    <w:rsid w:val="2CB06CA8"/>
    <w:rsid w:val="2CB5192D"/>
    <w:rsid w:val="2CBA4A07"/>
    <w:rsid w:val="2CC91DB2"/>
    <w:rsid w:val="2CCB722B"/>
    <w:rsid w:val="2CCF6239"/>
    <w:rsid w:val="2CD00D5F"/>
    <w:rsid w:val="2CD51841"/>
    <w:rsid w:val="2CD6384B"/>
    <w:rsid w:val="2CD71115"/>
    <w:rsid w:val="2CD8457F"/>
    <w:rsid w:val="2CDA2B35"/>
    <w:rsid w:val="2CDF37FE"/>
    <w:rsid w:val="2CDF7FCA"/>
    <w:rsid w:val="2CE02702"/>
    <w:rsid w:val="2CE33F5E"/>
    <w:rsid w:val="2CE51A84"/>
    <w:rsid w:val="2CE5527B"/>
    <w:rsid w:val="2CE81574"/>
    <w:rsid w:val="2CF560B4"/>
    <w:rsid w:val="2CFB12A7"/>
    <w:rsid w:val="2D020AE2"/>
    <w:rsid w:val="2D067C4C"/>
    <w:rsid w:val="2D07285C"/>
    <w:rsid w:val="2D0E4090"/>
    <w:rsid w:val="2D0F4D53"/>
    <w:rsid w:val="2D116D15"/>
    <w:rsid w:val="2D144117"/>
    <w:rsid w:val="2D1F6CCF"/>
    <w:rsid w:val="2D221CE8"/>
    <w:rsid w:val="2D3070C6"/>
    <w:rsid w:val="2D355E3C"/>
    <w:rsid w:val="2D3617F0"/>
    <w:rsid w:val="2D4010AF"/>
    <w:rsid w:val="2D426ED6"/>
    <w:rsid w:val="2D474A07"/>
    <w:rsid w:val="2D4A18E7"/>
    <w:rsid w:val="2D504B9E"/>
    <w:rsid w:val="2D597D7C"/>
    <w:rsid w:val="2D5D6575"/>
    <w:rsid w:val="2D621327"/>
    <w:rsid w:val="2D746964"/>
    <w:rsid w:val="2D764930"/>
    <w:rsid w:val="2D780CA9"/>
    <w:rsid w:val="2D7B5F44"/>
    <w:rsid w:val="2D7E77E3"/>
    <w:rsid w:val="2D88240F"/>
    <w:rsid w:val="2D8D21DF"/>
    <w:rsid w:val="2D945258"/>
    <w:rsid w:val="2D9D410D"/>
    <w:rsid w:val="2D9E56F5"/>
    <w:rsid w:val="2DA51213"/>
    <w:rsid w:val="2DA70645"/>
    <w:rsid w:val="2DAC4350"/>
    <w:rsid w:val="2DAD1E76"/>
    <w:rsid w:val="2DAF2092"/>
    <w:rsid w:val="2DB33A06"/>
    <w:rsid w:val="2DB651CE"/>
    <w:rsid w:val="2DB9081B"/>
    <w:rsid w:val="2DBB2B93"/>
    <w:rsid w:val="2DC12C0B"/>
    <w:rsid w:val="2DC41CF0"/>
    <w:rsid w:val="2DC60DB1"/>
    <w:rsid w:val="2DD438A6"/>
    <w:rsid w:val="2DDA6B1D"/>
    <w:rsid w:val="2DDD6BFF"/>
    <w:rsid w:val="2DEA30CA"/>
    <w:rsid w:val="2DEA5B9A"/>
    <w:rsid w:val="2DEC6E42"/>
    <w:rsid w:val="2DEF06E0"/>
    <w:rsid w:val="2DF34DBC"/>
    <w:rsid w:val="2DF83A39"/>
    <w:rsid w:val="2DF94ED2"/>
    <w:rsid w:val="2E00644A"/>
    <w:rsid w:val="2E15574D"/>
    <w:rsid w:val="2E156399"/>
    <w:rsid w:val="2E166456"/>
    <w:rsid w:val="2E1D6FFC"/>
    <w:rsid w:val="2E1F0FC6"/>
    <w:rsid w:val="2E24038A"/>
    <w:rsid w:val="2E25064B"/>
    <w:rsid w:val="2E261C16"/>
    <w:rsid w:val="2E2F6D2F"/>
    <w:rsid w:val="2E3031D3"/>
    <w:rsid w:val="2E305065"/>
    <w:rsid w:val="2E48282B"/>
    <w:rsid w:val="2E497DF1"/>
    <w:rsid w:val="2E544143"/>
    <w:rsid w:val="2E631149"/>
    <w:rsid w:val="2E6469D8"/>
    <w:rsid w:val="2E667F96"/>
    <w:rsid w:val="2E6932C2"/>
    <w:rsid w:val="2E6A3C6B"/>
    <w:rsid w:val="2E6D6B17"/>
    <w:rsid w:val="2E6D7F83"/>
    <w:rsid w:val="2E6E02D1"/>
    <w:rsid w:val="2E76670C"/>
    <w:rsid w:val="2E7B108D"/>
    <w:rsid w:val="2E8226AB"/>
    <w:rsid w:val="2E8D60F4"/>
    <w:rsid w:val="2E8E1647"/>
    <w:rsid w:val="2E905A1F"/>
    <w:rsid w:val="2E933762"/>
    <w:rsid w:val="2E9574DA"/>
    <w:rsid w:val="2E980D78"/>
    <w:rsid w:val="2EA81CB8"/>
    <w:rsid w:val="2EA93DFB"/>
    <w:rsid w:val="2EB45BB2"/>
    <w:rsid w:val="2EB85D4C"/>
    <w:rsid w:val="2EBC700B"/>
    <w:rsid w:val="2EC701BE"/>
    <w:rsid w:val="2ECB4CA9"/>
    <w:rsid w:val="2ECD0A22"/>
    <w:rsid w:val="2ED40002"/>
    <w:rsid w:val="2ED81174"/>
    <w:rsid w:val="2ED973C6"/>
    <w:rsid w:val="2EE1627B"/>
    <w:rsid w:val="2EE24644"/>
    <w:rsid w:val="2EEB534C"/>
    <w:rsid w:val="2EEE2746"/>
    <w:rsid w:val="2EF91817"/>
    <w:rsid w:val="2EFB6E53"/>
    <w:rsid w:val="2EFE6E2D"/>
    <w:rsid w:val="2F013082"/>
    <w:rsid w:val="2F045D38"/>
    <w:rsid w:val="2F0D52C2"/>
    <w:rsid w:val="2F124686"/>
    <w:rsid w:val="2F194CF3"/>
    <w:rsid w:val="2F1B20C2"/>
    <w:rsid w:val="2F1F0594"/>
    <w:rsid w:val="2F261EE0"/>
    <w:rsid w:val="2F26688E"/>
    <w:rsid w:val="2F3B1E2F"/>
    <w:rsid w:val="2F3C1703"/>
    <w:rsid w:val="2F3E2418"/>
    <w:rsid w:val="2F3F2FA2"/>
    <w:rsid w:val="2F412617"/>
    <w:rsid w:val="2F416D1A"/>
    <w:rsid w:val="2F454A5C"/>
    <w:rsid w:val="2F4D3910"/>
    <w:rsid w:val="2F4F7689"/>
    <w:rsid w:val="2F503401"/>
    <w:rsid w:val="2F527179"/>
    <w:rsid w:val="2F601896"/>
    <w:rsid w:val="2F603644"/>
    <w:rsid w:val="2F6B3945"/>
    <w:rsid w:val="2F70016D"/>
    <w:rsid w:val="2F703021"/>
    <w:rsid w:val="2F7331CF"/>
    <w:rsid w:val="2F744D4E"/>
    <w:rsid w:val="2F803CE6"/>
    <w:rsid w:val="2F827F6C"/>
    <w:rsid w:val="2F9257C7"/>
    <w:rsid w:val="2F926EBA"/>
    <w:rsid w:val="2F94167A"/>
    <w:rsid w:val="2F9822A3"/>
    <w:rsid w:val="2F9B28CE"/>
    <w:rsid w:val="2F9C3A9C"/>
    <w:rsid w:val="2FA06136"/>
    <w:rsid w:val="2FA47DC2"/>
    <w:rsid w:val="2FA61769"/>
    <w:rsid w:val="2FAD0853"/>
    <w:rsid w:val="2FAE6957"/>
    <w:rsid w:val="2FAF1ED5"/>
    <w:rsid w:val="2FB219C5"/>
    <w:rsid w:val="2FB91C09"/>
    <w:rsid w:val="2FB91D6A"/>
    <w:rsid w:val="2FBC0251"/>
    <w:rsid w:val="2FBE1408"/>
    <w:rsid w:val="2FC17E5A"/>
    <w:rsid w:val="2FD065E6"/>
    <w:rsid w:val="2FD302BA"/>
    <w:rsid w:val="2FD72080"/>
    <w:rsid w:val="2FD858D0"/>
    <w:rsid w:val="2FD96870"/>
    <w:rsid w:val="2FDB0F1C"/>
    <w:rsid w:val="2FDB4E21"/>
    <w:rsid w:val="2FE92CA8"/>
    <w:rsid w:val="2FEA73B1"/>
    <w:rsid w:val="2FEE6EA1"/>
    <w:rsid w:val="2FF41FDE"/>
    <w:rsid w:val="2FF80C51"/>
    <w:rsid w:val="30055F99"/>
    <w:rsid w:val="30064097"/>
    <w:rsid w:val="3006424D"/>
    <w:rsid w:val="300E4257"/>
    <w:rsid w:val="300E502E"/>
    <w:rsid w:val="300F1EE7"/>
    <w:rsid w:val="30134B5A"/>
    <w:rsid w:val="30143F92"/>
    <w:rsid w:val="301B507F"/>
    <w:rsid w:val="30204B81"/>
    <w:rsid w:val="302A3C52"/>
    <w:rsid w:val="302F1268"/>
    <w:rsid w:val="3031330E"/>
    <w:rsid w:val="30314FE0"/>
    <w:rsid w:val="30343BBD"/>
    <w:rsid w:val="30395C43"/>
    <w:rsid w:val="303F6897"/>
    <w:rsid w:val="30453BCB"/>
    <w:rsid w:val="3047431F"/>
    <w:rsid w:val="304A7E50"/>
    <w:rsid w:val="304E0112"/>
    <w:rsid w:val="30536D05"/>
    <w:rsid w:val="305370E5"/>
    <w:rsid w:val="30545AD2"/>
    <w:rsid w:val="30564A47"/>
    <w:rsid w:val="30580BC9"/>
    <w:rsid w:val="305B7FDF"/>
    <w:rsid w:val="305D6C11"/>
    <w:rsid w:val="30627EB2"/>
    <w:rsid w:val="306476DE"/>
    <w:rsid w:val="30675BBA"/>
    <w:rsid w:val="30677802"/>
    <w:rsid w:val="307032EF"/>
    <w:rsid w:val="307229AC"/>
    <w:rsid w:val="307373A7"/>
    <w:rsid w:val="3075353C"/>
    <w:rsid w:val="3075518C"/>
    <w:rsid w:val="30774DC9"/>
    <w:rsid w:val="307750E9"/>
    <w:rsid w:val="307B4D26"/>
    <w:rsid w:val="307F5D4C"/>
    <w:rsid w:val="30801AC4"/>
    <w:rsid w:val="30881645"/>
    <w:rsid w:val="30896CDD"/>
    <w:rsid w:val="308E4DD3"/>
    <w:rsid w:val="30901D07"/>
    <w:rsid w:val="309317F7"/>
    <w:rsid w:val="309335A5"/>
    <w:rsid w:val="30964F3A"/>
    <w:rsid w:val="309A0DD7"/>
    <w:rsid w:val="309B06AC"/>
    <w:rsid w:val="30AB410F"/>
    <w:rsid w:val="30B01EF0"/>
    <w:rsid w:val="30B579BF"/>
    <w:rsid w:val="30BC6FA0"/>
    <w:rsid w:val="30C145B6"/>
    <w:rsid w:val="30C3032E"/>
    <w:rsid w:val="30C65728"/>
    <w:rsid w:val="30C76D1C"/>
    <w:rsid w:val="30C96FC7"/>
    <w:rsid w:val="30D31113"/>
    <w:rsid w:val="30D342E9"/>
    <w:rsid w:val="30D37E45"/>
    <w:rsid w:val="30D6554C"/>
    <w:rsid w:val="30DE7102"/>
    <w:rsid w:val="30E65DCB"/>
    <w:rsid w:val="30E738F1"/>
    <w:rsid w:val="30ED7159"/>
    <w:rsid w:val="30EE2ED1"/>
    <w:rsid w:val="30F229C1"/>
    <w:rsid w:val="30F46739"/>
    <w:rsid w:val="30F57F76"/>
    <w:rsid w:val="3102072B"/>
    <w:rsid w:val="3103697D"/>
    <w:rsid w:val="31052FA1"/>
    <w:rsid w:val="31083F93"/>
    <w:rsid w:val="310D15A9"/>
    <w:rsid w:val="310F550E"/>
    <w:rsid w:val="311E2ED7"/>
    <w:rsid w:val="311F12DD"/>
    <w:rsid w:val="31254328"/>
    <w:rsid w:val="31271F3F"/>
    <w:rsid w:val="31272204"/>
    <w:rsid w:val="312F620E"/>
    <w:rsid w:val="31305298"/>
    <w:rsid w:val="313661D4"/>
    <w:rsid w:val="31375793"/>
    <w:rsid w:val="313854CF"/>
    <w:rsid w:val="3139239E"/>
    <w:rsid w:val="31455663"/>
    <w:rsid w:val="314825E1"/>
    <w:rsid w:val="314E52DC"/>
    <w:rsid w:val="314F3970"/>
    <w:rsid w:val="31550A3E"/>
    <w:rsid w:val="315619EE"/>
    <w:rsid w:val="315C449C"/>
    <w:rsid w:val="316078CF"/>
    <w:rsid w:val="316136A3"/>
    <w:rsid w:val="31623972"/>
    <w:rsid w:val="316D180B"/>
    <w:rsid w:val="31741628"/>
    <w:rsid w:val="31772EC7"/>
    <w:rsid w:val="317B29B7"/>
    <w:rsid w:val="317E045D"/>
    <w:rsid w:val="317E6003"/>
    <w:rsid w:val="317F1D7B"/>
    <w:rsid w:val="317F3B29"/>
    <w:rsid w:val="3181001F"/>
    <w:rsid w:val="31837ABD"/>
    <w:rsid w:val="318A0E4C"/>
    <w:rsid w:val="318B1C70"/>
    <w:rsid w:val="31905D36"/>
    <w:rsid w:val="319F5F79"/>
    <w:rsid w:val="31A31F0E"/>
    <w:rsid w:val="31A57A34"/>
    <w:rsid w:val="31AD4B3A"/>
    <w:rsid w:val="31B25CAD"/>
    <w:rsid w:val="31B82709"/>
    <w:rsid w:val="31BB6A0B"/>
    <w:rsid w:val="31BC2B22"/>
    <w:rsid w:val="31BC6B2B"/>
    <w:rsid w:val="31C94406"/>
    <w:rsid w:val="31D05482"/>
    <w:rsid w:val="31D13B19"/>
    <w:rsid w:val="31D16A7B"/>
    <w:rsid w:val="31D66757"/>
    <w:rsid w:val="31D976DD"/>
    <w:rsid w:val="31E0281A"/>
    <w:rsid w:val="31F345DE"/>
    <w:rsid w:val="3203475A"/>
    <w:rsid w:val="32036508"/>
    <w:rsid w:val="32052280"/>
    <w:rsid w:val="320A398D"/>
    <w:rsid w:val="32116E77"/>
    <w:rsid w:val="321203BC"/>
    <w:rsid w:val="32130E41"/>
    <w:rsid w:val="32170A33"/>
    <w:rsid w:val="32283022"/>
    <w:rsid w:val="323639D7"/>
    <w:rsid w:val="323D4DDE"/>
    <w:rsid w:val="32400B34"/>
    <w:rsid w:val="32414601"/>
    <w:rsid w:val="324223A0"/>
    <w:rsid w:val="32490943"/>
    <w:rsid w:val="324A2ACB"/>
    <w:rsid w:val="324C4353"/>
    <w:rsid w:val="324C6101"/>
    <w:rsid w:val="324E7E72"/>
    <w:rsid w:val="3251196A"/>
    <w:rsid w:val="325154C6"/>
    <w:rsid w:val="32534AFB"/>
    <w:rsid w:val="325B094B"/>
    <w:rsid w:val="32601BAD"/>
    <w:rsid w:val="326132B3"/>
    <w:rsid w:val="32677044"/>
    <w:rsid w:val="32696CB3"/>
    <w:rsid w:val="326E2F65"/>
    <w:rsid w:val="326E7E26"/>
    <w:rsid w:val="327E4F11"/>
    <w:rsid w:val="3282371F"/>
    <w:rsid w:val="32843FFE"/>
    <w:rsid w:val="32852EE6"/>
    <w:rsid w:val="32891103"/>
    <w:rsid w:val="328A4FE6"/>
    <w:rsid w:val="328F5FEE"/>
    <w:rsid w:val="3291620A"/>
    <w:rsid w:val="32917FB8"/>
    <w:rsid w:val="329E6876"/>
    <w:rsid w:val="32A27B35"/>
    <w:rsid w:val="32A55811"/>
    <w:rsid w:val="32AC4DF2"/>
    <w:rsid w:val="32AD2A6D"/>
    <w:rsid w:val="32B32634"/>
    <w:rsid w:val="32BB6DE3"/>
    <w:rsid w:val="32BF01BA"/>
    <w:rsid w:val="32BF0681"/>
    <w:rsid w:val="32C12DE0"/>
    <w:rsid w:val="32C36DD3"/>
    <w:rsid w:val="32CE2FBA"/>
    <w:rsid w:val="32CE4D68"/>
    <w:rsid w:val="32D61E6F"/>
    <w:rsid w:val="32E102A8"/>
    <w:rsid w:val="32E427DE"/>
    <w:rsid w:val="32F3657D"/>
    <w:rsid w:val="32F522F5"/>
    <w:rsid w:val="32FD564D"/>
    <w:rsid w:val="33013EE5"/>
    <w:rsid w:val="330B7D6A"/>
    <w:rsid w:val="331108DD"/>
    <w:rsid w:val="331756AB"/>
    <w:rsid w:val="33194D5C"/>
    <w:rsid w:val="331F4173"/>
    <w:rsid w:val="332B55F7"/>
    <w:rsid w:val="333015F2"/>
    <w:rsid w:val="33364265"/>
    <w:rsid w:val="333764C7"/>
    <w:rsid w:val="333D0CF3"/>
    <w:rsid w:val="33423060"/>
    <w:rsid w:val="33435756"/>
    <w:rsid w:val="334358FC"/>
    <w:rsid w:val="3344502A"/>
    <w:rsid w:val="334B6320"/>
    <w:rsid w:val="335041A4"/>
    <w:rsid w:val="33574CDF"/>
    <w:rsid w:val="335F1E64"/>
    <w:rsid w:val="33633282"/>
    <w:rsid w:val="336F70E4"/>
    <w:rsid w:val="3371728B"/>
    <w:rsid w:val="337D1A76"/>
    <w:rsid w:val="337F55A9"/>
    <w:rsid w:val="33813B89"/>
    <w:rsid w:val="33835B53"/>
    <w:rsid w:val="33866A55"/>
    <w:rsid w:val="33883169"/>
    <w:rsid w:val="33892BD5"/>
    <w:rsid w:val="338B2C59"/>
    <w:rsid w:val="338E62A6"/>
    <w:rsid w:val="3392223A"/>
    <w:rsid w:val="33945FB2"/>
    <w:rsid w:val="33A378C3"/>
    <w:rsid w:val="33A87367"/>
    <w:rsid w:val="33A930DF"/>
    <w:rsid w:val="33AA7BD5"/>
    <w:rsid w:val="33AB3863"/>
    <w:rsid w:val="33B0446E"/>
    <w:rsid w:val="33B4018B"/>
    <w:rsid w:val="33B94D9D"/>
    <w:rsid w:val="33BE6B8B"/>
    <w:rsid w:val="33BF2903"/>
    <w:rsid w:val="33C20667"/>
    <w:rsid w:val="33C57F19"/>
    <w:rsid w:val="33D15C38"/>
    <w:rsid w:val="33D3159C"/>
    <w:rsid w:val="33D62126"/>
    <w:rsid w:val="33D70F04"/>
    <w:rsid w:val="33D934D4"/>
    <w:rsid w:val="33DE547F"/>
    <w:rsid w:val="33DE722D"/>
    <w:rsid w:val="33E32A95"/>
    <w:rsid w:val="33E365F1"/>
    <w:rsid w:val="33E517A7"/>
    <w:rsid w:val="33EB36F8"/>
    <w:rsid w:val="33F151B2"/>
    <w:rsid w:val="33F20F2A"/>
    <w:rsid w:val="33F24A86"/>
    <w:rsid w:val="33F407FF"/>
    <w:rsid w:val="33FE2F6A"/>
    <w:rsid w:val="34086058"/>
    <w:rsid w:val="340B05C3"/>
    <w:rsid w:val="340D18C0"/>
    <w:rsid w:val="340D25AE"/>
    <w:rsid w:val="340E07E5"/>
    <w:rsid w:val="34120C85"/>
    <w:rsid w:val="34157DC8"/>
    <w:rsid w:val="341D1C31"/>
    <w:rsid w:val="341D5FA7"/>
    <w:rsid w:val="341D7D55"/>
    <w:rsid w:val="341E37BE"/>
    <w:rsid w:val="34235BF7"/>
    <w:rsid w:val="342509B8"/>
    <w:rsid w:val="34272E4C"/>
    <w:rsid w:val="34285A1D"/>
    <w:rsid w:val="342A2472"/>
    <w:rsid w:val="342F7A89"/>
    <w:rsid w:val="343155AF"/>
    <w:rsid w:val="34321327"/>
    <w:rsid w:val="343337E7"/>
    <w:rsid w:val="34337579"/>
    <w:rsid w:val="343706EB"/>
    <w:rsid w:val="343E1A7A"/>
    <w:rsid w:val="343E7CCC"/>
    <w:rsid w:val="34452E08"/>
    <w:rsid w:val="344A041F"/>
    <w:rsid w:val="344A6670"/>
    <w:rsid w:val="345117AD"/>
    <w:rsid w:val="34565A0F"/>
    <w:rsid w:val="34574ACF"/>
    <w:rsid w:val="34574FF0"/>
    <w:rsid w:val="345968B4"/>
    <w:rsid w:val="345A00D0"/>
    <w:rsid w:val="345E415B"/>
    <w:rsid w:val="346040E6"/>
    <w:rsid w:val="3465020F"/>
    <w:rsid w:val="346A0AC1"/>
    <w:rsid w:val="346A6596"/>
    <w:rsid w:val="346D3359"/>
    <w:rsid w:val="347100A1"/>
    <w:rsid w:val="34733E19"/>
    <w:rsid w:val="347A2085"/>
    <w:rsid w:val="347B0F20"/>
    <w:rsid w:val="347F27BE"/>
    <w:rsid w:val="348320CD"/>
    <w:rsid w:val="34841945"/>
    <w:rsid w:val="34861977"/>
    <w:rsid w:val="34906F65"/>
    <w:rsid w:val="34936269"/>
    <w:rsid w:val="34943D90"/>
    <w:rsid w:val="34975C7C"/>
    <w:rsid w:val="349B7512"/>
    <w:rsid w:val="34A22009"/>
    <w:rsid w:val="34A55F9D"/>
    <w:rsid w:val="34AF257B"/>
    <w:rsid w:val="34B14942"/>
    <w:rsid w:val="34B43119"/>
    <w:rsid w:val="34B47F8E"/>
    <w:rsid w:val="34B63D06"/>
    <w:rsid w:val="34BA20A5"/>
    <w:rsid w:val="34BB756E"/>
    <w:rsid w:val="34C1522F"/>
    <w:rsid w:val="34CA155F"/>
    <w:rsid w:val="34CB76EB"/>
    <w:rsid w:val="34DA3E98"/>
    <w:rsid w:val="34DA79F4"/>
    <w:rsid w:val="34DD173F"/>
    <w:rsid w:val="34E22F20"/>
    <w:rsid w:val="34E24AFB"/>
    <w:rsid w:val="34E9358D"/>
    <w:rsid w:val="34EA0CCC"/>
    <w:rsid w:val="34EC3BCC"/>
    <w:rsid w:val="34F36D08"/>
    <w:rsid w:val="34F8770E"/>
    <w:rsid w:val="34FF745B"/>
    <w:rsid w:val="35004F81"/>
    <w:rsid w:val="350155F3"/>
    <w:rsid w:val="3502519D"/>
    <w:rsid w:val="35057B39"/>
    <w:rsid w:val="350B5E00"/>
    <w:rsid w:val="35146AF7"/>
    <w:rsid w:val="35154ED0"/>
    <w:rsid w:val="35160538"/>
    <w:rsid w:val="352C502F"/>
    <w:rsid w:val="35330F2A"/>
    <w:rsid w:val="35355F61"/>
    <w:rsid w:val="354B08F2"/>
    <w:rsid w:val="354E03E2"/>
    <w:rsid w:val="35507CB7"/>
    <w:rsid w:val="35510E8D"/>
    <w:rsid w:val="355A457F"/>
    <w:rsid w:val="355E0F40"/>
    <w:rsid w:val="355F439E"/>
    <w:rsid w:val="356279EA"/>
    <w:rsid w:val="35650039"/>
    <w:rsid w:val="356674DA"/>
    <w:rsid w:val="356B689E"/>
    <w:rsid w:val="356C1A79"/>
    <w:rsid w:val="357E0CC8"/>
    <w:rsid w:val="35802BA4"/>
    <w:rsid w:val="35843E04"/>
    <w:rsid w:val="358465DE"/>
    <w:rsid w:val="35847960"/>
    <w:rsid w:val="358C5FA8"/>
    <w:rsid w:val="358D2B89"/>
    <w:rsid w:val="35955F06"/>
    <w:rsid w:val="359F29EC"/>
    <w:rsid w:val="35A03752"/>
    <w:rsid w:val="35AA21B7"/>
    <w:rsid w:val="35B20971"/>
    <w:rsid w:val="35B9585C"/>
    <w:rsid w:val="35BE0BBF"/>
    <w:rsid w:val="35BE10C4"/>
    <w:rsid w:val="35BE55FA"/>
    <w:rsid w:val="35C15DF1"/>
    <w:rsid w:val="35C27C1F"/>
    <w:rsid w:val="35C30488"/>
    <w:rsid w:val="35C3492C"/>
    <w:rsid w:val="35C366DA"/>
    <w:rsid w:val="35C6441D"/>
    <w:rsid w:val="35C91817"/>
    <w:rsid w:val="35CA1B8F"/>
    <w:rsid w:val="35CB3C39"/>
    <w:rsid w:val="35CE0AC3"/>
    <w:rsid w:val="35CF1523"/>
    <w:rsid w:val="35D22DC1"/>
    <w:rsid w:val="35D46B3A"/>
    <w:rsid w:val="35D501BC"/>
    <w:rsid w:val="35D703D8"/>
    <w:rsid w:val="35D94B0C"/>
    <w:rsid w:val="35E0390B"/>
    <w:rsid w:val="35E121C6"/>
    <w:rsid w:val="35E434CA"/>
    <w:rsid w:val="35EB79DF"/>
    <w:rsid w:val="35F1149A"/>
    <w:rsid w:val="35F16058"/>
    <w:rsid w:val="35F77046"/>
    <w:rsid w:val="35FC2063"/>
    <w:rsid w:val="35FC5605"/>
    <w:rsid w:val="36010FB1"/>
    <w:rsid w:val="36045B33"/>
    <w:rsid w:val="36074A7F"/>
    <w:rsid w:val="36084F56"/>
    <w:rsid w:val="360A31E9"/>
    <w:rsid w:val="360C5B09"/>
    <w:rsid w:val="36130D98"/>
    <w:rsid w:val="361657CB"/>
    <w:rsid w:val="361D107D"/>
    <w:rsid w:val="36237179"/>
    <w:rsid w:val="362A0508"/>
    <w:rsid w:val="36315DEA"/>
    <w:rsid w:val="36392E40"/>
    <w:rsid w:val="363A38D0"/>
    <w:rsid w:val="36484E32"/>
    <w:rsid w:val="365437D6"/>
    <w:rsid w:val="36592B9B"/>
    <w:rsid w:val="365C6959"/>
    <w:rsid w:val="366003CD"/>
    <w:rsid w:val="36633A19"/>
    <w:rsid w:val="366559E4"/>
    <w:rsid w:val="366B28CE"/>
    <w:rsid w:val="36795CB8"/>
    <w:rsid w:val="367F4CF7"/>
    <w:rsid w:val="367F6C7D"/>
    <w:rsid w:val="3685055C"/>
    <w:rsid w:val="36915C1D"/>
    <w:rsid w:val="36923549"/>
    <w:rsid w:val="36A422C5"/>
    <w:rsid w:val="36A84DB7"/>
    <w:rsid w:val="36AA5455"/>
    <w:rsid w:val="36AC53C0"/>
    <w:rsid w:val="36AD2EE7"/>
    <w:rsid w:val="36B75FBF"/>
    <w:rsid w:val="36BA6A4F"/>
    <w:rsid w:val="36BB1AA7"/>
    <w:rsid w:val="36BD0C45"/>
    <w:rsid w:val="36BD137C"/>
    <w:rsid w:val="36C628CF"/>
    <w:rsid w:val="36C721FA"/>
    <w:rsid w:val="36C81662"/>
    <w:rsid w:val="36C841D0"/>
    <w:rsid w:val="36CA3A99"/>
    <w:rsid w:val="36CE17DB"/>
    <w:rsid w:val="36D17318"/>
    <w:rsid w:val="36D466C5"/>
    <w:rsid w:val="36D861B6"/>
    <w:rsid w:val="36DB5CA6"/>
    <w:rsid w:val="36E032BC"/>
    <w:rsid w:val="36E03D3B"/>
    <w:rsid w:val="36E42DAC"/>
    <w:rsid w:val="36F54FB9"/>
    <w:rsid w:val="36FA25D0"/>
    <w:rsid w:val="37081803"/>
    <w:rsid w:val="370F76FD"/>
    <w:rsid w:val="37133692"/>
    <w:rsid w:val="3715770A"/>
    <w:rsid w:val="37180CA8"/>
    <w:rsid w:val="371B2546"/>
    <w:rsid w:val="37223CC5"/>
    <w:rsid w:val="37227E74"/>
    <w:rsid w:val="372413FB"/>
    <w:rsid w:val="372E14F8"/>
    <w:rsid w:val="37335AE2"/>
    <w:rsid w:val="373D070E"/>
    <w:rsid w:val="3744384B"/>
    <w:rsid w:val="3745778C"/>
    <w:rsid w:val="3747333B"/>
    <w:rsid w:val="374969AF"/>
    <w:rsid w:val="374A4272"/>
    <w:rsid w:val="374C5E8C"/>
    <w:rsid w:val="37531CE0"/>
    <w:rsid w:val="37537F32"/>
    <w:rsid w:val="375A12C0"/>
    <w:rsid w:val="376501BF"/>
    <w:rsid w:val="37695060"/>
    <w:rsid w:val="376A696C"/>
    <w:rsid w:val="377809EC"/>
    <w:rsid w:val="377F36BC"/>
    <w:rsid w:val="377F4883"/>
    <w:rsid w:val="378A0991"/>
    <w:rsid w:val="379F4F25"/>
    <w:rsid w:val="37A16AA0"/>
    <w:rsid w:val="37A442EA"/>
    <w:rsid w:val="37A60B44"/>
    <w:rsid w:val="37A662B4"/>
    <w:rsid w:val="37B160EC"/>
    <w:rsid w:val="37BC7885"/>
    <w:rsid w:val="37C3031A"/>
    <w:rsid w:val="37CA21FC"/>
    <w:rsid w:val="37CB1876"/>
    <w:rsid w:val="37CB5D1A"/>
    <w:rsid w:val="37CC0E5B"/>
    <w:rsid w:val="37D20E57"/>
    <w:rsid w:val="37D526F5"/>
    <w:rsid w:val="37D5281F"/>
    <w:rsid w:val="37D73D98"/>
    <w:rsid w:val="37D84936"/>
    <w:rsid w:val="37DE3C9F"/>
    <w:rsid w:val="37DF4EDB"/>
    <w:rsid w:val="37E00298"/>
    <w:rsid w:val="37E93BD8"/>
    <w:rsid w:val="37ED3EE3"/>
    <w:rsid w:val="37EE7A0C"/>
    <w:rsid w:val="37EF7C5B"/>
    <w:rsid w:val="380029C2"/>
    <w:rsid w:val="3801173C"/>
    <w:rsid w:val="38083F02"/>
    <w:rsid w:val="380B6117"/>
    <w:rsid w:val="381256F7"/>
    <w:rsid w:val="381946E1"/>
    <w:rsid w:val="381C47C8"/>
    <w:rsid w:val="38260110"/>
    <w:rsid w:val="382611A3"/>
    <w:rsid w:val="383218F5"/>
    <w:rsid w:val="3833592F"/>
    <w:rsid w:val="383517D5"/>
    <w:rsid w:val="38397F91"/>
    <w:rsid w:val="383B0C52"/>
    <w:rsid w:val="383C5DD6"/>
    <w:rsid w:val="38431D54"/>
    <w:rsid w:val="384761DC"/>
    <w:rsid w:val="384A4E91"/>
    <w:rsid w:val="384F06F9"/>
    <w:rsid w:val="38504B4D"/>
    <w:rsid w:val="3858329B"/>
    <w:rsid w:val="385F2910"/>
    <w:rsid w:val="38660A2A"/>
    <w:rsid w:val="38673C95"/>
    <w:rsid w:val="386C12AB"/>
    <w:rsid w:val="3870241E"/>
    <w:rsid w:val="387B78CA"/>
    <w:rsid w:val="387D5F09"/>
    <w:rsid w:val="387E532F"/>
    <w:rsid w:val="387F7482"/>
    <w:rsid w:val="38883C0B"/>
    <w:rsid w:val="38896D41"/>
    <w:rsid w:val="388A34DF"/>
    <w:rsid w:val="388B5FAA"/>
    <w:rsid w:val="38951052"/>
    <w:rsid w:val="38961E84"/>
    <w:rsid w:val="38A02D03"/>
    <w:rsid w:val="38A26A7B"/>
    <w:rsid w:val="38A30A45"/>
    <w:rsid w:val="38A50A20"/>
    <w:rsid w:val="38A51E6B"/>
    <w:rsid w:val="38B302F9"/>
    <w:rsid w:val="38B51168"/>
    <w:rsid w:val="38BA00FC"/>
    <w:rsid w:val="38BB5596"/>
    <w:rsid w:val="38BF45C3"/>
    <w:rsid w:val="38C345DA"/>
    <w:rsid w:val="38C369F1"/>
    <w:rsid w:val="38C509BB"/>
    <w:rsid w:val="38C84008"/>
    <w:rsid w:val="38C950C6"/>
    <w:rsid w:val="38C96112"/>
    <w:rsid w:val="38D34E55"/>
    <w:rsid w:val="38D66725"/>
    <w:rsid w:val="38DB3D3B"/>
    <w:rsid w:val="38DE382B"/>
    <w:rsid w:val="38E17B53"/>
    <w:rsid w:val="38EB5C8C"/>
    <w:rsid w:val="38EE0D7F"/>
    <w:rsid w:val="38F12CD3"/>
    <w:rsid w:val="38F24C3D"/>
    <w:rsid w:val="38F67C59"/>
    <w:rsid w:val="38F716D9"/>
    <w:rsid w:val="38F94775"/>
    <w:rsid w:val="38FB43DD"/>
    <w:rsid w:val="390037A2"/>
    <w:rsid w:val="39022D2E"/>
    <w:rsid w:val="39131727"/>
    <w:rsid w:val="391D4354"/>
    <w:rsid w:val="391E1C5C"/>
    <w:rsid w:val="392456E2"/>
    <w:rsid w:val="392971ED"/>
    <w:rsid w:val="392B4CC2"/>
    <w:rsid w:val="39325651"/>
    <w:rsid w:val="39365415"/>
    <w:rsid w:val="393716BA"/>
    <w:rsid w:val="39383550"/>
    <w:rsid w:val="39395B1F"/>
    <w:rsid w:val="39396CB4"/>
    <w:rsid w:val="393B2A2C"/>
    <w:rsid w:val="393D2C48"/>
    <w:rsid w:val="393E3620"/>
    <w:rsid w:val="39470146"/>
    <w:rsid w:val="394915ED"/>
    <w:rsid w:val="3949176B"/>
    <w:rsid w:val="3949339B"/>
    <w:rsid w:val="394A2C6F"/>
    <w:rsid w:val="394F385D"/>
    <w:rsid w:val="394F72C3"/>
    <w:rsid w:val="3950297B"/>
    <w:rsid w:val="39504729"/>
    <w:rsid w:val="39570A5F"/>
    <w:rsid w:val="3957205E"/>
    <w:rsid w:val="39580D89"/>
    <w:rsid w:val="395C1320"/>
    <w:rsid w:val="39620AC0"/>
    <w:rsid w:val="397228F1"/>
    <w:rsid w:val="39730417"/>
    <w:rsid w:val="397A1DEC"/>
    <w:rsid w:val="397F6DBC"/>
    <w:rsid w:val="398126A4"/>
    <w:rsid w:val="3983693D"/>
    <w:rsid w:val="39897A4F"/>
    <w:rsid w:val="39913F0D"/>
    <w:rsid w:val="39964684"/>
    <w:rsid w:val="399E4EB5"/>
    <w:rsid w:val="39A20CFD"/>
    <w:rsid w:val="39A64751"/>
    <w:rsid w:val="39AE31FE"/>
    <w:rsid w:val="39B90520"/>
    <w:rsid w:val="39BE292C"/>
    <w:rsid w:val="39BF365D"/>
    <w:rsid w:val="39C3314D"/>
    <w:rsid w:val="39C35344"/>
    <w:rsid w:val="39C82E9B"/>
    <w:rsid w:val="39C87740"/>
    <w:rsid w:val="39C96289"/>
    <w:rsid w:val="39CB2002"/>
    <w:rsid w:val="39CB7266"/>
    <w:rsid w:val="39D10AA3"/>
    <w:rsid w:val="39D42485"/>
    <w:rsid w:val="39D76BF8"/>
    <w:rsid w:val="39DF4B39"/>
    <w:rsid w:val="39E845E8"/>
    <w:rsid w:val="39F03816"/>
    <w:rsid w:val="39F06BFD"/>
    <w:rsid w:val="39F552D0"/>
    <w:rsid w:val="39FA4695"/>
    <w:rsid w:val="39FB385B"/>
    <w:rsid w:val="3A02532C"/>
    <w:rsid w:val="3A095D1D"/>
    <w:rsid w:val="3A0C4EE8"/>
    <w:rsid w:val="3A0E508B"/>
    <w:rsid w:val="3A130E7B"/>
    <w:rsid w:val="3A175247"/>
    <w:rsid w:val="3A206B79"/>
    <w:rsid w:val="3A2339BD"/>
    <w:rsid w:val="3A233BEC"/>
    <w:rsid w:val="3A290451"/>
    <w:rsid w:val="3A2B0CF2"/>
    <w:rsid w:val="3A2B484E"/>
    <w:rsid w:val="3A2D2727"/>
    <w:rsid w:val="3A2D3D16"/>
    <w:rsid w:val="3A2F2590"/>
    <w:rsid w:val="3A381DA9"/>
    <w:rsid w:val="3A3951BD"/>
    <w:rsid w:val="3A3A42BF"/>
    <w:rsid w:val="3A443B62"/>
    <w:rsid w:val="3A4818A4"/>
    <w:rsid w:val="3A4F7CC5"/>
    <w:rsid w:val="3A510ED9"/>
    <w:rsid w:val="3A535CE8"/>
    <w:rsid w:val="3A56217A"/>
    <w:rsid w:val="3A5B15D7"/>
    <w:rsid w:val="3A5B7318"/>
    <w:rsid w:val="3A5E78DD"/>
    <w:rsid w:val="3A615B47"/>
    <w:rsid w:val="3A682CC9"/>
    <w:rsid w:val="3A6A35C8"/>
    <w:rsid w:val="3A6A66A9"/>
    <w:rsid w:val="3A6B7341"/>
    <w:rsid w:val="3A7461F5"/>
    <w:rsid w:val="3A750F66"/>
    <w:rsid w:val="3A773F37"/>
    <w:rsid w:val="3A7C154E"/>
    <w:rsid w:val="3A7C32FC"/>
    <w:rsid w:val="3A7E276B"/>
    <w:rsid w:val="3A81364C"/>
    <w:rsid w:val="3A83468A"/>
    <w:rsid w:val="3A850402"/>
    <w:rsid w:val="3A8723CC"/>
    <w:rsid w:val="3A872856"/>
    <w:rsid w:val="3A873793"/>
    <w:rsid w:val="3A8D5509"/>
    <w:rsid w:val="3AB679A5"/>
    <w:rsid w:val="3AB962FE"/>
    <w:rsid w:val="3ABB2076"/>
    <w:rsid w:val="3AC727C9"/>
    <w:rsid w:val="3AC802EF"/>
    <w:rsid w:val="3ACA72AB"/>
    <w:rsid w:val="3ACA7472"/>
    <w:rsid w:val="3ACC6031"/>
    <w:rsid w:val="3ACF78CF"/>
    <w:rsid w:val="3AD81A2B"/>
    <w:rsid w:val="3ADB6274"/>
    <w:rsid w:val="3ADD1FEC"/>
    <w:rsid w:val="3ADE2A2D"/>
    <w:rsid w:val="3AE07D2F"/>
    <w:rsid w:val="3AE84BC4"/>
    <w:rsid w:val="3AF15A98"/>
    <w:rsid w:val="3AF5075A"/>
    <w:rsid w:val="3AF92B9E"/>
    <w:rsid w:val="3AFD443D"/>
    <w:rsid w:val="3B051543"/>
    <w:rsid w:val="3B0A04B5"/>
    <w:rsid w:val="3B0C67A6"/>
    <w:rsid w:val="3B117EE8"/>
    <w:rsid w:val="3B1E53B3"/>
    <w:rsid w:val="3B2220F5"/>
    <w:rsid w:val="3B2A0FAA"/>
    <w:rsid w:val="3B2A2D58"/>
    <w:rsid w:val="3B2F65C0"/>
    <w:rsid w:val="3B331C0C"/>
    <w:rsid w:val="3B33651B"/>
    <w:rsid w:val="3B3763D1"/>
    <w:rsid w:val="3B3B4F65"/>
    <w:rsid w:val="3B3B6D13"/>
    <w:rsid w:val="3B3D6F2F"/>
    <w:rsid w:val="3B407816"/>
    <w:rsid w:val="3B41435D"/>
    <w:rsid w:val="3B4C2CCE"/>
    <w:rsid w:val="3B547DD5"/>
    <w:rsid w:val="3B585B17"/>
    <w:rsid w:val="3B5878C5"/>
    <w:rsid w:val="3B5B5607"/>
    <w:rsid w:val="3B5D312D"/>
    <w:rsid w:val="3B5F50F7"/>
    <w:rsid w:val="3B6252ED"/>
    <w:rsid w:val="3B626996"/>
    <w:rsid w:val="3B650A37"/>
    <w:rsid w:val="3B6F6D59"/>
    <w:rsid w:val="3B7010B2"/>
    <w:rsid w:val="3B702E61"/>
    <w:rsid w:val="3B781D15"/>
    <w:rsid w:val="3B7F1A97"/>
    <w:rsid w:val="3B7F4E52"/>
    <w:rsid w:val="3B8763FC"/>
    <w:rsid w:val="3B901BF1"/>
    <w:rsid w:val="3B922D1B"/>
    <w:rsid w:val="3B926F4C"/>
    <w:rsid w:val="3B965C20"/>
    <w:rsid w:val="3BA23236"/>
    <w:rsid w:val="3BA24D60"/>
    <w:rsid w:val="3BA40D5C"/>
    <w:rsid w:val="3BB16FD5"/>
    <w:rsid w:val="3BB24DE0"/>
    <w:rsid w:val="3BB6283D"/>
    <w:rsid w:val="3BB865B6"/>
    <w:rsid w:val="3BBB1243"/>
    <w:rsid w:val="3BBF1F9C"/>
    <w:rsid w:val="3BC367C1"/>
    <w:rsid w:val="3BC52CFC"/>
    <w:rsid w:val="3BC66F24"/>
    <w:rsid w:val="3BCF77BE"/>
    <w:rsid w:val="3BD333EF"/>
    <w:rsid w:val="3BDC04F6"/>
    <w:rsid w:val="3BDF32AC"/>
    <w:rsid w:val="3BE473AB"/>
    <w:rsid w:val="3BEE0229"/>
    <w:rsid w:val="3BF3242B"/>
    <w:rsid w:val="3BF426EE"/>
    <w:rsid w:val="3BF73513"/>
    <w:rsid w:val="3BFD7118"/>
    <w:rsid w:val="3C037FDB"/>
    <w:rsid w:val="3C0417FB"/>
    <w:rsid w:val="3C095063"/>
    <w:rsid w:val="3C0D345A"/>
    <w:rsid w:val="3C0D4B53"/>
    <w:rsid w:val="3C123F18"/>
    <w:rsid w:val="3C125CC6"/>
    <w:rsid w:val="3C187054"/>
    <w:rsid w:val="3C1F03E3"/>
    <w:rsid w:val="3C1F35BD"/>
    <w:rsid w:val="3C2F6E1E"/>
    <w:rsid w:val="3C320116"/>
    <w:rsid w:val="3C330B95"/>
    <w:rsid w:val="3C330E21"/>
    <w:rsid w:val="3C367C22"/>
    <w:rsid w:val="3C37397E"/>
    <w:rsid w:val="3C3E4D0D"/>
    <w:rsid w:val="3C4F64BA"/>
    <w:rsid w:val="3C61334E"/>
    <w:rsid w:val="3C615A97"/>
    <w:rsid w:val="3C6D4187"/>
    <w:rsid w:val="3C74072E"/>
    <w:rsid w:val="3C77021F"/>
    <w:rsid w:val="3C7921E9"/>
    <w:rsid w:val="3C7A386B"/>
    <w:rsid w:val="3C7F70D3"/>
    <w:rsid w:val="3C8B21EB"/>
    <w:rsid w:val="3C8C056C"/>
    <w:rsid w:val="3C990195"/>
    <w:rsid w:val="3CA306CB"/>
    <w:rsid w:val="3CB03193"/>
    <w:rsid w:val="3CB04C67"/>
    <w:rsid w:val="3CB87B0D"/>
    <w:rsid w:val="3CBD7CBA"/>
    <w:rsid w:val="3CC1149A"/>
    <w:rsid w:val="3CC2593E"/>
    <w:rsid w:val="3CD15B81"/>
    <w:rsid w:val="3CD43540"/>
    <w:rsid w:val="3CD76F0F"/>
    <w:rsid w:val="3CD92C87"/>
    <w:rsid w:val="3CDA245A"/>
    <w:rsid w:val="3CDE029E"/>
    <w:rsid w:val="3CEC29BB"/>
    <w:rsid w:val="3CF74EBC"/>
    <w:rsid w:val="3CFB49AC"/>
    <w:rsid w:val="3CFD7833"/>
    <w:rsid w:val="3D066478"/>
    <w:rsid w:val="3D0F48FB"/>
    <w:rsid w:val="3D1171D0"/>
    <w:rsid w:val="3D13665C"/>
    <w:rsid w:val="3D1630B0"/>
    <w:rsid w:val="3D197528"/>
    <w:rsid w:val="3D1C7B5A"/>
    <w:rsid w:val="3D1E06B7"/>
    <w:rsid w:val="3D1E4803"/>
    <w:rsid w:val="3D202664"/>
    <w:rsid w:val="3D207130"/>
    <w:rsid w:val="3D273813"/>
    <w:rsid w:val="3D2C2DB7"/>
    <w:rsid w:val="3D2F0AF9"/>
    <w:rsid w:val="3D2F2780"/>
    <w:rsid w:val="3D3D3216"/>
    <w:rsid w:val="3D404AB5"/>
    <w:rsid w:val="3D4A5933"/>
    <w:rsid w:val="3D4C3459"/>
    <w:rsid w:val="3D54230E"/>
    <w:rsid w:val="3D581DFE"/>
    <w:rsid w:val="3D5C72F2"/>
    <w:rsid w:val="3D5D5666"/>
    <w:rsid w:val="3D600CB3"/>
    <w:rsid w:val="3D69400B"/>
    <w:rsid w:val="3D6A2344"/>
    <w:rsid w:val="3D6D1752"/>
    <w:rsid w:val="3D7031B1"/>
    <w:rsid w:val="3D793B23"/>
    <w:rsid w:val="3D874491"/>
    <w:rsid w:val="3D880E3E"/>
    <w:rsid w:val="3D8B543F"/>
    <w:rsid w:val="3D8F1598"/>
    <w:rsid w:val="3D931088"/>
    <w:rsid w:val="3D9372DA"/>
    <w:rsid w:val="3D995F73"/>
    <w:rsid w:val="3DA2332F"/>
    <w:rsid w:val="3DB20C0E"/>
    <w:rsid w:val="3DB42DAD"/>
    <w:rsid w:val="3DB64D77"/>
    <w:rsid w:val="3DC406E3"/>
    <w:rsid w:val="3DCE0312"/>
    <w:rsid w:val="3DDA2813"/>
    <w:rsid w:val="3DDF3C75"/>
    <w:rsid w:val="3DE81565"/>
    <w:rsid w:val="3DED60D3"/>
    <w:rsid w:val="3DED69EA"/>
    <w:rsid w:val="3DF02037"/>
    <w:rsid w:val="3DF06A9E"/>
    <w:rsid w:val="3DF633C5"/>
    <w:rsid w:val="3E081AA2"/>
    <w:rsid w:val="3E0B50C2"/>
    <w:rsid w:val="3E15394A"/>
    <w:rsid w:val="3E1A5306"/>
    <w:rsid w:val="3E1A70B4"/>
    <w:rsid w:val="3E1B5A56"/>
    <w:rsid w:val="3E1D39DC"/>
    <w:rsid w:val="3E253286"/>
    <w:rsid w:val="3E276868"/>
    <w:rsid w:val="3E2C6DE7"/>
    <w:rsid w:val="3E2D5039"/>
    <w:rsid w:val="3E350391"/>
    <w:rsid w:val="3E35213F"/>
    <w:rsid w:val="3E3F09CE"/>
    <w:rsid w:val="3E3F4D6C"/>
    <w:rsid w:val="3E491747"/>
    <w:rsid w:val="3E4B3711"/>
    <w:rsid w:val="3E4C7D90"/>
    <w:rsid w:val="3E4D1237"/>
    <w:rsid w:val="3E5D52C7"/>
    <w:rsid w:val="3E5E1712"/>
    <w:rsid w:val="3E600908"/>
    <w:rsid w:val="3E6447D3"/>
    <w:rsid w:val="3E6622F9"/>
    <w:rsid w:val="3E6842C3"/>
    <w:rsid w:val="3E6B3DB3"/>
    <w:rsid w:val="3E72445E"/>
    <w:rsid w:val="3E732AC0"/>
    <w:rsid w:val="3E74204E"/>
    <w:rsid w:val="3E7522F8"/>
    <w:rsid w:val="3E7C1B1C"/>
    <w:rsid w:val="3E7D5205"/>
    <w:rsid w:val="3E7E2A01"/>
    <w:rsid w:val="3E8409D1"/>
    <w:rsid w:val="3E88226F"/>
    <w:rsid w:val="3E886713"/>
    <w:rsid w:val="3E8B1D5F"/>
    <w:rsid w:val="3E9C29F6"/>
    <w:rsid w:val="3EA11583"/>
    <w:rsid w:val="3EA75E83"/>
    <w:rsid w:val="3EAE3C87"/>
    <w:rsid w:val="3EAF2B6F"/>
    <w:rsid w:val="3EB77FC0"/>
    <w:rsid w:val="3EC3774B"/>
    <w:rsid w:val="3EC7548D"/>
    <w:rsid w:val="3EC815A4"/>
    <w:rsid w:val="3ECA42AC"/>
    <w:rsid w:val="3ECF4A76"/>
    <w:rsid w:val="3ED01E68"/>
    <w:rsid w:val="3ED05F39"/>
    <w:rsid w:val="3EDA0523"/>
    <w:rsid w:val="3EE31B9B"/>
    <w:rsid w:val="3EE33949"/>
    <w:rsid w:val="3EE659F9"/>
    <w:rsid w:val="3EE766E7"/>
    <w:rsid w:val="3EF76BEA"/>
    <w:rsid w:val="3F0A537A"/>
    <w:rsid w:val="3F123C7F"/>
    <w:rsid w:val="3F12702A"/>
    <w:rsid w:val="3F175700"/>
    <w:rsid w:val="3F1D3FB4"/>
    <w:rsid w:val="3F2E2A49"/>
    <w:rsid w:val="3F327891"/>
    <w:rsid w:val="3F381EE7"/>
    <w:rsid w:val="3F4168C2"/>
    <w:rsid w:val="3F4468B5"/>
    <w:rsid w:val="3F48599E"/>
    <w:rsid w:val="3F487C50"/>
    <w:rsid w:val="3F49160F"/>
    <w:rsid w:val="3F4D655A"/>
    <w:rsid w:val="3F5220BF"/>
    <w:rsid w:val="3F536D21"/>
    <w:rsid w:val="3F5B3E28"/>
    <w:rsid w:val="3F5B48B2"/>
    <w:rsid w:val="3F5D71D2"/>
    <w:rsid w:val="3F6251B6"/>
    <w:rsid w:val="3F67457A"/>
    <w:rsid w:val="3F6820A1"/>
    <w:rsid w:val="3F6B1EDC"/>
    <w:rsid w:val="3F6C1B91"/>
    <w:rsid w:val="3F6E3B5B"/>
    <w:rsid w:val="3F7153F9"/>
    <w:rsid w:val="3F732F1F"/>
    <w:rsid w:val="3F771B7B"/>
    <w:rsid w:val="3F7B2ECB"/>
    <w:rsid w:val="3F7E1A6B"/>
    <w:rsid w:val="3F8213B4"/>
    <w:rsid w:val="3F841B37"/>
    <w:rsid w:val="3F8526D6"/>
    <w:rsid w:val="3F893791"/>
    <w:rsid w:val="3F8F762D"/>
    <w:rsid w:val="3F9335C1"/>
    <w:rsid w:val="3F942E96"/>
    <w:rsid w:val="3F966B9F"/>
    <w:rsid w:val="3F9904AC"/>
    <w:rsid w:val="3FA01967"/>
    <w:rsid w:val="3FA02A3A"/>
    <w:rsid w:val="3FA255B3"/>
    <w:rsid w:val="3FA330D9"/>
    <w:rsid w:val="3FAA4467"/>
    <w:rsid w:val="3FAC4683"/>
    <w:rsid w:val="3FB8126D"/>
    <w:rsid w:val="3FB84DD6"/>
    <w:rsid w:val="3FBA21CE"/>
    <w:rsid w:val="3FC03AD7"/>
    <w:rsid w:val="3FC10FC0"/>
    <w:rsid w:val="3FC931AC"/>
    <w:rsid w:val="3FC96FE3"/>
    <w:rsid w:val="3FCB250F"/>
    <w:rsid w:val="3FD17C46"/>
    <w:rsid w:val="3FD458AF"/>
    <w:rsid w:val="3FD57736"/>
    <w:rsid w:val="3FD6525C"/>
    <w:rsid w:val="3FDE337B"/>
    <w:rsid w:val="3FDF6807"/>
    <w:rsid w:val="3FE45BCB"/>
    <w:rsid w:val="3FEB37A4"/>
    <w:rsid w:val="3FEB6F5A"/>
    <w:rsid w:val="3FEC0F24"/>
    <w:rsid w:val="3FED60CE"/>
    <w:rsid w:val="3FEE6A4A"/>
    <w:rsid w:val="3FF83425"/>
    <w:rsid w:val="3FF878C8"/>
    <w:rsid w:val="3FFD6C8D"/>
    <w:rsid w:val="3FFF0C57"/>
    <w:rsid w:val="40016903"/>
    <w:rsid w:val="40063D93"/>
    <w:rsid w:val="40074CB8"/>
    <w:rsid w:val="4008148F"/>
    <w:rsid w:val="400C6ED0"/>
    <w:rsid w:val="401273BC"/>
    <w:rsid w:val="401E1570"/>
    <w:rsid w:val="401E3034"/>
    <w:rsid w:val="40211AEA"/>
    <w:rsid w:val="40222DB1"/>
    <w:rsid w:val="40235DC1"/>
    <w:rsid w:val="402635B4"/>
    <w:rsid w:val="40271B91"/>
    <w:rsid w:val="40322DDA"/>
    <w:rsid w:val="403501D5"/>
    <w:rsid w:val="40387CC5"/>
    <w:rsid w:val="403E177F"/>
    <w:rsid w:val="40436D96"/>
    <w:rsid w:val="40445977"/>
    <w:rsid w:val="404472F7"/>
    <w:rsid w:val="40477F08"/>
    <w:rsid w:val="404D19C2"/>
    <w:rsid w:val="40534544"/>
    <w:rsid w:val="405A5E8D"/>
    <w:rsid w:val="405A7913"/>
    <w:rsid w:val="405B3137"/>
    <w:rsid w:val="40665513"/>
    <w:rsid w:val="406F5EBE"/>
    <w:rsid w:val="40713AD5"/>
    <w:rsid w:val="407319DA"/>
    <w:rsid w:val="40747753"/>
    <w:rsid w:val="407A6407"/>
    <w:rsid w:val="407D392A"/>
    <w:rsid w:val="408829FA"/>
    <w:rsid w:val="40905D53"/>
    <w:rsid w:val="40907B01"/>
    <w:rsid w:val="409969B6"/>
    <w:rsid w:val="409D18C8"/>
    <w:rsid w:val="40A11D0E"/>
    <w:rsid w:val="40A65C97"/>
    <w:rsid w:val="40A92971"/>
    <w:rsid w:val="40AD6D0C"/>
    <w:rsid w:val="40B82BB4"/>
    <w:rsid w:val="40BC384C"/>
    <w:rsid w:val="40BF0333"/>
    <w:rsid w:val="40C31C84"/>
    <w:rsid w:val="40C9061E"/>
    <w:rsid w:val="40DE261A"/>
    <w:rsid w:val="40E340D5"/>
    <w:rsid w:val="40E816EB"/>
    <w:rsid w:val="40EB1D66"/>
    <w:rsid w:val="40F17118"/>
    <w:rsid w:val="40F7192E"/>
    <w:rsid w:val="40FA4155"/>
    <w:rsid w:val="41013F36"/>
    <w:rsid w:val="4101455B"/>
    <w:rsid w:val="4105229D"/>
    <w:rsid w:val="410B7187"/>
    <w:rsid w:val="41110C42"/>
    <w:rsid w:val="41140C50"/>
    <w:rsid w:val="41171FD0"/>
    <w:rsid w:val="41175582"/>
    <w:rsid w:val="411918A4"/>
    <w:rsid w:val="411E6EBB"/>
    <w:rsid w:val="41257D97"/>
    <w:rsid w:val="41272213"/>
    <w:rsid w:val="412C5A7C"/>
    <w:rsid w:val="412F2417"/>
    <w:rsid w:val="41322966"/>
    <w:rsid w:val="41393CF5"/>
    <w:rsid w:val="41395CCF"/>
    <w:rsid w:val="413C4872"/>
    <w:rsid w:val="413E0CC0"/>
    <w:rsid w:val="414B62A2"/>
    <w:rsid w:val="41551521"/>
    <w:rsid w:val="415E22B7"/>
    <w:rsid w:val="41636FC4"/>
    <w:rsid w:val="4177481D"/>
    <w:rsid w:val="41774C8D"/>
    <w:rsid w:val="41782A6F"/>
    <w:rsid w:val="41792C41"/>
    <w:rsid w:val="417E0DDB"/>
    <w:rsid w:val="4186517B"/>
    <w:rsid w:val="41872CB2"/>
    <w:rsid w:val="418A23A2"/>
    <w:rsid w:val="418B7876"/>
    <w:rsid w:val="418D1221"/>
    <w:rsid w:val="418D5DEE"/>
    <w:rsid w:val="419158DF"/>
    <w:rsid w:val="41941DFC"/>
    <w:rsid w:val="41961147"/>
    <w:rsid w:val="41985B39"/>
    <w:rsid w:val="419A2B99"/>
    <w:rsid w:val="419B675D"/>
    <w:rsid w:val="419D35DB"/>
    <w:rsid w:val="41A41AB6"/>
    <w:rsid w:val="41A61D2B"/>
    <w:rsid w:val="41A73354"/>
    <w:rsid w:val="41A746B1"/>
    <w:rsid w:val="41AA69A0"/>
    <w:rsid w:val="41AF1A98"/>
    <w:rsid w:val="41AF4CFE"/>
    <w:rsid w:val="41B617E9"/>
    <w:rsid w:val="41B9630E"/>
    <w:rsid w:val="41BD2002"/>
    <w:rsid w:val="41BD66D4"/>
    <w:rsid w:val="41CB47B7"/>
    <w:rsid w:val="41CE08E1"/>
    <w:rsid w:val="41D028AB"/>
    <w:rsid w:val="41D81175"/>
    <w:rsid w:val="41DD4412"/>
    <w:rsid w:val="41E579D9"/>
    <w:rsid w:val="41E719A3"/>
    <w:rsid w:val="41EC6FB9"/>
    <w:rsid w:val="41EF2605"/>
    <w:rsid w:val="41F8770C"/>
    <w:rsid w:val="41F92C7C"/>
    <w:rsid w:val="41FB36A0"/>
    <w:rsid w:val="4200449D"/>
    <w:rsid w:val="420A03DA"/>
    <w:rsid w:val="420A5691"/>
    <w:rsid w:val="420F36BB"/>
    <w:rsid w:val="4210609D"/>
    <w:rsid w:val="421A3B26"/>
    <w:rsid w:val="421B2082"/>
    <w:rsid w:val="421B789E"/>
    <w:rsid w:val="421D2897"/>
    <w:rsid w:val="42206C63"/>
    <w:rsid w:val="42230F81"/>
    <w:rsid w:val="422538A1"/>
    <w:rsid w:val="4230503E"/>
    <w:rsid w:val="42310E70"/>
    <w:rsid w:val="42334BE8"/>
    <w:rsid w:val="42373953"/>
    <w:rsid w:val="423A3BCC"/>
    <w:rsid w:val="423B3A9C"/>
    <w:rsid w:val="424E57D2"/>
    <w:rsid w:val="425A2175"/>
    <w:rsid w:val="4269060A"/>
    <w:rsid w:val="42690F48"/>
    <w:rsid w:val="426C3594"/>
    <w:rsid w:val="426C7B8A"/>
    <w:rsid w:val="426D00FA"/>
    <w:rsid w:val="426E4CA0"/>
    <w:rsid w:val="426F7296"/>
    <w:rsid w:val="42750D5C"/>
    <w:rsid w:val="42785FB7"/>
    <w:rsid w:val="427A6373"/>
    <w:rsid w:val="427C7633"/>
    <w:rsid w:val="428C0EAD"/>
    <w:rsid w:val="428E0070"/>
    <w:rsid w:val="42925DB2"/>
    <w:rsid w:val="429733C9"/>
    <w:rsid w:val="42975177"/>
    <w:rsid w:val="42997141"/>
    <w:rsid w:val="429A3BAB"/>
    <w:rsid w:val="429B732A"/>
    <w:rsid w:val="429F402B"/>
    <w:rsid w:val="42A45AE6"/>
    <w:rsid w:val="42A81132"/>
    <w:rsid w:val="42A85E68"/>
    <w:rsid w:val="42AA319B"/>
    <w:rsid w:val="42B26C49"/>
    <w:rsid w:val="42B45D29"/>
    <w:rsid w:val="42B51AA1"/>
    <w:rsid w:val="42B5384F"/>
    <w:rsid w:val="42B850ED"/>
    <w:rsid w:val="42BA443E"/>
    <w:rsid w:val="42C27D1A"/>
    <w:rsid w:val="42CE66BF"/>
    <w:rsid w:val="42D9578F"/>
    <w:rsid w:val="42DB0B27"/>
    <w:rsid w:val="42DC702D"/>
    <w:rsid w:val="42E42C8B"/>
    <w:rsid w:val="42E67EAC"/>
    <w:rsid w:val="42EB101F"/>
    <w:rsid w:val="42ED3056"/>
    <w:rsid w:val="42F07EF8"/>
    <w:rsid w:val="42F114A1"/>
    <w:rsid w:val="42F36125"/>
    <w:rsid w:val="42F3612C"/>
    <w:rsid w:val="42F43FCB"/>
    <w:rsid w:val="43002ED1"/>
    <w:rsid w:val="4303280C"/>
    <w:rsid w:val="430622FC"/>
    <w:rsid w:val="43095949"/>
    <w:rsid w:val="430A1DED"/>
    <w:rsid w:val="431B4E6A"/>
    <w:rsid w:val="431E7646"/>
    <w:rsid w:val="43291B47"/>
    <w:rsid w:val="4332490E"/>
    <w:rsid w:val="433313B4"/>
    <w:rsid w:val="4335719B"/>
    <w:rsid w:val="43382F8C"/>
    <w:rsid w:val="43386B55"/>
    <w:rsid w:val="433A6FE6"/>
    <w:rsid w:val="433C5D1E"/>
    <w:rsid w:val="4342443C"/>
    <w:rsid w:val="43432C09"/>
    <w:rsid w:val="4346094B"/>
    <w:rsid w:val="434626F9"/>
    <w:rsid w:val="43480868"/>
    <w:rsid w:val="43495F49"/>
    <w:rsid w:val="4349650B"/>
    <w:rsid w:val="434B0725"/>
    <w:rsid w:val="434B12A1"/>
    <w:rsid w:val="4350713C"/>
    <w:rsid w:val="43515EAA"/>
    <w:rsid w:val="43571C4A"/>
    <w:rsid w:val="43604A57"/>
    <w:rsid w:val="436112E1"/>
    <w:rsid w:val="436229E0"/>
    <w:rsid w:val="43644D0C"/>
    <w:rsid w:val="43645A60"/>
    <w:rsid w:val="43652B30"/>
    <w:rsid w:val="4366330F"/>
    <w:rsid w:val="43664281"/>
    <w:rsid w:val="436653E0"/>
    <w:rsid w:val="436D5ED7"/>
    <w:rsid w:val="436F39FE"/>
    <w:rsid w:val="43747266"/>
    <w:rsid w:val="43784FA8"/>
    <w:rsid w:val="437B23A2"/>
    <w:rsid w:val="437C611B"/>
    <w:rsid w:val="438325DF"/>
    <w:rsid w:val="438A0837"/>
    <w:rsid w:val="438D657A"/>
    <w:rsid w:val="439B47F3"/>
    <w:rsid w:val="439E0787"/>
    <w:rsid w:val="439E2535"/>
    <w:rsid w:val="439F77F0"/>
    <w:rsid w:val="43A37B4B"/>
    <w:rsid w:val="43A713E9"/>
    <w:rsid w:val="43AC15BA"/>
    <w:rsid w:val="43B14016"/>
    <w:rsid w:val="43B458B4"/>
    <w:rsid w:val="43B6787E"/>
    <w:rsid w:val="43BC2FEB"/>
    <w:rsid w:val="43C4431A"/>
    <w:rsid w:val="43C75114"/>
    <w:rsid w:val="43D441A9"/>
    <w:rsid w:val="43D643BC"/>
    <w:rsid w:val="43E078CB"/>
    <w:rsid w:val="43E337F0"/>
    <w:rsid w:val="43E52ADC"/>
    <w:rsid w:val="43E72782"/>
    <w:rsid w:val="43EA0F11"/>
    <w:rsid w:val="43EC14F2"/>
    <w:rsid w:val="43EE1996"/>
    <w:rsid w:val="43F263DD"/>
    <w:rsid w:val="43F35D70"/>
    <w:rsid w:val="43F56AA3"/>
    <w:rsid w:val="44004F9E"/>
    <w:rsid w:val="44052B72"/>
    <w:rsid w:val="4406131F"/>
    <w:rsid w:val="44064FEB"/>
    <w:rsid w:val="44112D07"/>
    <w:rsid w:val="441219F8"/>
    <w:rsid w:val="442347E8"/>
    <w:rsid w:val="442C7B41"/>
    <w:rsid w:val="442E5667"/>
    <w:rsid w:val="44316F05"/>
    <w:rsid w:val="44332C7D"/>
    <w:rsid w:val="443552D4"/>
    <w:rsid w:val="443949F6"/>
    <w:rsid w:val="443C762B"/>
    <w:rsid w:val="443F1622"/>
    <w:rsid w:val="44454F51"/>
    <w:rsid w:val="444F064D"/>
    <w:rsid w:val="444F0682"/>
    <w:rsid w:val="445157F9"/>
    <w:rsid w:val="44535324"/>
    <w:rsid w:val="44545E02"/>
    <w:rsid w:val="445A46AE"/>
    <w:rsid w:val="445A645C"/>
    <w:rsid w:val="445F5EC9"/>
    <w:rsid w:val="445F601D"/>
    <w:rsid w:val="44625310"/>
    <w:rsid w:val="44627A06"/>
    <w:rsid w:val="446512D9"/>
    <w:rsid w:val="446612A5"/>
    <w:rsid w:val="446A0C2B"/>
    <w:rsid w:val="446A7659"/>
    <w:rsid w:val="446D64ED"/>
    <w:rsid w:val="447635E8"/>
    <w:rsid w:val="447D024F"/>
    <w:rsid w:val="44801C3A"/>
    <w:rsid w:val="44827761"/>
    <w:rsid w:val="4484172B"/>
    <w:rsid w:val="448434D9"/>
    <w:rsid w:val="448478FB"/>
    <w:rsid w:val="4484797D"/>
    <w:rsid w:val="44890AEF"/>
    <w:rsid w:val="448976A6"/>
    <w:rsid w:val="449E7BC6"/>
    <w:rsid w:val="44A616A1"/>
    <w:rsid w:val="44A66E7D"/>
    <w:rsid w:val="44B26298"/>
    <w:rsid w:val="44B951CC"/>
    <w:rsid w:val="44BB226E"/>
    <w:rsid w:val="44BC2C73"/>
    <w:rsid w:val="44C12057"/>
    <w:rsid w:val="44C361AF"/>
    <w:rsid w:val="44C77869"/>
    <w:rsid w:val="44C85ABB"/>
    <w:rsid w:val="44CA093E"/>
    <w:rsid w:val="44CB1108"/>
    <w:rsid w:val="44CD14E0"/>
    <w:rsid w:val="44D2693A"/>
    <w:rsid w:val="44E16B7D"/>
    <w:rsid w:val="44E328F5"/>
    <w:rsid w:val="44E4041B"/>
    <w:rsid w:val="44E513B8"/>
    <w:rsid w:val="44EC107E"/>
    <w:rsid w:val="44F20B0B"/>
    <w:rsid w:val="44F3065E"/>
    <w:rsid w:val="44F52A5D"/>
    <w:rsid w:val="44F71EFD"/>
    <w:rsid w:val="44F854AA"/>
    <w:rsid w:val="44F85C75"/>
    <w:rsid w:val="44FA19ED"/>
    <w:rsid w:val="45091C30"/>
    <w:rsid w:val="450B1E4C"/>
    <w:rsid w:val="450B3BFA"/>
    <w:rsid w:val="450E235E"/>
    <w:rsid w:val="45101210"/>
    <w:rsid w:val="451A0C48"/>
    <w:rsid w:val="452151CC"/>
    <w:rsid w:val="452C0D9A"/>
    <w:rsid w:val="452D2FA2"/>
    <w:rsid w:val="452E5F4C"/>
    <w:rsid w:val="45322F35"/>
    <w:rsid w:val="45343151"/>
    <w:rsid w:val="45352A25"/>
    <w:rsid w:val="453749EF"/>
    <w:rsid w:val="45385785"/>
    <w:rsid w:val="453A55DD"/>
    <w:rsid w:val="453E6563"/>
    <w:rsid w:val="45442C68"/>
    <w:rsid w:val="45454596"/>
    <w:rsid w:val="454D103D"/>
    <w:rsid w:val="454F1D39"/>
    <w:rsid w:val="455201B5"/>
    <w:rsid w:val="4557299B"/>
    <w:rsid w:val="45575091"/>
    <w:rsid w:val="45581B00"/>
    <w:rsid w:val="455E07A9"/>
    <w:rsid w:val="455E3D2A"/>
    <w:rsid w:val="456028C7"/>
    <w:rsid w:val="45612018"/>
    <w:rsid w:val="45634690"/>
    <w:rsid w:val="456450B8"/>
    <w:rsid w:val="45667082"/>
    <w:rsid w:val="456F5F37"/>
    <w:rsid w:val="45761BFA"/>
    <w:rsid w:val="457E261E"/>
    <w:rsid w:val="4582210E"/>
    <w:rsid w:val="45886FF9"/>
    <w:rsid w:val="458946E9"/>
    <w:rsid w:val="45905890"/>
    <w:rsid w:val="45941E41"/>
    <w:rsid w:val="45992FB4"/>
    <w:rsid w:val="45A47C0E"/>
    <w:rsid w:val="45A579DC"/>
    <w:rsid w:val="45A57BAB"/>
    <w:rsid w:val="45AC6A3A"/>
    <w:rsid w:val="45AD2927"/>
    <w:rsid w:val="45B46BB4"/>
    <w:rsid w:val="45B778DE"/>
    <w:rsid w:val="45BA2812"/>
    <w:rsid w:val="45BC6CA2"/>
    <w:rsid w:val="45C049E4"/>
    <w:rsid w:val="45C43B11"/>
    <w:rsid w:val="45C625F3"/>
    <w:rsid w:val="45C856C5"/>
    <w:rsid w:val="45D3789D"/>
    <w:rsid w:val="45D40490"/>
    <w:rsid w:val="45D65FB6"/>
    <w:rsid w:val="45D97854"/>
    <w:rsid w:val="45DD5596"/>
    <w:rsid w:val="45DE30BD"/>
    <w:rsid w:val="45E0774E"/>
    <w:rsid w:val="45E22BAD"/>
    <w:rsid w:val="45EA683B"/>
    <w:rsid w:val="45EF52CA"/>
    <w:rsid w:val="45F04BDD"/>
    <w:rsid w:val="45F145F1"/>
    <w:rsid w:val="45F52C8D"/>
    <w:rsid w:val="460A3EB2"/>
    <w:rsid w:val="460B1E88"/>
    <w:rsid w:val="460C2955"/>
    <w:rsid w:val="460C415A"/>
    <w:rsid w:val="460F61D9"/>
    <w:rsid w:val="46101FCC"/>
    <w:rsid w:val="461865CE"/>
    <w:rsid w:val="461940F5"/>
    <w:rsid w:val="461A0599"/>
    <w:rsid w:val="461A6BBC"/>
    <w:rsid w:val="461C2A50"/>
    <w:rsid w:val="461E795D"/>
    <w:rsid w:val="46207231"/>
    <w:rsid w:val="46277AAC"/>
    <w:rsid w:val="463232A2"/>
    <w:rsid w:val="46333408"/>
    <w:rsid w:val="46347950"/>
    <w:rsid w:val="463B1D58"/>
    <w:rsid w:val="463E3B5B"/>
    <w:rsid w:val="4643524B"/>
    <w:rsid w:val="464473C4"/>
    <w:rsid w:val="4646138E"/>
    <w:rsid w:val="465025C4"/>
    <w:rsid w:val="46522ED9"/>
    <w:rsid w:val="46577FD6"/>
    <w:rsid w:val="465A2DAC"/>
    <w:rsid w:val="465D2233"/>
    <w:rsid w:val="46607F75"/>
    <w:rsid w:val="46696E2A"/>
    <w:rsid w:val="466C06C8"/>
    <w:rsid w:val="467138EC"/>
    <w:rsid w:val="467D0B27"/>
    <w:rsid w:val="46801D23"/>
    <w:rsid w:val="468123C6"/>
    <w:rsid w:val="46826C09"/>
    <w:rsid w:val="4685178A"/>
    <w:rsid w:val="46861DC9"/>
    <w:rsid w:val="468679DC"/>
    <w:rsid w:val="46911EDD"/>
    <w:rsid w:val="46933EA7"/>
    <w:rsid w:val="469556B5"/>
    <w:rsid w:val="469E3730"/>
    <w:rsid w:val="46A11BA1"/>
    <w:rsid w:val="46A72843"/>
    <w:rsid w:val="46AB7443"/>
    <w:rsid w:val="46B34549"/>
    <w:rsid w:val="46B75D3F"/>
    <w:rsid w:val="46BD7176"/>
    <w:rsid w:val="46C62DDF"/>
    <w:rsid w:val="46C876F1"/>
    <w:rsid w:val="46C91614"/>
    <w:rsid w:val="46C93D6D"/>
    <w:rsid w:val="46D149CF"/>
    <w:rsid w:val="46D87DFE"/>
    <w:rsid w:val="46D955A7"/>
    <w:rsid w:val="46E001D9"/>
    <w:rsid w:val="46E22739"/>
    <w:rsid w:val="46E42955"/>
    <w:rsid w:val="46E6047B"/>
    <w:rsid w:val="46EB783F"/>
    <w:rsid w:val="46ED676D"/>
    <w:rsid w:val="46EE3C09"/>
    <w:rsid w:val="46F54B62"/>
    <w:rsid w:val="46F93E9F"/>
    <w:rsid w:val="46FD57C4"/>
    <w:rsid w:val="47022DDB"/>
    <w:rsid w:val="47084895"/>
    <w:rsid w:val="470B7EE1"/>
    <w:rsid w:val="470D3C59"/>
    <w:rsid w:val="470E352E"/>
    <w:rsid w:val="47133957"/>
    <w:rsid w:val="471412E0"/>
    <w:rsid w:val="471548BC"/>
    <w:rsid w:val="47163F31"/>
    <w:rsid w:val="471825FE"/>
    <w:rsid w:val="471D19C3"/>
    <w:rsid w:val="472E3BD0"/>
    <w:rsid w:val="47305B9A"/>
    <w:rsid w:val="47370CD6"/>
    <w:rsid w:val="47394A4E"/>
    <w:rsid w:val="47433F14"/>
    <w:rsid w:val="47436E99"/>
    <w:rsid w:val="4743767B"/>
    <w:rsid w:val="474653BD"/>
    <w:rsid w:val="47482EE3"/>
    <w:rsid w:val="47490A0A"/>
    <w:rsid w:val="474927B8"/>
    <w:rsid w:val="474D04FA"/>
    <w:rsid w:val="47574ED5"/>
    <w:rsid w:val="47613FA5"/>
    <w:rsid w:val="47666BD1"/>
    <w:rsid w:val="47680EBB"/>
    <w:rsid w:val="47685334"/>
    <w:rsid w:val="476D1D47"/>
    <w:rsid w:val="476D20B2"/>
    <w:rsid w:val="47700B28"/>
    <w:rsid w:val="47727F60"/>
    <w:rsid w:val="477530F2"/>
    <w:rsid w:val="47775577"/>
    <w:rsid w:val="478432E6"/>
    <w:rsid w:val="47855EE6"/>
    <w:rsid w:val="478C7274"/>
    <w:rsid w:val="47906638"/>
    <w:rsid w:val="47916556"/>
    <w:rsid w:val="479559FD"/>
    <w:rsid w:val="4797394A"/>
    <w:rsid w:val="47983DB5"/>
    <w:rsid w:val="47A04ACD"/>
    <w:rsid w:val="47A07E0C"/>
    <w:rsid w:val="47A10846"/>
    <w:rsid w:val="47A5798A"/>
    <w:rsid w:val="47A676E4"/>
    <w:rsid w:val="47B2035D"/>
    <w:rsid w:val="47B40579"/>
    <w:rsid w:val="47B70069"/>
    <w:rsid w:val="47BC567F"/>
    <w:rsid w:val="47CD5197"/>
    <w:rsid w:val="47CF38C5"/>
    <w:rsid w:val="47D41C9C"/>
    <w:rsid w:val="47D97FDF"/>
    <w:rsid w:val="47DA4A0F"/>
    <w:rsid w:val="47E756FB"/>
    <w:rsid w:val="47EA03B1"/>
    <w:rsid w:val="47ED5839"/>
    <w:rsid w:val="47FD3CCE"/>
    <w:rsid w:val="48007C0D"/>
    <w:rsid w:val="48026F58"/>
    <w:rsid w:val="480424E5"/>
    <w:rsid w:val="480F3A01"/>
    <w:rsid w:val="480F57AF"/>
    <w:rsid w:val="48140D6B"/>
    <w:rsid w:val="48174664"/>
    <w:rsid w:val="481C1C7A"/>
    <w:rsid w:val="481D611E"/>
    <w:rsid w:val="48233009"/>
    <w:rsid w:val="48280549"/>
    <w:rsid w:val="4828061F"/>
    <w:rsid w:val="482D3E87"/>
    <w:rsid w:val="48346666"/>
    <w:rsid w:val="48382F58"/>
    <w:rsid w:val="48391CF7"/>
    <w:rsid w:val="483B2A48"/>
    <w:rsid w:val="483D5387"/>
    <w:rsid w:val="48433C8E"/>
    <w:rsid w:val="484359B7"/>
    <w:rsid w:val="48452C89"/>
    <w:rsid w:val="484A1C3D"/>
    <w:rsid w:val="484B6D5E"/>
    <w:rsid w:val="485427D2"/>
    <w:rsid w:val="48561630"/>
    <w:rsid w:val="485667D0"/>
    <w:rsid w:val="48577BC0"/>
    <w:rsid w:val="485E04E5"/>
    <w:rsid w:val="486716D5"/>
    <w:rsid w:val="486A6177"/>
    <w:rsid w:val="486C5F17"/>
    <w:rsid w:val="486E697A"/>
    <w:rsid w:val="4870272E"/>
    <w:rsid w:val="48723AE3"/>
    <w:rsid w:val="48741AB6"/>
    <w:rsid w:val="487554ED"/>
    <w:rsid w:val="487675DC"/>
    <w:rsid w:val="48873598"/>
    <w:rsid w:val="48913701"/>
    <w:rsid w:val="48914416"/>
    <w:rsid w:val="48A00AFD"/>
    <w:rsid w:val="48A56548"/>
    <w:rsid w:val="48B325DE"/>
    <w:rsid w:val="48BC68A3"/>
    <w:rsid w:val="48BD61CD"/>
    <w:rsid w:val="48C2547F"/>
    <w:rsid w:val="48CC1EAB"/>
    <w:rsid w:val="48CE799F"/>
    <w:rsid w:val="48D013E2"/>
    <w:rsid w:val="48D80297"/>
    <w:rsid w:val="48DD21D8"/>
    <w:rsid w:val="48DF5C0C"/>
    <w:rsid w:val="48F067C4"/>
    <w:rsid w:val="48FA020D"/>
    <w:rsid w:val="49030108"/>
    <w:rsid w:val="49060960"/>
    <w:rsid w:val="490B241B"/>
    <w:rsid w:val="490C7F41"/>
    <w:rsid w:val="491A265E"/>
    <w:rsid w:val="491B26D7"/>
    <w:rsid w:val="492029CB"/>
    <w:rsid w:val="49210538"/>
    <w:rsid w:val="49216DB5"/>
    <w:rsid w:val="49227202"/>
    <w:rsid w:val="492D2C82"/>
    <w:rsid w:val="492F25D6"/>
    <w:rsid w:val="492F31C0"/>
    <w:rsid w:val="49310464"/>
    <w:rsid w:val="49374F2B"/>
    <w:rsid w:val="494D47E1"/>
    <w:rsid w:val="494F4AD5"/>
    <w:rsid w:val="49574B9B"/>
    <w:rsid w:val="495769AC"/>
    <w:rsid w:val="49646CA9"/>
    <w:rsid w:val="4968161B"/>
    <w:rsid w:val="496837C2"/>
    <w:rsid w:val="49695393"/>
    <w:rsid w:val="496A3433"/>
    <w:rsid w:val="496E7CC7"/>
    <w:rsid w:val="4970243F"/>
    <w:rsid w:val="49725893"/>
    <w:rsid w:val="497B3F13"/>
    <w:rsid w:val="49886893"/>
    <w:rsid w:val="498F4DFA"/>
    <w:rsid w:val="49962188"/>
    <w:rsid w:val="49A23539"/>
    <w:rsid w:val="49A66CF3"/>
    <w:rsid w:val="49AA599F"/>
    <w:rsid w:val="49AD1724"/>
    <w:rsid w:val="49B06B1E"/>
    <w:rsid w:val="49B45B0A"/>
    <w:rsid w:val="49B96DFB"/>
    <w:rsid w:val="49BE56DF"/>
    <w:rsid w:val="49C06ACB"/>
    <w:rsid w:val="49C1153F"/>
    <w:rsid w:val="49C5081B"/>
    <w:rsid w:val="49CF169A"/>
    <w:rsid w:val="49D163A6"/>
    <w:rsid w:val="49D2118A"/>
    <w:rsid w:val="49DC7715"/>
    <w:rsid w:val="49E05655"/>
    <w:rsid w:val="49E32A4A"/>
    <w:rsid w:val="49E35145"/>
    <w:rsid w:val="49E8450A"/>
    <w:rsid w:val="49EB5DA8"/>
    <w:rsid w:val="49ED7D72"/>
    <w:rsid w:val="49EF0F03"/>
    <w:rsid w:val="49F22E5E"/>
    <w:rsid w:val="49FA2907"/>
    <w:rsid w:val="4A023139"/>
    <w:rsid w:val="4A037596"/>
    <w:rsid w:val="4A0B78D0"/>
    <w:rsid w:val="4A134860"/>
    <w:rsid w:val="4A195DA7"/>
    <w:rsid w:val="4A1E3FBA"/>
    <w:rsid w:val="4A2512BA"/>
    <w:rsid w:val="4A291463"/>
    <w:rsid w:val="4A325785"/>
    <w:rsid w:val="4A354385"/>
    <w:rsid w:val="4A3634C7"/>
    <w:rsid w:val="4A370FED"/>
    <w:rsid w:val="4A463ED2"/>
    <w:rsid w:val="4A4C0E65"/>
    <w:rsid w:val="4A534608"/>
    <w:rsid w:val="4A593617"/>
    <w:rsid w:val="4A5B4CDC"/>
    <w:rsid w:val="4A6313CC"/>
    <w:rsid w:val="4A633B90"/>
    <w:rsid w:val="4A6A13C3"/>
    <w:rsid w:val="4A6A6E0E"/>
    <w:rsid w:val="4A702D6F"/>
    <w:rsid w:val="4A71599D"/>
    <w:rsid w:val="4A767D68"/>
    <w:rsid w:val="4A767F31"/>
    <w:rsid w:val="4A7B576F"/>
    <w:rsid w:val="4A7D7A8D"/>
    <w:rsid w:val="4A8136EB"/>
    <w:rsid w:val="4A8204BA"/>
    <w:rsid w:val="4A830E92"/>
    <w:rsid w:val="4A834233"/>
    <w:rsid w:val="4A8723E4"/>
    <w:rsid w:val="4A875AD1"/>
    <w:rsid w:val="4A897A9B"/>
    <w:rsid w:val="4A8D3338"/>
    <w:rsid w:val="4A8F7FF1"/>
    <w:rsid w:val="4A9F106C"/>
    <w:rsid w:val="4AA76173"/>
    <w:rsid w:val="4AA92CFC"/>
    <w:rsid w:val="4AAA5C63"/>
    <w:rsid w:val="4AB131AC"/>
    <w:rsid w:val="4ABC3301"/>
    <w:rsid w:val="4ABD5996"/>
    <w:rsid w:val="4AC44A4A"/>
    <w:rsid w:val="4AC473FF"/>
    <w:rsid w:val="4AC75CE3"/>
    <w:rsid w:val="4AC76815"/>
    <w:rsid w:val="4AD52CE0"/>
    <w:rsid w:val="4ADB3E33"/>
    <w:rsid w:val="4ADC0EE2"/>
    <w:rsid w:val="4ADD3943"/>
    <w:rsid w:val="4AE42F23"/>
    <w:rsid w:val="4AE616BF"/>
    <w:rsid w:val="4AE65A17"/>
    <w:rsid w:val="4AF15640"/>
    <w:rsid w:val="4AF561A9"/>
    <w:rsid w:val="4AFD3FE5"/>
    <w:rsid w:val="4B0B4954"/>
    <w:rsid w:val="4B137A8E"/>
    <w:rsid w:val="4B1650A7"/>
    <w:rsid w:val="4B180E1F"/>
    <w:rsid w:val="4B1B446B"/>
    <w:rsid w:val="4B20746B"/>
    <w:rsid w:val="4B257098"/>
    <w:rsid w:val="4B2C50D3"/>
    <w:rsid w:val="4B2E0642"/>
    <w:rsid w:val="4B3337B7"/>
    <w:rsid w:val="4B3774F7"/>
    <w:rsid w:val="4B3C4356"/>
    <w:rsid w:val="4B3C4AD7"/>
    <w:rsid w:val="4B3D30C2"/>
    <w:rsid w:val="4B4B13AB"/>
    <w:rsid w:val="4B4B6AFE"/>
    <w:rsid w:val="4B4D6D1A"/>
    <w:rsid w:val="4B532915"/>
    <w:rsid w:val="4B555BCF"/>
    <w:rsid w:val="4B5736F5"/>
    <w:rsid w:val="4B576AAA"/>
    <w:rsid w:val="4B5D2CD5"/>
    <w:rsid w:val="4B614580"/>
    <w:rsid w:val="4B6776B0"/>
    <w:rsid w:val="4B683B54"/>
    <w:rsid w:val="4B692B8B"/>
    <w:rsid w:val="4B6E3289"/>
    <w:rsid w:val="4B6E6C91"/>
    <w:rsid w:val="4B7727C5"/>
    <w:rsid w:val="4B7957D5"/>
    <w:rsid w:val="4B7B4BCB"/>
    <w:rsid w:val="4B7D6ED4"/>
    <w:rsid w:val="4B9366F7"/>
    <w:rsid w:val="4B956C94"/>
    <w:rsid w:val="4B9761E7"/>
    <w:rsid w:val="4B983D0E"/>
    <w:rsid w:val="4B9E1324"/>
    <w:rsid w:val="4B9F509C"/>
    <w:rsid w:val="4BA12A28"/>
    <w:rsid w:val="4BA33AB6"/>
    <w:rsid w:val="4BA64DBB"/>
    <w:rsid w:val="4BAF3531"/>
    <w:rsid w:val="4BB328F5"/>
    <w:rsid w:val="4BBE25CA"/>
    <w:rsid w:val="4BC52D55"/>
    <w:rsid w:val="4BC92119"/>
    <w:rsid w:val="4BCD1C09"/>
    <w:rsid w:val="4BCE5974"/>
    <w:rsid w:val="4BD42F98"/>
    <w:rsid w:val="4BD44D46"/>
    <w:rsid w:val="4BD9235C"/>
    <w:rsid w:val="4BE33DD6"/>
    <w:rsid w:val="4BE85BF3"/>
    <w:rsid w:val="4BEC277D"/>
    <w:rsid w:val="4BFE0015"/>
    <w:rsid w:val="4C001FDF"/>
    <w:rsid w:val="4C0C0625"/>
    <w:rsid w:val="4C0D0258"/>
    <w:rsid w:val="4C182F0D"/>
    <w:rsid w:val="4C1C66ED"/>
    <w:rsid w:val="4C1F06B5"/>
    <w:rsid w:val="4C207F8B"/>
    <w:rsid w:val="4C22541C"/>
    <w:rsid w:val="4C2D40EB"/>
    <w:rsid w:val="4C334959"/>
    <w:rsid w:val="4C3752D5"/>
    <w:rsid w:val="4C426C15"/>
    <w:rsid w:val="4C43185C"/>
    <w:rsid w:val="4C441DAB"/>
    <w:rsid w:val="4C46376A"/>
    <w:rsid w:val="4C4719BC"/>
    <w:rsid w:val="4C4A0649"/>
    <w:rsid w:val="4C4B0D80"/>
    <w:rsid w:val="4C4C1669"/>
    <w:rsid w:val="4C50431F"/>
    <w:rsid w:val="4C527A4E"/>
    <w:rsid w:val="4C567E51"/>
    <w:rsid w:val="4C59524B"/>
    <w:rsid w:val="4C5A4EBB"/>
    <w:rsid w:val="4C5B5467"/>
    <w:rsid w:val="4C5E4384"/>
    <w:rsid w:val="4C6267F5"/>
    <w:rsid w:val="4C6A56AA"/>
    <w:rsid w:val="4C744CC4"/>
    <w:rsid w:val="4C79769B"/>
    <w:rsid w:val="4C7E5ECA"/>
    <w:rsid w:val="4C83051A"/>
    <w:rsid w:val="4C876AA5"/>
    <w:rsid w:val="4C883D82"/>
    <w:rsid w:val="4C8B45FF"/>
    <w:rsid w:val="4C8D3790"/>
    <w:rsid w:val="4C952CDF"/>
    <w:rsid w:val="4C96649F"/>
    <w:rsid w:val="4C982217"/>
    <w:rsid w:val="4C9B2CF3"/>
    <w:rsid w:val="4C9D5A7F"/>
    <w:rsid w:val="4CA24E44"/>
    <w:rsid w:val="4CA40468"/>
    <w:rsid w:val="4CAA019C"/>
    <w:rsid w:val="4CAA5AA7"/>
    <w:rsid w:val="4CB00BC2"/>
    <w:rsid w:val="4CB132D9"/>
    <w:rsid w:val="4CB30248"/>
    <w:rsid w:val="4CBB1203"/>
    <w:rsid w:val="4CBC7038"/>
    <w:rsid w:val="4CBD1610"/>
    <w:rsid w:val="4CC0351C"/>
    <w:rsid w:val="4CC254E6"/>
    <w:rsid w:val="4CC759FC"/>
    <w:rsid w:val="4CCF550D"/>
    <w:rsid w:val="4CD314A1"/>
    <w:rsid w:val="4CD43B06"/>
    <w:rsid w:val="4CD945DE"/>
    <w:rsid w:val="4CDC4E93"/>
    <w:rsid w:val="4CEC75AB"/>
    <w:rsid w:val="4CED0E58"/>
    <w:rsid w:val="4CEF5BAF"/>
    <w:rsid w:val="4CF803E4"/>
    <w:rsid w:val="4CF82CB6"/>
    <w:rsid w:val="4CFA307A"/>
    <w:rsid w:val="4CFC34F6"/>
    <w:rsid w:val="4D027691"/>
    <w:rsid w:val="4D072EF9"/>
    <w:rsid w:val="4D0A29E9"/>
    <w:rsid w:val="4D0A5610"/>
    <w:rsid w:val="4D0E00FB"/>
    <w:rsid w:val="4D0F1B50"/>
    <w:rsid w:val="4D1126BF"/>
    <w:rsid w:val="4D115B26"/>
    <w:rsid w:val="4D1341E2"/>
    <w:rsid w:val="4D176606"/>
    <w:rsid w:val="4D1D44CD"/>
    <w:rsid w:val="4D241CFD"/>
    <w:rsid w:val="4D265A75"/>
    <w:rsid w:val="4D2A496C"/>
    <w:rsid w:val="4D2F41FE"/>
    <w:rsid w:val="4D3403C5"/>
    <w:rsid w:val="4D411299"/>
    <w:rsid w:val="4D48080E"/>
    <w:rsid w:val="4D4971D6"/>
    <w:rsid w:val="4D4B7289"/>
    <w:rsid w:val="4D4C3583"/>
    <w:rsid w:val="4D562915"/>
    <w:rsid w:val="4D5D520F"/>
    <w:rsid w:val="4D677E3B"/>
    <w:rsid w:val="4D6C0776"/>
    <w:rsid w:val="4D6E3E21"/>
    <w:rsid w:val="4D7473AF"/>
    <w:rsid w:val="4D7B0486"/>
    <w:rsid w:val="4D7B5AD0"/>
    <w:rsid w:val="4D8254D0"/>
    <w:rsid w:val="4D826A23"/>
    <w:rsid w:val="4D8B58D8"/>
    <w:rsid w:val="4D8C132D"/>
    <w:rsid w:val="4D9724CF"/>
    <w:rsid w:val="4D981DA3"/>
    <w:rsid w:val="4D9F1383"/>
    <w:rsid w:val="4DA02521"/>
    <w:rsid w:val="4DA16EA9"/>
    <w:rsid w:val="4DAE03C1"/>
    <w:rsid w:val="4DAE6208"/>
    <w:rsid w:val="4DB10EE2"/>
    <w:rsid w:val="4DB50BA7"/>
    <w:rsid w:val="4DB64094"/>
    <w:rsid w:val="4DB95333"/>
    <w:rsid w:val="4DBA5CFF"/>
    <w:rsid w:val="4DBC07E4"/>
    <w:rsid w:val="4DC112FA"/>
    <w:rsid w:val="4DC442C6"/>
    <w:rsid w:val="4DC46469"/>
    <w:rsid w:val="4DC4703C"/>
    <w:rsid w:val="4DCA28A4"/>
    <w:rsid w:val="4DCD5698"/>
    <w:rsid w:val="4DCF3801"/>
    <w:rsid w:val="4DD23507"/>
    <w:rsid w:val="4DD454D1"/>
    <w:rsid w:val="4DD54DA5"/>
    <w:rsid w:val="4DD70B1D"/>
    <w:rsid w:val="4DD76D6F"/>
    <w:rsid w:val="4DE1374A"/>
    <w:rsid w:val="4DE174DB"/>
    <w:rsid w:val="4DE35714"/>
    <w:rsid w:val="4DE44FE8"/>
    <w:rsid w:val="4DEC4FB0"/>
    <w:rsid w:val="4DEF2FB9"/>
    <w:rsid w:val="4DF27705"/>
    <w:rsid w:val="4E0369D1"/>
    <w:rsid w:val="4E0472EF"/>
    <w:rsid w:val="4E073318"/>
    <w:rsid w:val="4E075D8A"/>
    <w:rsid w:val="4E0B4C6B"/>
    <w:rsid w:val="4E102281"/>
    <w:rsid w:val="4E125FF9"/>
    <w:rsid w:val="4E143B1F"/>
    <w:rsid w:val="4E1458CD"/>
    <w:rsid w:val="4E175F30"/>
    <w:rsid w:val="4E1E04FA"/>
    <w:rsid w:val="4E1E5B1E"/>
    <w:rsid w:val="4E244E42"/>
    <w:rsid w:val="4E27072B"/>
    <w:rsid w:val="4E281379"/>
    <w:rsid w:val="4E2B2C17"/>
    <w:rsid w:val="4E2B70BB"/>
    <w:rsid w:val="4E2E3285"/>
    <w:rsid w:val="4E320449"/>
    <w:rsid w:val="4E353A96"/>
    <w:rsid w:val="4E3E1515"/>
    <w:rsid w:val="4E3E61E3"/>
    <w:rsid w:val="4E3F66C2"/>
    <w:rsid w:val="4E485577"/>
    <w:rsid w:val="4E4F6905"/>
    <w:rsid w:val="4E511008"/>
    <w:rsid w:val="4E597982"/>
    <w:rsid w:val="4E5B0DF5"/>
    <w:rsid w:val="4E5B7900"/>
    <w:rsid w:val="4E6411DC"/>
    <w:rsid w:val="4E683E6B"/>
    <w:rsid w:val="4E6B74B7"/>
    <w:rsid w:val="4E6C5D89"/>
    <w:rsid w:val="4E733CA7"/>
    <w:rsid w:val="4E7C7C9F"/>
    <w:rsid w:val="4E82001E"/>
    <w:rsid w:val="4E8A2033"/>
    <w:rsid w:val="4E8A5B90"/>
    <w:rsid w:val="4E8D0F77"/>
    <w:rsid w:val="4E8D742E"/>
    <w:rsid w:val="4E962786"/>
    <w:rsid w:val="4EA12ED9"/>
    <w:rsid w:val="4EA53EF7"/>
    <w:rsid w:val="4EB3158A"/>
    <w:rsid w:val="4EBD5F65"/>
    <w:rsid w:val="4EC00FAD"/>
    <w:rsid w:val="4EC233BC"/>
    <w:rsid w:val="4EC33D55"/>
    <w:rsid w:val="4EC72940"/>
    <w:rsid w:val="4EC949FE"/>
    <w:rsid w:val="4ECC264C"/>
    <w:rsid w:val="4ECF5C98"/>
    <w:rsid w:val="4ED11A10"/>
    <w:rsid w:val="4ED17C62"/>
    <w:rsid w:val="4ED60DD5"/>
    <w:rsid w:val="4ED908C5"/>
    <w:rsid w:val="4EE03FEA"/>
    <w:rsid w:val="4EEC684A"/>
    <w:rsid w:val="4EEF2AAB"/>
    <w:rsid w:val="4EEF633A"/>
    <w:rsid w:val="4EF13E61"/>
    <w:rsid w:val="4EF15C0F"/>
    <w:rsid w:val="4EF411F0"/>
    <w:rsid w:val="4EFF56E1"/>
    <w:rsid w:val="4F0001A6"/>
    <w:rsid w:val="4F0771E0"/>
    <w:rsid w:val="4F0973FC"/>
    <w:rsid w:val="4F0B3174"/>
    <w:rsid w:val="4F0C0C38"/>
    <w:rsid w:val="4F161E98"/>
    <w:rsid w:val="4F193510"/>
    <w:rsid w:val="4F1A1D21"/>
    <w:rsid w:val="4F1B2C8C"/>
    <w:rsid w:val="4F1D4C56"/>
    <w:rsid w:val="4F1E452A"/>
    <w:rsid w:val="4F2002A2"/>
    <w:rsid w:val="4F2132A9"/>
    <w:rsid w:val="4F22226C"/>
    <w:rsid w:val="4F243ECD"/>
    <w:rsid w:val="4F2F2435"/>
    <w:rsid w:val="4F343D4D"/>
    <w:rsid w:val="4F381A8F"/>
    <w:rsid w:val="4F3C2AD4"/>
    <w:rsid w:val="4F400944"/>
    <w:rsid w:val="4F44293C"/>
    <w:rsid w:val="4F473A81"/>
    <w:rsid w:val="4F4F0AED"/>
    <w:rsid w:val="4F543775"/>
    <w:rsid w:val="4F5904DD"/>
    <w:rsid w:val="4F5A0CD3"/>
    <w:rsid w:val="4F5D14F6"/>
    <w:rsid w:val="4F5D4B8B"/>
    <w:rsid w:val="4F5D5052"/>
    <w:rsid w:val="4F6373D5"/>
    <w:rsid w:val="4F6A1C93"/>
    <w:rsid w:val="4F6D7971"/>
    <w:rsid w:val="4F6D7F7A"/>
    <w:rsid w:val="4F6F4D85"/>
    <w:rsid w:val="4F75345F"/>
    <w:rsid w:val="4F7F76BE"/>
    <w:rsid w:val="4F845943"/>
    <w:rsid w:val="4F870321"/>
    <w:rsid w:val="4F8E16AF"/>
    <w:rsid w:val="4F8E345D"/>
    <w:rsid w:val="4F936CC6"/>
    <w:rsid w:val="4F960564"/>
    <w:rsid w:val="4F9843DC"/>
    <w:rsid w:val="4F9B0E29"/>
    <w:rsid w:val="4F9C3DCC"/>
    <w:rsid w:val="4F9E3D78"/>
    <w:rsid w:val="4FA076D0"/>
    <w:rsid w:val="4FA17635"/>
    <w:rsid w:val="4FA669F9"/>
    <w:rsid w:val="4FA72771"/>
    <w:rsid w:val="4FA82F61"/>
    <w:rsid w:val="4FA843B3"/>
    <w:rsid w:val="4FAB4A87"/>
    <w:rsid w:val="4FAC0EB5"/>
    <w:rsid w:val="4FAC106B"/>
    <w:rsid w:val="4FBA4253"/>
    <w:rsid w:val="4FBB03E3"/>
    <w:rsid w:val="4FC62A8C"/>
    <w:rsid w:val="4FC81DBA"/>
    <w:rsid w:val="4FCB2904"/>
    <w:rsid w:val="4FD95020"/>
    <w:rsid w:val="4FDE5BC3"/>
    <w:rsid w:val="4FE20F0D"/>
    <w:rsid w:val="4FE44AAA"/>
    <w:rsid w:val="4FE51552"/>
    <w:rsid w:val="4FE65048"/>
    <w:rsid w:val="4FE70DC0"/>
    <w:rsid w:val="4FE90FDC"/>
    <w:rsid w:val="4FFA4F97"/>
    <w:rsid w:val="4FFF435B"/>
    <w:rsid w:val="50055E16"/>
    <w:rsid w:val="500876B4"/>
    <w:rsid w:val="500F0A42"/>
    <w:rsid w:val="501716A5"/>
    <w:rsid w:val="501D5EB6"/>
    <w:rsid w:val="501F1A47"/>
    <w:rsid w:val="50242014"/>
    <w:rsid w:val="502A762A"/>
    <w:rsid w:val="502B24FE"/>
    <w:rsid w:val="502B33A2"/>
    <w:rsid w:val="503009B9"/>
    <w:rsid w:val="50304C03"/>
    <w:rsid w:val="50324731"/>
    <w:rsid w:val="50377F99"/>
    <w:rsid w:val="503B7919"/>
    <w:rsid w:val="503C1316"/>
    <w:rsid w:val="503C735D"/>
    <w:rsid w:val="503D4E76"/>
    <w:rsid w:val="5043693E"/>
    <w:rsid w:val="50446212"/>
    <w:rsid w:val="504F7091"/>
    <w:rsid w:val="50504C4B"/>
    <w:rsid w:val="505521CD"/>
    <w:rsid w:val="50575430"/>
    <w:rsid w:val="50591CBD"/>
    <w:rsid w:val="5066262C"/>
    <w:rsid w:val="5068006C"/>
    <w:rsid w:val="506F328F"/>
    <w:rsid w:val="50746AF7"/>
    <w:rsid w:val="5075461D"/>
    <w:rsid w:val="507F17D3"/>
    <w:rsid w:val="508023C1"/>
    <w:rsid w:val="508126D0"/>
    <w:rsid w:val="50834029"/>
    <w:rsid w:val="50836453"/>
    <w:rsid w:val="508605D9"/>
    <w:rsid w:val="50865D61"/>
    <w:rsid w:val="50874A7C"/>
    <w:rsid w:val="5088002F"/>
    <w:rsid w:val="50964CC0"/>
    <w:rsid w:val="5099030C"/>
    <w:rsid w:val="509C6E7C"/>
    <w:rsid w:val="509E3B74"/>
    <w:rsid w:val="50A30189"/>
    <w:rsid w:val="50B01D51"/>
    <w:rsid w:val="50B43398"/>
    <w:rsid w:val="50BE5FC4"/>
    <w:rsid w:val="50C32FBB"/>
    <w:rsid w:val="50CC248F"/>
    <w:rsid w:val="50D253CB"/>
    <w:rsid w:val="50DB55BF"/>
    <w:rsid w:val="50DD469C"/>
    <w:rsid w:val="50E35A2B"/>
    <w:rsid w:val="50E517A3"/>
    <w:rsid w:val="50E62C53"/>
    <w:rsid w:val="50E963C7"/>
    <w:rsid w:val="50ED0658"/>
    <w:rsid w:val="50F934A0"/>
    <w:rsid w:val="50FB0FC7"/>
    <w:rsid w:val="51025EB1"/>
    <w:rsid w:val="51051E45"/>
    <w:rsid w:val="510A745C"/>
    <w:rsid w:val="51114346"/>
    <w:rsid w:val="51124B24"/>
    <w:rsid w:val="51165E00"/>
    <w:rsid w:val="51167BAE"/>
    <w:rsid w:val="511A3B0D"/>
    <w:rsid w:val="511B51C5"/>
    <w:rsid w:val="511D56D0"/>
    <w:rsid w:val="512974F6"/>
    <w:rsid w:val="512E279E"/>
    <w:rsid w:val="513163F4"/>
    <w:rsid w:val="51321BA2"/>
    <w:rsid w:val="51352C37"/>
    <w:rsid w:val="51363DAD"/>
    <w:rsid w:val="5137016C"/>
    <w:rsid w:val="513B74F9"/>
    <w:rsid w:val="51404DF1"/>
    <w:rsid w:val="51433290"/>
    <w:rsid w:val="51493AE0"/>
    <w:rsid w:val="515523EF"/>
    <w:rsid w:val="515B1A65"/>
    <w:rsid w:val="5162104E"/>
    <w:rsid w:val="516C77CE"/>
    <w:rsid w:val="516F1B5D"/>
    <w:rsid w:val="51703763"/>
    <w:rsid w:val="517234D1"/>
    <w:rsid w:val="51736DAF"/>
    <w:rsid w:val="51750D79"/>
    <w:rsid w:val="51785E5F"/>
    <w:rsid w:val="517A68F1"/>
    <w:rsid w:val="517B24F4"/>
    <w:rsid w:val="517D5E7F"/>
    <w:rsid w:val="5181771E"/>
    <w:rsid w:val="5184720E"/>
    <w:rsid w:val="518730D6"/>
    <w:rsid w:val="518979CC"/>
    <w:rsid w:val="518A0A04"/>
    <w:rsid w:val="51903EDE"/>
    <w:rsid w:val="519136D9"/>
    <w:rsid w:val="519B6306"/>
    <w:rsid w:val="51A21442"/>
    <w:rsid w:val="51A8334E"/>
    <w:rsid w:val="51AB6549"/>
    <w:rsid w:val="51AE1B73"/>
    <w:rsid w:val="51B15A7A"/>
    <w:rsid w:val="51B573C7"/>
    <w:rsid w:val="51BD44CE"/>
    <w:rsid w:val="51C770FB"/>
    <w:rsid w:val="51CB489B"/>
    <w:rsid w:val="51CB6BEB"/>
    <w:rsid w:val="51CC64BF"/>
    <w:rsid w:val="51D81308"/>
    <w:rsid w:val="51E25060"/>
    <w:rsid w:val="51E43809"/>
    <w:rsid w:val="51E732F9"/>
    <w:rsid w:val="51EC2654"/>
    <w:rsid w:val="51F003FF"/>
    <w:rsid w:val="51F404AA"/>
    <w:rsid w:val="51F50086"/>
    <w:rsid w:val="51F6353C"/>
    <w:rsid w:val="51FA302C"/>
    <w:rsid w:val="51FA77A2"/>
    <w:rsid w:val="52000BC3"/>
    <w:rsid w:val="52036385"/>
    <w:rsid w:val="520D3941"/>
    <w:rsid w:val="520D5BFF"/>
    <w:rsid w:val="520D7203"/>
    <w:rsid w:val="521216D3"/>
    <w:rsid w:val="52171F0C"/>
    <w:rsid w:val="52193382"/>
    <w:rsid w:val="521A1920"/>
    <w:rsid w:val="521A36CE"/>
    <w:rsid w:val="521A722A"/>
    <w:rsid w:val="521F0CE5"/>
    <w:rsid w:val="522307D5"/>
    <w:rsid w:val="52232583"/>
    <w:rsid w:val="522B58DB"/>
    <w:rsid w:val="522D51B0"/>
    <w:rsid w:val="52383964"/>
    <w:rsid w:val="523D0E4F"/>
    <w:rsid w:val="523E73BD"/>
    <w:rsid w:val="52410C5B"/>
    <w:rsid w:val="52426781"/>
    <w:rsid w:val="524D7600"/>
    <w:rsid w:val="524E0182"/>
    <w:rsid w:val="52505342"/>
    <w:rsid w:val="52552958"/>
    <w:rsid w:val="52554706"/>
    <w:rsid w:val="5257047F"/>
    <w:rsid w:val="525F10E1"/>
    <w:rsid w:val="52636E23"/>
    <w:rsid w:val="526609AB"/>
    <w:rsid w:val="526A6404"/>
    <w:rsid w:val="526E48F5"/>
    <w:rsid w:val="5273095F"/>
    <w:rsid w:val="52747667"/>
    <w:rsid w:val="527728CF"/>
    <w:rsid w:val="527821A3"/>
    <w:rsid w:val="527903F5"/>
    <w:rsid w:val="527A416D"/>
    <w:rsid w:val="527E1EAF"/>
    <w:rsid w:val="52897ECB"/>
    <w:rsid w:val="528D3EA0"/>
    <w:rsid w:val="52911BE2"/>
    <w:rsid w:val="52921B9F"/>
    <w:rsid w:val="52990A97"/>
    <w:rsid w:val="529947A5"/>
    <w:rsid w:val="529A0352"/>
    <w:rsid w:val="529C30B9"/>
    <w:rsid w:val="529E1C09"/>
    <w:rsid w:val="52A01E26"/>
    <w:rsid w:val="52A66D10"/>
    <w:rsid w:val="52AD4542"/>
    <w:rsid w:val="52B15DE1"/>
    <w:rsid w:val="52B72CCB"/>
    <w:rsid w:val="52BB09F1"/>
    <w:rsid w:val="52C06024"/>
    <w:rsid w:val="52C13B4A"/>
    <w:rsid w:val="52C33D66"/>
    <w:rsid w:val="52C378C2"/>
    <w:rsid w:val="52C8312A"/>
    <w:rsid w:val="52CC2402"/>
    <w:rsid w:val="52D34711"/>
    <w:rsid w:val="52D41ACF"/>
    <w:rsid w:val="52D87FE4"/>
    <w:rsid w:val="52E85882"/>
    <w:rsid w:val="52E875F5"/>
    <w:rsid w:val="52E90756"/>
    <w:rsid w:val="52E91631"/>
    <w:rsid w:val="52F569E9"/>
    <w:rsid w:val="52F77CF4"/>
    <w:rsid w:val="52F97788"/>
    <w:rsid w:val="53000B16"/>
    <w:rsid w:val="53083527"/>
    <w:rsid w:val="530B4BE6"/>
    <w:rsid w:val="5311561E"/>
    <w:rsid w:val="53165C44"/>
    <w:rsid w:val="531C035E"/>
    <w:rsid w:val="53223D46"/>
    <w:rsid w:val="53253909"/>
    <w:rsid w:val="53285977"/>
    <w:rsid w:val="533407C0"/>
    <w:rsid w:val="53364661"/>
    <w:rsid w:val="533C1422"/>
    <w:rsid w:val="533F00C1"/>
    <w:rsid w:val="53446C55"/>
    <w:rsid w:val="53476745"/>
    <w:rsid w:val="53513120"/>
    <w:rsid w:val="53515832"/>
    <w:rsid w:val="53536E98"/>
    <w:rsid w:val="535B1AD6"/>
    <w:rsid w:val="535B1ED0"/>
    <w:rsid w:val="53625C05"/>
    <w:rsid w:val="536A5F90"/>
    <w:rsid w:val="5373753A"/>
    <w:rsid w:val="5378365A"/>
    <w:rsid w:val="53784B50"/>
    <w:rsid w:val="537D0D49"/>
    <w:rsid w:val="538136A4"/>
    <w:rsid w:val="53870155"/>
    <w:rsid w:val="53890B0C"/>
    <w:rsid w:val="53937294"/>
    <w:rsid w:val="53966D85"/>
    <w:rsid w:val="539A6875"/>
    <w:rsid w:val="53A039CC"/>
    <w:rsid w:val="53A1505A"/>
    <w:rsid w:val="53A304DF"/>
    <w:rsid w:val="53A414A2"/>
    <w:rsid w:val="53AE0572"/>
    <w:rsid w:val="53B042EA"/>
    <w:rsid w:val="53B316E5"/>
    <w:rsid w:val="53B67427"/>
    <w:rsid w:val="53BD07B5"/>
    <w:rsid w:val="53C5286D"/>
    <w:rsid w:val="53D1600F"/>
    <w:rsid w:val="53DA1367"/>
    <w:rsid w:val="53DA3229"/>
    <w:rsid w:val="53F22701"/>
    <w:rsid w:val="53F50323"/>
    <w:rsid w:val="53F7058E"/>
    <w:rsid w:val="53F73CC7"/>
    <w:rsid w:val="53FB3447"/>
    <w:rsid w:val="53FC12DE"/>
    <w:rsid w:val="54011BAC"/>
    <w:rsid w:val="540168F4"/>
    <w:rsid w:val="54040192"/>
    <w:rsid w:val="54063E08"/>
    <w:rsid w:val="540853CE"/>
    <w:rsid w:val="540F7987"/>
    <w:rsid w:val="541008E5"/>
    <w:rsid w:val="541D56A1"/>
    <w:rsid w:val="541F6D7A"/>
    <w:rsid w:val="54224ABC"/>
    <w:rsid w:val="542D5D29"/>
    <w:rsid w:val="542E16B3"/>
    <w:rsid w:val="543437E8"/>
    <w:rsid w:val="5438608E"/>
    <w:rsid w:val="543F741C"/>
    <w:rsid w:val="544C3B1E"/>
    <w:rsid w:val="544D7D8B"/>
    <w:rsid w:val="54536656"/>
    <w:rsid w:val="54543237"/>
    <w:rsid w:val="5462437A"/>
    <w:rsid w:val="54694499"/>
    <w:rsid w:val="546B1FBF"/>
    <w:rsid w:val="546B6463"/>
    <w:rsid w:val="54751090"/>
    <w:rsid w:val="547C5700"/>
    <w:rsid w:val="54815C87"/>
    <w:rsid w:val="548E389E"/>
    <w:rsid w:val="548F2152"/>
    <w:rsid w:val="549459BA"/>
    <w:rsid w:val="549C0AA6"/>
    <w:rsid w:val="549C4376"/>
    <w:rsid w:val="549C516E"/>
    <w:rsid w:val="549D29D2"/>
    <w:rsid w:val="54AD25D8"/>
    <w:rsid w:val="54B03E76"/>
    <w:rsid w:val="54B75204"/>
    <w:rsid w:val="54BE47E5"/>
    <w:rsid w:val="54C4143C"/>
    <w:rsid w:val="54C53DC5"/>
    <w:rsid w:val="54CB6F02"/>
    <w:rsid w:val="54D758A7"/>
    <w:rsid w:val="54D85E05"/>
    <w:rsid w:val="54D964BB"/>
    <w:rsid w:val="54DA7145"/>
    <w:rsid w:val="54DB3B97"/>
    <w:rsid w:val="54DC6BBB"/>
    <w:rsid w:val="54DE6C35"/>
    <w:rsid w:val="54E3249D"/>
    <w:rsid w:val="54F00716"/>
    <w:rsid w:val="54F226E1"/>
    <w:rsid w:val="54F60D85"/>
    <w:rsid w:val="54F73313"/>
    <w:rsid w:val="54F80955"/>
    <w:rsid w:val="54F93EBC"/>
    <w:rsid w:val="54F95C48"/>
    <w:rsid w:val="55020B76"/>
    <w:rsid w:val="550A17D8"/>
    <w:rsid w:val="550B5550"/>
    <w:rsid w:val="551408A9"/>
    <w:rsid w:val="551C150B"/>
    <w:rsid w:val="551F09C2"/>
    <w:rsid w:val="55232D59"/>
    <w:rsid w:val="55286102"/>
    <w:rsid w:val="552A3C28"/>
    <w:rsid w:val="552B174F"/>
    <w:rsid w:val="552E2AC8"/>
    <w:rsid w:val="552F7491"/>
    <w:rsid w:val="55306627"/>
    <w:rsid w:val="553721DD"/>
    <w:rsid w:val="55374C2A"/>
    <w:rsid w:val="55384597"/>
    <w:rsid w:val="553B5C60"/>
    <w:rsid w:val="553D7E00"/>
    <w:rsid w:val="554027C6"/>
    <w:rsid w:val="55425416"/>
    <w:rsid w:val="55466588"/>
    <w:rsid w:val="554676FC"/>
    <w:rsid w:val="554967A4"/>
    <w:rsid w:val="555170A7"/>
    <w:rsid w:val="55570917"/>
    <w:rsid w:val="555E1B24"/>
    <w:rsid w:val="555E5F59"/>
    <w:rsid w:val="55603A56"/>
    <w:rsid w:val="55621614"/>
    <w:rsid w:val="5563174F"/>
    <w:rsid w:val="55665D0A"/>
    <w:rsid w:val="55690BF5"/>
    <w:rsid w:val="55696358"/>
    <w:rsid w:val="556A5234"/>
    <w:rsid w:val="556F5ADF"/>
    <w:rsid w:val="5576026A"/>
    <w:rsid w:val="55793FFC"/>
    <w:rsid w:val="557B0928"/>
    <w:rsid w:val="558477DD"/>
    <w:rsid w:val="5587536D"/>
    <w:rsid w:val="558772CD"/>
    <w:rsid w:val="55913CA7"/>
    <w:rsid w:val="55936EDE"/>
    <w:rsid w:val="55937A20"/>
    <w:rsid w:val="559B174B"/>
    <w:rsid w:val="559E0DEC"/>
    <w:rsid w:val="55B66725"/>
    <w:rsid w:val="55B85544"/>
    <w:rsid w:val="55B856D8"/>
    <w:rsid w:val="55B94DFB"/>
    <w:rsid w:val="55B94FAC"/>
    <w:rsid w:val="55BD3CD6"/>
    <w:rsid w:val="55BE25C3"/>
    <w:rsid w:val="55C20305"/>
    <w:rsid w:val="55C220B3"/>
    <w:rsid w:val="55C73951"/>
    <w:rsid w:val="55C81664"/>
    <w:rsid w:val="55CA0D6F"/>
    <w:rsid w:val="55CE0CF4"/>
    <w:rsid w:val="55D342C0"/>
    <w:rsid w:val="55DD61D5"/>
    <w:rsid w:val="55E4027B"/>
    <w:rsid w:val="55E77D6B"/>
    <w:rsid w:val="55E83909"/>
    <w:rsid w:val="55F04E72"/>
    <w:rsid w:val="55F40360"/>
    <w:rsid w:val="55F83D27"/>
    <w:rsid w:val="55FA7A9F"/>
    <w:rsid w:val="55FF3307"/>
    <w:rsid w:val="56094BBF"/>
    <w:rsid w:val="56095F34"/>
    <w:rsid w:val="560C1580"/>
    <w:rsid w:val="5610271D"/>
    <w:rsid w:val="56143D1E"/>
    <w:rsid w:val="561F1172"/>
    <w:rsid w:val="5624780D"/>
    <w:rsid w:val="562A6B20"/>
    <w:rsid w:val="562C598F"/>
    <w:rsid w:val="5632548A"/>
    <w:rsid w:val="563C1E65"/>
    <w:rsid w:val="564162D0"/>
    <w:rsid w:val="5642720A"/>
    <w:rsid w:val="56440D1A"/>
    <w:rsid w:val="56494582"/>
    <w:rsid w:val="564A39F3"/>
    <w:rsid w:val="564D4072"/>
    <w:rsid w:val="565076BF"/>
    <w:rsid w:val="56521E26"/>
    <w:rsid w:val="565C596F"/>
    <w:rsid w:val="565E4F71"/>
    <w:rsid w:val="566E7B50"/>
    <w:rsid w:val="56773354"/>
    <w:rsid w:val="56787715"/>
    <w:rsid w:val="567A6E1F"/>
    <w:rsid w:val="56815ACA"/>
    <w:rsid w:val="56826DF8"/>
    <w:rsid w:val="56847368"/>
    <w:rsid w:val="56861332"/>
    <w:rsid w:val="56867584"/>
    <w:rsid w:val="568832FC"/>
    <w:rsid w:val="569577C7"/>
    <w:rsid w:val="56A417B8"/>
    <w:rsid w:val="56A8411D"/>
    <w:rsid w:val="56B22A9C"/>
    <w:rsid w:val="56B37C4E"/>
    <w:rsid w:val="56B57E6A"/>
    <w:rsid w:val="56C1236A"/>
    <w:rsid w:val="56CD6F61"/>
    <w:rsid w:val="56CF2CD9"/>
    <w:rsid w:val="56D36283"/>
    <w:rsid w:val="56D4209E"/>
    <w:rsid w:val="56DB78D0"/>
    <w:rsid w:val="56E02A30"/>
    <w:rsid w:val="56E147BB"/>
    <w:rsid w:val="56FA587C"/>
    <w:rsid w:val="56FC7846"/>
    <w:rsid w:val="56FE6576"/>
    <w:rsid w:val="57030BD5"/>
    <w:rsid w:val="57154464"/>
    <w:rsid w:val="57186F54"/>
    <w:rsid w:val="57212E09"/>
    <w:rsid w:val="57233025"/>
    <w:rsid w:val="572A43B4"/>
    <w:rsid w:val="572A5116"/>
    <w:rsid w:val="572B3C88"/>
    <w:rsid w:val="572D0141"/>
    <w:rsid w:val="572F6E87"/>
    <w:rsid w:val="57340D8E"/>
    <w:rsid w:val="57380D29"/>
    <w:rsid w:val="57387C5F"/>
    <w:rsid w:val="573E67A8"/>
    <w:rsid w:val="57437223"/>
    <w:rsid w:val="57454D4A"/>
    <w:rsid w:val="574714D9"/>
    <w:rsid w:val="574D19C4"/>
    <w:rsid w:val="574F5BC8"/>
    <w:rsid w:val="575E6FC9"/>
    <w:rsid w:val="5765719A"/>
    <w:rsid w:val="576A2A02"/>
    <w:rsid w:val="57730263"/>
    <w:rsid w:val="577574C4"/>
    <w:rsid w:val="577D0987"/>
    <w:rsid w:val="577E05B4"/>
    <w:rsid w:val="577E64AD"/>
    <w:rsid w:val="5782419F"/>
    <w:rsid w:val="57853398"/>
    <w:rsid w:val="5789229C"/>
    <w:rsid w:val="57913BB1"/>
    <w:rsid w:val="57947C21"/>
    <w:rsid w:val="579655A5"/>
    <w:rsid w:val="57995095"/>
    <w:rsid w:val="579F72F0"/>
    <w:rsid w:val="57A203EE"/>
    <w:rsid w:val="57A557E8"/>
    <w:rsid w:val="57AA72A2"/>
    <w:rsid w:val="57AD0DA8"/>
    <w:rsid w:val="57B40121"/>
    <w:rsid w:val="57B4466D"/>
    <w:rsid w:val="57B72A76"/>
    <w:rsid w:val="57B8376D"/>
    <w:rsid w:val="57BC2B32"/>
    <w:rsid w:val="57BF2D4E"/>
    <w:rsid w:val="57C20EB7"/>
    <w:rsid w:val="57C3426C"/>
    <w:rsid w:val="57C403C1"/>
    <w:rsid w:val="57CD0385"/>
    <w:rsid w:val="57CE1F93"/>
    <w:rsid w:val="57D460CD"/>
    <w:rsid w:val="57D85BBE"/>
    <w:rsid w:val="57D9066D"/>
    <w:rsid w:val="57E176C8"/>
    <w:rsid w:val="57E36310"/>
    <w:rsid w:val="57E5652D"/>
    <w:rsid w:val="57EF25D9"/>
    <w:rsid w:val="57F347A6"/>
    <w:rsid w:val="57F64D9B"/>
    <w:rsid w:val="57F873A0"/>
    <w:rsid w:val="57FB18AC"/>
    <w:rsid w:val="57FB365A"/>
    <w:rsid w:val="57FF40B7"/>
    <w:rsid w:val="58003366"/>
    <w:rsid w:val="580746F5"/>
    <w:rsid w:val="58113055"/>
    <w:rsid w:val="58134E48"/>
    <w:rsid w:val="58254B7B"/>
    <w:rsid w:val="58262129"/>
    <w:rsid w:val="58266D31"/>
    <w:rsid w:val="58324E4B"/>
    <w:rsid w:val="584E2326"/>
    <w:rsid w:val="584E7C2E"/>
    <w:rsid w:val="58554656"/>
    <w:rsid w:val="585B234B"/>
    <w:rsid w:val="58607961"/>
    <w:rsid w:val="58672482"/>
    <w:rsid w:val="58694A68"/>
    <w:rsid w:val="586C7FBF"/>
    <w:rsid w:val="58704048"/>
    <w:rsid w:val="587358E6"/>
    <w:rsid w:val="587A6211"/>
    <w:rsid w:val="58813029"/>
    <w:rsid w:val="58847AF3"/>
    <w:rsid w:val="588743D1"/>
    <w:rsid w:val="5887701A"/>
    <w:rsid w:val="58896EB8"/>
    <w:rsid w:val="588A565D"/>
    <w:rsid w:val="588C0756"/>
    <w:rsid w:val="588D4BFA"/>
    <w:rsid w:val="588E0972"/>
    <w:rsid w:val="58900396"/>
    <w:rsid w:val="58977827"/>
    <w:rsid w:val="58985D02"/>
    <w:rsid w:val="589D2963"/>
    <w:rsid w:val="589F66DB"/>
    <w:rsid w:val="58A14202"/>
    <w:rsid w:val="58A50813"/>
    <w:rsid w:val="58A76131"/>
    <w:rsid w:val="58AC2BA6"/>
    <w:rsid w:val="58AC4CBD"/>
    <w:rsid w:val="58B008E9"/>
    <w:rsid w:val="58B101BD"/>
    <w:rsid w:val="58B23912"/>
    <w:rsid w:val="58BC728D"/>
    <w:rsid w:val="58BF6D7E"/>
    <w:rsid w:val="58C12AF6"/>
    <w:rsid w:val="58C425E6"/>
    <w:rsid w:val="58C52E9E"/>
    <w:rsid w:val="58C63CB6"/>
    <w:rsid w:val="58CE6FC1"/>
    <w:rsid w:val="58CF09EC"/>
    <w:rsid w:val="58D520FD"/>
    <w:rsid w:val="58DC348C"/>
    <w:rsid w:val="58DF11CE"/>
    <w:rsid w:val="58DF4D2A"/>
    <w:rsid w:val="58E135DE"/>
    <w:rsid w:val="58E3481A"/>
    <w:rsid w:val="58E379EF"/>
    <w:rsid w:val="58E42340"/>
    <w:rsid w:val="58E74DA8"/>
    <w:rsid w:val="58F12F18"/>
    <w:rsid w:val="58FA7DB6"/>
    <w:rsid w:val="59034EBC"/>
    <w:rsid w:val="5909228A"/>
    <w:rsid w:val="590E1F50"/>
    <w:rsid w:val="59101387"/>
    <w:rsid w:val="59181005"/>
    <w:rsid w:val="591A2206"/>
    <w:rsid w:val="591A49B2"/>
    <w:rsid w:val="591B1F9B"/>
    <w:rsid w:val="591B3EBB"/>
    <w:rsid w:val="592D018B"/>
    <w:rsid w:val="592E4385"/>
    <w:rsid w:val="59311FD3"/>
    <w:rsid w:val="5943350B"/>
    <w:rsid w:val="59451E75"/>
    <w:rsid w:val="59480B21"/>
    <w:rsid w:val="594828CF"/>
    <w:rsid w:val="594902D2"/>
    <w:rsid w:val="594A4899"/>
    <w:rsid w:val="594D25DB"/>
    <w:rsid w:val="595219A0"/>
    <w:rsid w:val="59532B55"/>
    <w:rsid w:val="595439FE"/>
    <w:rsid w:val="59545718"/>
    <w:rsid w:val="59617E35"/>
    <w:rsid w:val="5966544B"/>
    <w:rsid w:val="596671F9"/>
    <w:rsid w:val="596C0CB3"/>
    <w:rsid w:val="59705BAE"/>
    <w:rsid w:val="59747B68"/>
    <w:rsid w:val="5976568E"/>
    <w:rsid w:val="59777658"/>
    <w:rsid w:val="59777711"/>
    <w:rsid w:val="59914276"/>
    <w:rsid w:val="59927FEE"/>
    <w:rsid w:val="59986480"/>
    <w:rsid w:val="59992442"/>
    <w:rsid w:val="599B6EA3"/>
    <w:rsid w:val="59A10231"/>
    <w:rsid w:val="59A321FB"/>
    <w:rsid w:val="59B14918"/>
    <w:rsid w:val="59B241EC"/>
    <w:rsid w:val="59B461B6"/>
    <w:rsid w:val="59BE0AA6"/>
    <w:rsid w:val="59C0439F"/>
    <w:rsid w:val="59C146DB"/>
    <w:rsid w:val="59CD1026"/>
    <w:rsid w:val="59D40607"/>
    <w:rsid w:val="59D4354B"/>
    <w:rsid w:val="59DB3C9E"/>
    <w:rsid w:val="59E545C2"/>
    <w:rsid w:val="59EA1BD8"/>
    <w:rsid w:val="59F9006D"/>
    <w:rsid w:val="5A010FCF"/>
    <w:rsid w:val="5A051CCE"/>
    <w:rsid w:val="5A0B50DC"/>
    <w:rsid w:val="5A0F4038"/>
    <w:rsid w:val="5A132EDD"/>
    <w:rsid w:val="5A1629CD"/>
    <w:rsid w:val="5A1D52D1"/>
    <w:rsid w:val="5A1F4E71"/>
    <w:rsid w:val="5A290952"/>
    <w:rsid w:val="5A296BA4"/>
    <w:rsid w:val="5A3115B5"/>
    <w:rsid w:val="5A314163"/>
    <w:rsid w:val="5A327382"/>
    <w:rsid w:val="5A382944"/>
    <w:rsid w:val="5A3C13EA"/>
    <w:rsid w:val="5A3C32C0"/>
    <w:rsid w:val="5A3D4BA7"/>
    <w:rsid w:val="5A3D6ADB"/>
    <w:rsid w:val="5A3D7F5A"/>
    <w:rsid w:val="5A407A4A"/>
    <w:rsid w:val="5A4B606B"/>
    <w:rsid w:val="5A524A31"/>
    <w:rsid w:val="5A5C44A1"/>
    <w:rsid w:val="5A5C5BED"/>
    <w:rsid w:val="5A5D31A1"/>
    <w:rsid w:val="5A5F48DE"/>
    <w:rsid w:val="5A623E64"/>
    <w:rsid w:val="5A6279C1"/>
    <w:rsid w:val="5A627DA7"/>
    <w:rsid w:val="5A67192E"/>
    <w:rsid w:val="5A6951F3"/>
    <w:rsid w:val="5A696FA1"/>
    <w:rsid w:val="5A6B1B59"/>
    <w:rsid w:val="5A6F20DD"/>
    <w:rsid w:val="5A727099"/>
    <w:rsid w:val="5A792D5B"/>
    <w:rsid w:val="5A7D4234"/>
    <w:rsid w:val="5A7D47FA"/>
    <w:rsid w:val="5A8262B5"/>
    <w:rsid w:val="5A852700"/>
    <w:rsid w:val="5A8B33BB"/>
    <w:rsid w:val="5A932270"/>
    <w:rsid w:val="5A981526"/>
    <w:rsid w:val="5A9B1124"/>
    <w:rsid w:val="5AA1498D"/>
    <w:rsid w:val="5AA63D51"/>
    <w:rsid w:val="5AA75D1B"/>
    <w:rsid w:val="5AAB75B9"/>
    <w:rsid w:val="5AB04BD0"/>
    <w:rsid w:val="5AB4404E"/>
    <w:rsid w:val="5ABA5A4E"/>
    <w:rsid w:val="5ABC3575"/>
    <w:rsid w:val="5ABE2233"/>
    <w:rsid w:val="5ABE7AB0"/>
    <w:rsid w:val="5AC266B1"/>
    <w:rsid w:val="5ACC392D"/>
    <w:rsid w:val="5ACC4C85"/>
    <w:rsid w:val="5ACE4E7E"/>
    <w:rsid w:val="5AD71773"/>
    <w:rsid w:val="5AD85ED5"/>
    <w:rsid w:val="5AD97875"/>
    <w:rsid w:val="5ADA2B62"/>
    <w:rsid w:val="5ADA39FB"/>
    <w:rsid w:val="5ADD173D"/>
    <w:rsid w:val="5ADF7263"/>
    <w:rsid w:val="5AE14D89"/>
    <w:rsid w:val="5AE445AB"/>
    <w:rsid w:val="5AEF235A"/>
    <w:rsid w:val="5AF95341"/>
    <w:rsid w:val="5AF96577"/>
    <w:rsid w:val="5AFA5E4B"/>
    <w:rsid w:val="5AFF16B3"/>
    <w:rsid w:val="5AFF2821"/>
    <w:rsid w:val="5B0A2C7F"/>
    <w:rsid w:val="5B10566E"/>
    <w:rsid w:val="5B155DE7"/>
    <w:rsid w:val="5B172EA1"/>
    <w:rsid w:val="5B1761D9"/>
    <w:rsid w:val="5B1B6721"/>
    <w:rsid w:val="5B1E7D8B"/>
    <w:rsid w:val="5B247141"/>
    <w:rsid w:val="5B2C01D0"/>
    <w:rsid w:val="5B2F01EA"/>
    <w:rsid w:val="5B377EB4"/>
    <w:rsid w:val="5B3F5598"/>
    <w:rsid w:val="5B51362C"/>
    <w:rsid w:val="5B551AD3"/>
    <w:rsid w:val="5B5B5B3E"/>
    <w:rsid w:val="5B5C727B"/>
    <w:rsid w:val="5B661732"/>
    <w:rsid w:val="5B687259"/>
    <w:rsid w:val="5B7025B1"/>
    <w:rsid w:val="5B743700"/>
    <w:rsid w:val="5B762629"/>
    <w:rsid w:val="5B7A6590"/>
    <w:rsid w:val="5B9718EC"/>
    <w:rsid w:val="5B972875"/>
    <w:rsid w:val="5B9B0961"/>
    <w:rsid w:val="5B9D2EDC"/>
    <w:rsid w:val="5BA30291"/>
    <w:rsid w:val="5BA748A4"/>
    <w:rsid w:val="5BAF5E7C"/>
    <w:rsid w:val="5BB6101F"/>
    <w:rsid w:val="5BB66216"/>
    <w:rsid w:val="5BB71BBE"/>
    <w:rsid w:val="5BB73D3C"/>
    <w:rsid w:val="5BBC5C29"/>
    <w:rsid w:val="5BBE50CA"/>
    <w:rsid w:val="5BBE7366"/>
    <w:rsid w:val="5BC64949"/>
    <w:rsid w:val="5BD076CB"/>
    <w:rsid w:val="5BD14DFE"/>
    <w:rsid w:val="5BD42B40"/>
    <w:rsid w:val="5BD91F04"/>
    <w:rsid w:val="5BDF5D95"/>
    <w:rsid w:val="5BE07737"/>
    <w:rsid w:val="5BE158B6"/>
    <w:rsid w:val="5BE31E0F"/>
    <w:rsid w:val="5BEC7E8A"/>
    <w:rsid w:val="5BEF2E0C"/>
    <w:rsid w:val="5BEF690A"/>
    <w:rsid w:val="5BEF797A"/>
    <w:rsid w:val="5BF532BA"/>
    <w:rsid w:val="5BFB631F"/>
    <w:rsid w:val="5BFE6E4F"/>
    <w:rsid w:val="5BFE7528"/>
    <w:rsid w:val="5BFF3140"/>
    <w:rsid w:val="5C0056E3"/>
    <w:rsid w:val="5C074B91"/>
    <w:rsid w:val="5C1014A6"/>
    <w:rsid w:val="5C1761A2"/>
    <w:rsid w:val="5C1960A6"/>
    <w:rsid w:val="5C1D6295"/>
    <w:rsid w:val="5C205D85"/>
    <w:rsid w:val="5C21425D"/>
    <w:rsid w:val="5C221AFD"/>
    <w:rsid w:val="5C237623"/>
    <w:rsid w:val="5C2869E8"/>
    <w:rsid w:val="5C3444E4"/>
    <w:rsid w:val="5C356BFF"/>
    <w:rsid w:val="5C393362"/>
    <w:rsid w:val="5C3D06E5"/>
    <w:rsid w:val="5C474011"/>
    <w:rsid w:val="5C475B3F"/>
    <w:rsid w:val="5C49251E"/>
    <w:rsid w:val="5C4E28F2"/>
    <w:rsid w:val="5C516CB1"/>
    <w:rsid w:val="5C533A65"/>
    <w:rsid w:val="5C5A6D58"/>
    <w:rsid w:val="5C6043D4"/>
    <w:rsid w:val="5C6204C3"/>
    <w:rsid w:val="5C653E6B"/>
    <w:rsid w:val="5C78171D"/>
    <w:rsid w:val="5C797243"/>
    <w:rsid w:val="5C7D31D8"/>
    <w:rsid w:val="5C8005D2"/>
    <w:rsid w:val="5C8207EE"/>
    <w:rsid w:val="5C8C51C9"/>
    <w:rsid w:val="5C905612"/>
    <w:rsid w:val="5C912102"/>
    <w:rsid w:val="5C92471D"/>
    <w:rsid w:val="5C9B6DBC"/>
    <w:rsid w:val="5C9D3A03"/>
    <w:rsid w:val="5C9F4EFC"/>
    <w:rsid w:val="5CA60A10"/>
    <w:rsid w:val="5CA66CA6"/>
    <w:rsid w:val="5CA70254"/>
    <w:rsid w:val="5CA93FCD"/>
    <w:rsid w:val="5CAC604F"/>
    <w:rsid w:val="5CB07109"/>
    <w:rsid w:val="5CB22E1D"/>
    <w:rsid w:val="5CB564CD"/>
    <w:rsid w:val="5CB8619A"/>
    <w:rsid w:val="5CB87D6C"/>
    <w:rsid w:val="5CBC60F5"/>
    <w:rsid w:val="5CC71DD7"/>
    <w:rsid w:val="5CC901CB"/>
    <w:rsid w:val="5CD32DF8"/>
    <w:rsid w:val="5CE13766"/>
    <w:rsid w:val="5CE172C2"/>
    <w:rsid w:val="5CE70651"/>
    <w:rsid w:val="5CE95849"/>
    <w:rsid w:val="5CEE378D"/>
    <w:rsid w:val="5CF74D38"/>
    <w:rsid w:val="5D083C00"/>
    <w:rsid w:val="5D0B433F"/>
    <w:rsid w:val="5D107BA8"/>
    <w:rsid w:val="5D211242"/>
    <w:rsid w:val="5D215911"/>
    <w:rsid w:val="5D331AE8"/>
    <w:rsid w:val="5D3C274B"/>
    <w:rsid w:val="5D3F4F5B"/>
    <w:rsid w:val="5D4368DA"/>
    <w:rsid w:val="5D483E41"/>
    <w:rsid w:val="5D4C56B1"/>
    <w:rsid w:val="5D4F6922"/>
    <w:rsid w:val="5D5618F7"/>
    <w:rsid w:val="5D5C2E56"/>
    <w:rsid w:val="5D5E4DB7"/>
    <w:rsid w:val="5D5E6B65"/>
    <w:rsid w:val="5D5F28DD"/>
    <w:rsid w:val="5D645056"/>
    <w:rsid w:val="5D645DC6"/>
    <w:rsid w:val="5D7370B9"/>
    <w:rsid w:val="5D753EAF"/>
    <w:rsid w:val="5D775E79"/>
    <w:rsid w:val="5D810AA5"/>
    <w:rsid w:val="5D81328C"/>
    <w:rsid w:val="5D881E34"/>
    <w:rsid w:val="5D883BE2"/>
    <w:rsid w:val="5D8D2FA6"/>
    <w:rsid w:val="5D936A38"/>
    <w:rsid w:val="5D9407D9"/>
    <w:rsid w:val="5D942587"/>
    <w:rsid w:val="5D994523"/>
    <w:rsid w:val="5D997B9D"/>
    <w:rsid w:val="5DA16A52"/>
    <w:rsid w:val="5DA30A1C"/>
    <w:rsid w:val="5DA5144D"/>
    <w:rsid w:val="5DA52BF8"/>
    <w:rsid w:val="5DB35876"/>
    <w:rsid w:val="5DB37D2C"/>
    <w:rsid w:val="5DB83B00"/>
    <w:rsid w:val="5DBE2330"/>
    <w:rsid w:val="5DC3164B"/>
    <w:rsid w:val="5DC52FC5"/>
    <w:rsid w:val="5DC5551C"/>
    <w:rsid w:val="5DD13812"/>
    <w:rsid w:val="5DE30E18"/>
    <w:rsid w:val="5DEB7068"/>
    <w:rsid w:val="5DEE4D3F"/>
    <w:rsid w:val="5DEF0299"/>
    <w:rsid w:val="5DEF15A4"/>
    <w:rsid w:val="5DEF3C61"/>
    <w:rsid w:val="5DF203FB"/>
    <w:rsid w:val="5DF41277"/>
    <w:rsid w:val="5DFC08AB"/>
    <w:rsid w:val="5DFC49F7"/>
    <w:rsid w:val="5DFE5C52"/>
    <w:rsid w:val="5E0239AE"/>
    <w:rsid w:val="5E026C2D"/>
    <w:rsid w:val="5E056FE1"/>
    <w:rsid w:val="5E176D14"/>
    <w:rsid w:val="5E1A6CE7"/>
    <w:rsid w:val="5E1B143D"/>
    <w:rsid w:val="5E2207FD"/>
    <w:rsid w:val="5E2467F1"/>
    <w:rsid w:val="5E251431"/>
    <w:rsid w:val="5E280F21"/>
    <w:rsid w:val="5E287173"/>
    <w:rsid w:val="5E30357F"/>
    <w:rsid w:val="5E31411E"/>
    <w:rsid w:val="5E3653EC"/>
    <w:rsid w:val="5E371164"/>
    <w:rsid w:val="5E3D2C1E"/>
    <w:rsid w:val="5E3D49CC"/>
    <w:rsid w:val="5E3E6996"/>
    <w:rsid w:val="5E4A70E9"/>
    <w:rsid w:val="5E4C4C10"/>
    <w:rsid w:val="5E4E062C"/>
    <w:rsid w:val="5E563CE0"/>
    <w:rsid w:val="5E5B4E53"/>
    <w:rsid w:val="5E5E3869"/>
    <w:rsid w:val="5E6A32E8"/>
    <w:rsid w:val="5E6A778C"/>
    <w:rsid w:val="5E6E2DD8"/>
    <w:rsid w:val="5E710B1A"/>
    <w:rsid w:val="5E767EDE"/>
    <w:rsid w:val="5E8545C5"/>
    <w:rsid w:val="5E866D7C"/>
    <w:rsid w:val="5E895E64"/>
    <w:rsid w:val="5E8A398A"/>
    <w:rsid w:val="5E8B2BCC"/>
    <w:rsid w:val="5E9C1EE2"/>
    <w:rsid w:val="5EA06D09"/>
    <w:rsid w:val="5EAB3A07"/>
    <w:rsid w:val="5EAC644A"/>
    <w:rsid w:val="5EAD47D3"/>
    <w:rsid w:val="5EB17168"/>
    <w:rsid w:val="5EB86772"/>
    <w:rsid w:val="5EC0115A"/>
    <w:rsid w:val="5EC05B97"/>
    <w:rsid w:val="5EC155FD"/>
    <w:rsid w:val="5ECD53B6"/>
    <w:rsid w:val="5EDA046D"/>
    <w:rsid w:val="5EDD1D0C"/>
    <w:rsid w:val="5EDD546C"/>
    <w:rsid w:val="5EE40830"/>
    <w:rsid w:val="5EED2CA8"/>
    <w:rsid w:val="5EFB70EB"/>
    <w:rsid w:val="5EFC0A8E"/>
    <w:rsid w:val="5EFC1E95"/>
    <w:rsid w:val="5EFC6636"/>
    <w:rsid w:val="5F066F8F"/>
    <w:rsid w:val="5F072679"/>
    <w:rsid w:val="5F0B0627"/>
    <w:rsid w:val="5F13572D"/>
    <w:rsid w:val="5F1514A5"/>
    <w:rsid w:val="5F1A2B43"/>
    <w:rsid w:val="5F1E4CDA"/>
    <w:rsid w:val="5F24793A"/>
    <w:rsid w:val="5F494EE8"/>
    <w:rsid w:val="5F4C0C3F"/>
    <w:rsid w:val="5F533996"/>
    <w:rsid w:val="5F555D46"/>
    <w:rsid w:val="5F574BF4"/>
    <w:rsid w:val="5F5B21A9"/>
    <w:rsid w:val="5F622E25"/>
    <w:rsid w:val="5F6441DB"/>
    <w:rsid w:val="5F69359F"/>
    <w:rsid w:val="5F697E94"/>
    <w:rsid w:val="5F6D308F"/>
    <w:rsid w:val="5F6D7533"/>
    <w:rsid w:val="5F7372C9"/>
    <w:rsid w:val="5F775CBC"/>
    <w:rsid w:val="5F8108E9"/>
    <w:rsid w:val="5F830B05"/>
    <w:rsid w:val="5F832A75"/>
    <w:rsid w:val="5F841C80"/>
    <w:rsid w:val="5F866165"/>
    <w:rsid w:val="5F881C77"/>
    <w:rsid w:val="5F886CD3"/>
    <w:rsid w:val="5F8B79B9"/>
    <w:rsid w:val="5F8E3006"/>
    <w:rsid w:val="5F920D48"/>
    <w:rsid w:val="5F93686E"/>
    <w:rsid w:val="5F9422B9"/>
    <w:rsid w:val="5F9C361C"/>
    <w:rsid w:val="5FA3544C"/>
    <w:rsid w:val="5FA36AB1"/>
    <w:rsid w:val="5FA42829"/>
    <w:rsid w:val="5FA55D24"/>
    <w:rsid w:val="5FA911F0"/>
    <w:rsid w:val="5FA97E40"/>
    <w:rsid w:val="5FB213EA"/>
    <w:rsid w:val="5FB32A6C"/>
    <w:rsid w:val="5FB4398F"/>
    <w:rsid w:val="5FB837BB"/>
    <w:rsid w:val="5FBC7B73"/>
    <w:rsid w:val="5FC133DB"/>
    <w:rsid w:val="5FC5111D"/>
    <w:rsid w:val="5FCB425A"/>
    <w:rsid w:val="5FCB6008"/>
    <w:rsid w:val="5FD037A9"/>
    <w:rsid w:val="5FD62369"/>
    <w:rsid w:val="5FD70E51"/>
    <w:rsid w:val="5FD9212E"/>
    <w:rsid w:val="5FE377F5"/>
    <w:rsid w:val="5FE550F4"/>
    <w:rsid w:val="5FE62499"/>
    <w:rsid w:val="5FF4555F"/>
    <w:rsid w:val="5FFB7934"/>
    <w:rsid w:val="5FFC2665"/>
    <w:rsid w:val="5FFC4413"/>
    <w:rsid w:val="5FFF71C4"/>
    <w:rsid w:val="600A4D82"/>
    <w:rsid w:val="600C0AFA"/>
    <w:rsid w:val="600F2BB9"/>
    <w:rsid w:val="601640DC"/>
    <w:rsid w:val="601B0D3D"/>
    <w:rsid w:val="601B6F8F"/>
    <w:rsid w:val="601E438A"/>
    <w:rsid w:val="60213E7A"/>
    <w:rsid w:val="602C2F4B"/>
    <w:rsid w:val="602E29D0"/>
    <w:rsid w:val="60327E35"/>
    <w:rsid w:val="60337DCE"/>
    <w:rsid w:val="6037369D"/>
    <w:rsid w:val="603911C4"/>
    <w:rsid w:val="60430294"/>
    <w:rsid w:val="604E70E3"/>
    <w:rsid w:val="604F6C39"/>
    <w:rsid w:val="60502F9C"/>
    <w:rsid w:val="60522285"/>
    <w:rsid w:val="60545FFD"/>
    <w:rsid w:val="605932A0"/>
    <w:rsid w:val="605B55AF"/>
    <w:rsid w:val="605E0C2A"/>
    <w:rsid w:val="606B4403"/>
    <w:rsid w:val="606C02F6"/>
    <w:rsid w:val="606D6C2A"/>
    <w:rsid w:val="607367C5"/>
    <w:rsid w:val="607611B6"/>
    <w:rsid w:val="60787F3E"/>
    <w:rsid w:val="608027D0"/>
    <w:rsid w:val="60895068"/>
    <w:rsid w:val="608F04AC"/>
    <w:rsid w:val="60911000"/>
    <w:rsid w:val="60917251"/>
    <w:rsid w:val="609522C0"/>
    <w:rsid w:val="60964868"/>
    <w:rsid w:val="609863C9"/>
    <w:rsid w:val="60B13450"/>
    <w:rsid w:val="60B60A66"/>
    <w:rsid w:val="60B7289E"/>
    <w:rsid w:val="60B91215"/>
    <w:rsid w:val="60BD21F3"/>
    <w:rsid w:val="60C519D6"/>
    <w:rsid w:val="60C82DAE"/>
    <w:rsid w:val="60C9117F"/>
    <w:rsid w:val="60CC405A"/>
    <w:rsid w:val="60D40EEC"/>
    <w:rsid w:val="60D847A8"/>
    <w:rsid w:val="60E71F1C"/>
    <w:rsid w:val="60EA2253"/>
    <w:rsid w:val="60F021CA"/>
    <w:rsid w:val="60F15F42"/>
    <w:rsid w:val="60F2357F"/>
    <w:rsid w:val="60F33A68"/>
    <w:rsid w:val="6104788F"/>
    <w:rsid w:val="6109328C"/>
    <w:rsid w:val="610C68D8"/>
    <w:rsid w:val="610D7308"/>
    <w:rsid w:val="611A7247"/>
    <w:rsid w:val="611B4D6D"/>
    <w:rsid w:val="611C2FBF"/>
    <w:rsid w:val="611F485D"/>
    <w:rsid w:val="612B4CC9"/>
    <w:rsid w:val="612C7AFC"/>
    <w:rsid w:val="613068C2"/>
    <w:rsid w:val="61306A6A"/>
    <w:rsid w:val="6131633F"/>
    <w:rsid w:val="6134408D"/>
    <w:rsid w:val="613646DB"/>
    <w:rsid w:val="613876CD"/>
    <w:rsid w:val="613A1697"/>
    <w:rsid w:val="61412A26"/>
    <w:rsid w:val="61447E20"/>
    <w:rsid w:val="61475B62"/>
    <w:rsid w:val="614E0E7A"/>
    <w:rsid w:val="615640F5"/>
    <w:rsid w:val="61564461"/>
    <w:rsid w:val="61646714"/>
    <w:rsid w:val="61652857"/>
    <w:rsid w:val="61652F93"/>
    <w:rsid w:val="617310B0"/>
    <w:rsid w:val="61733AD5"/>
    <w:rsid w:val="617A5F38"/>
    <w:rsid w:val="61831438"/>
    <w:rsid w:val="61831EE9"/>
    <w:rsid w:val="61880654"/>
    <w:rsid w:val="618C324A"/>
    <w:rsid w:val="61942060"/>
    <w:rsid w:val="619A2136"/>
    <w:rsid w:val="61A223F1"/>
    <w:rsid w:val="61A905CB"/>
    <w:rsid w:val="61AB60F1"/>
    <w:rsid w:val="61BD395C"/>
    <w:rsid w:val="61C40F61"/>
    <w:rsid w:val="61C44263"/>
    <w:rsid w:val="61C62F2B"/>
    <w:rsid w:val="61D5316E"/>
    <w:rsid w:val="61DA69D6"/>
    <w:rsid w:val="61DE3133"/>
    <w:rsid w:val="61E15FB7"/>
    <w:rsid w:val="61E215D8"/>
    <w:rsid w:val="61E30741"/>
    <w:rsid w:val="61ED04B8"/>
    <w:rsid w:val="61FB0E26"/>
    <w:rsid w:val="620121B5"/>
    <w:rsid w:val="62033AED"/>
    <w:rsid w:val="620922B7"/>
    <w:rsid w:val="620D6DAC"/>
    <w:rsid w:val="6215177B"/>
    <w:rsid w:val="621973D7"/>
    <w:rsid w:val="621B3277"/>
    <w:rsid w:val="621B3775"/>
    <w:rsid w:val="621B60AF"/>
    <w:rsid w:val="621C1871"/>
    <w:rsid w:val="621C616D"/>
    <w:rsid w:val="622444B3"/>
    <w:rsid w:val="62255EA3"/>
    <w:rsid w:val="62287742"/>
    <w:rsid w:val="62364782"/>
    <w:rsid w:val="623A28EB"/>
    <w:rsid w:val="62436329"/>
    <w:rsid w:val="624520A2"/>
    <w:rsid w:val="624B1238"/>
    <w:rsid w:val="624B4CB3"/>
    <w:rsid w:val="62514EEA"/>
    <w:rsid w:val="625F6176"/>
    <w:rsid w:val="62652744"/>
    <w:rsid w:val="626562A0"/>
    <w:rsid w:val="62764A6F"/>
    <w:rsid w:val="6277164E"/>
    <w:rsid w:val="627E2DC3"/>
    <w:rsid w:val="62884524"/>
    <w:rsid w:val="628A03FC"/>
    <w:rsid w:val="628C1A7E"/>
    <w:rsid w:val="6293585D"/>
    <w:rsid w:val="62944DD7"/>
    <w:rsid w:val="629848C7"/>
    <w:rsid w:val="629A2B7E"/>
    <w:rsid w:val="629E5BFD"/>
    <w:rsid w:val="62A52B40"/>
    <w:rsid w:val="62A768B8"/>
    <w:rsid w:val="62AD7C47"/>
    <w:rsid w:val="62AF1C11"/>
    <w:rsid w:val="62B53519"/>
    <w:rsid w:val="62B66AFB"/>
    <w:rsid w:val="62B8569B"/>
    <w:rsid w:val="62C37E0F"/>
    <w:rsid w:val="62C63B33"/>
    <w:rsid w:val="62C95C4A"/>
    <w:rsid w:val="62D23905"/>
    <w:rsid w:val="62D84CC4"/>
    <w:rsid w:val="62D963D1"/>
    <w:rsid w:val="62DB7D3A"/>
    <w:rsid w:val="62E0626E"/>
    <w:rsid w:val="62EE44E7"/>
    <w:rsid w:val="62F13FD7"/>
    <w:rsid w:val="62F835B8"/>
    <w:rsid w:val="62FC765F"/>
    <w:rsid w:val="62FE04A2"/>
    <w:rsid w:val="630006BE"/>
    <w:rsid w:val="63091321"/>
    <w:rsid w:val="630A5099"/>
    <w:rsid w:val="630B32EB"/>
    <w:rsid w:val="630C72F6"/>
    <w:rsid w:val="631210AD"/>
    <w:rsid w:val="631303F2"/>
    <w:rsid w:val="6315416A"/>
    <w:rsid w:val="631F6D97"/>
    <w:rsid w:val="6320666B"/>
    <w:rsid w:val="63253C81"/>
    <w:rsid w:val="632C3261"/>
    <w:rsid w:val="632E2DB8"/>
    <w:rsid w:val="63380AEB"/>
    <w:rsid w:val="63414F5F"/>
    <w:rsid w:val="634A44A7"/>
    <w:rsid w:val="634C3904"/>
    <w:rsid w:val="635C51E4"/>
    <w:rsid w:val="63730E90"/>
    <w:rsid w:val="637A221F"/>
    <w:rsid w:val="63807109"/>
    <w:rsid w:val="638766EA"/>
    <w:rsid w:val="638906B4"/>
    <w:rsid w:val="638B00E1"/>
    <w:rsid w:val="63902AC3"/>
    <w:rsid w:val="6394356A"/>
    <w:rsid w:val="63974B7F"/>
    <w:rsid w:val="63991833"/>
    <w:rsid w:val="63A01BDB"/>
    <w:rsid w:val="63A159FD"/>
    <w:rsid w:val="63A3623F"/>
    <w:rsid w:val="63A759EE"/>
    <w:rsid w:val="63AA01F8"/>
    <w:rsid w:val="63AD1399"/>
    <w:rsid w:val="63BE035D"/>
    <w:rsid w:val="63C139AA"/>
    <w:rsid w:val="63C616CA"/>
    <w:rsid w:val="63C61B2C"/>
    <w:rsid w:val="63CE4319"/>
    <w:rsid w:val="63CF1F67"/>
    <w:rsid w:val="63D40A38"/>
    <w:rsid w:val="63D40BE9"/>
    <w:rsid w:val="63D748EB"/>
    <w:rsid w:val="63DA24DC"/>
    <w:rsid w:val="63DF2082"/>
    <w:rsid w:val="63E853DA"/>
    <w:rsid w:val="63EB16DA"/>
    <w:rsid w:val="63F342EB"/>
    <w:rsid w:val="63F45E84"/>
    <w:rsid w:val="63F91396"/>
    <w:rsid w:val="63FB2B9B"/>
    <w:rsid w:val="63FF2724"/>
    <w:rsid w:val="640A1EDC"/>
    <w:rsid w:val="640F7046"/>
    <w:rsid w:val="6410048D"/>
    <w:rsid w:val="64102431"/>
    <w:rsid w:val="64104A9D"/>
    <w:rsid w:val="64107534"/>
    <w:rsid w:val="64122457"/>
    <w:rsid w:val="64177A6E"/>
    <w:rsid w:val="64185CC9"/>
    <w:rsid w:val="641A4ACF"/>
    <w:rsid w:val="641E704E"/>
    <w:rsid w:val="642122C3"/>
    <w:rsid w:val="64213E18"/>
    <w:rsid w:val="642301C1"/>
    <w:rsid w:val="6429154F"/>
    <w:rsid w:val="642975A4"/>
    <w:rsid w:val="642E1181"/>
    <w:rsid w:val="642E73FF"/>
    <w:rsid w:val="642F125B"/>
    <w:rsid w:val="643530A3"/>
    <w:rsid w:val="64396923"/>
    <w:rsid w:val="644C3BBB"/>
    <w:rsid w:val="644D7933"/>
    <w:rsid w:val="644F5459"/>
    <w:rsid w:val="644F5980"/>
    <w:rsid w:val="645962D8"/>
    <w:rsid w:val="645A795A"/>
    <w:rsid w:val="645E4796"/>
    <w:rsid w:val="64607667"/>
    <w:rsid w:val="64630F05"/>
    <w:rsid w:val="64654C7D"/>
    <w:rsid w:val="646F78AA"/>
    <w:rsid w:val="64754DD6"/>
    <w:rsid w:val="6477516F"/>
    <w:rsid w:val="6477675E"/>
    <w:rsid w:val="647A1DAB"/>
    <w:rsid w:val="647D7177"/>
    <w:rsid w:val="6481138B"/>
    <w:rsid w:val="6485595E"/>
    <w:rsid w:val="6486408C"/>
    <w:rsid w:val="648C220A"/>
    <w:rsid w:val="649015CE"/>
    <w:rsid w:val="649303EC"/>
    <w:rsid w:val="649738D0"/>
    <w:rsid w:val="649746A3"/>
    <w:rsid w:val="649851D8"/>
    <w:rsid w:val="649C61C5"/>
    <w:rsid w:val="649D360A"/>
    <w:rsid w:val="649E018F"/>
    <w:rsid w:val="649F16D8"/>
    <w:rsid w:val="649F37A3"/>
    <w:rsid w:val="64A05CB5"/>
    <w:rsid w:val="64A37553"/>
    <w:rsid w:val="64A5243A"/>
    <w:rsid w:val="64A55079"/>
    <w:rsid w:val="64A62789"/>
    <w:rsid w:val="64A64D5A"/>
    <w:rsid w:val="64A77044"/>
    <w:rsid w:val="64AC17B9"/>
    <w:rsid w:val="64AC465A"/>
    <w:rsid w:val="64AD25BC"/>
    <w:rsid w:val="64B67287"/>
    <w:rsid w:val="64B81251"/>
    <w:rsid w:val="64BA03AB"/>
    <w:rsid w:val="64BC23C3"/>
    <w:rsid w:val="64C179D9"/>
    <w:rsid w:val="64CA2D32"/>
    <w:rsid w:val="64CD1CA4"/>
    <w:rsid w:val="64CD4695"/>
    <w:rsid w:val="64CF659A"/>
    <w:rsid w:val="64D4595F"/>
    <w:rsid w:val="64D63485"/>
    <w:rsid w:val="64DD6316"/>
    <w:rsid w:val="64E742EF"/>
    <w:rsid w:val="64EE5D01"/>
    <w:rsid w:val="64EF09EB"/>
    <w:rsid w:val="64F32289"/>
    <w:rsid w:val="64F531DE"/>
    <w:rsid w:val="64FF0BBB"/>
    <w:rsid w:val="65071890"/>
    <w:rsid w:val="650E70C3"/>
    <w:rsid w:val="650F4EDC"/>
    <w:rsid w:val="650F65D3"/>
    <w:rsid w:val="65102E3B"/>
    <w:rsid w:val="651657E5"/>
    <w:rsid w:val="65197815"/>
    <w:rsid w:val="651F7378"/>
    <w:rsid w:val="65202952"/>
    <w:rsid w:val="65295CAB"/>
    <w:rsid w:val="652A557F"/>
    <w:rsid w:val="652C7549"/>
    <w:rsid w:val="65306AE1"/>
    <w:rsid w:val="65332685"/>
    <w:rsid w:val="65373578"/>
    <w:rsid w:val="653B59DE"/>
    <w:rsid w:val="653F727C"/>
    <w:rsid w:val="65444892"/>
    <w:rsid w:val="654523B9"/>
    <w:rsid w:val="654E74BF"/>
    <w:rsid w:val="654F0FE3"/>
    <w:rsid w:val="654F5A4C"/>
    <w:rsid w:val="655536E6"/>
    <w:rsid w:val="655A40B6"/>
    <w:rsid w:val="655A5E64"/>
    <w:rsid w:val="655B2009"/>
    <w:rsid w:val="655E2041"/>
    <w:rsid w:val="6561698E"/>
    <w:rsid w:val="65617242"/>
    <w:rsid w:val="65660F6D"/>
    <w:rsid w:val="6569254B"/>
    <w:rsid w:val="65692B1C"/>
    <w:rsid w:val="656960A7"/>
    <w:rsid w:val="656D3290"/>
    <w:rsid w:val="656D3CD1"/>
    <w:rsid w:val="656E047F"/>
    <w:rsid w:val="656E0C7A"/>
    <w:rsid w:val="657E22DE"/>
    <w:rsid w:val="65815AE7"/>
    <w:rsid w:val="658253BB"/>
    <w:rsid w:val="658C5A86"/>
    <w:rsid w:val="658E3D60"/>
    <w:rsid w:val="6592735C"/>
    <w:rsid w:val="65965345"/>
    <w:rsid w:val="659D4E73"/>
    <w:rsid w:val="65A47F8A"/>
    <w:rsid w:val="65A645AF"/>
    <w:rsid w:val="65A65C46"/>
    <w:rsid w:val="65A72808"/>
    <w:rsid w:val="65A93AEA"/>
    <w:rsid w:val="65AA7631"/>
    <w:rsid w:val="65AB4911"/>
    <w:rsid w:val="65AC2438"/>
    <w:rsid w:val="65AF2C6B"/>
    <w:rsid w:val="65B512EC"/>
    <w:rsid w:val="65BA2DA7"/>
    <w:rsid w:val="65C32374"/>
    <w:rsid w:val="65D21085"/>
    <w:rsid w:val="65DC2D1D"/>
    <w:rsid w:val="65E87914"/>
    <w:rsid w:val="65FF4C5D"/>
    <w:rsid w:val="66070894"/>
    <w:rsid w:val="660A3C7B"/>
    <w:rsid w:val="66106E6A"/>
    <w:rsid w:val="66174AF9"/>
    <w:rsid w:val="66233D26"/>
    <w:rsid w:val="6626043C"/>
    <w:rsid w:val="66292807"/>
    <w:rsid w:val="663223A4"/>
    <w:rsid w:val="66377F53"/>
    <w:rsid w:val="663E5786"/>
    <w:rsid w:val="663F14FE"/>
    <w:rsid w:val="66466D76"/>
    <w:rsid w:val="66495ED8"/>
    <w:rsid w:val="66506E21"/>
    <w:rsid w:val="6656125F"/>
    <w:rsid w:val="665777F9"/>
    <w:rsid w:val="66611474"/>
    <w:rsid w:val="66643459"/>
    <w:rsid w:val="666B0E37"/>
    <w:rsid w:val="666F593F"/>
    <w:rsid w:val="667165ED"/>
    <w:rsid w:val="667271DD"/>
    <w:rsid w:val="66744292"/>
    <w:rsid w:val="6678592C"/>
    <w:rsid w:val="668276A8"/>
    <w:rsid w:val="66837358"/>
    <w:rsid w:val="668B64F1"/>
    <w:rsid w:val="668F5F71"/>
    <w:rsid w:val="66903B07"/>
    <w:rsid w:val="669435F8"/>
    <w:rsid w:val="669C425A"/>
    <w:rsid w:val="66A001EE"/>
    <w:rsid w:val="66A02FE8"/>
    <w:rsid w:val="66A3766A"/>
    <w:rsid w:val="66A6332B"/>
    <w:rsid w:val="66A650D9"/>
    <w:rsid w:val="66AD68DD"/>
    <w:rsid w:val="66B50838"/>
    <w:rsid w:val="66B6356E"/>
    <w:rsid w:val="66B867E0"/>
    <w:rsid w:val="66C0263F"/>
    <w:rsid w:val="66C043ED"/>
    <w:rsid w:val="66C20165"/>
    <w:rsid w:val="66C32DAD"/>
    <w:rsid w:val="66CA300B"/>
    <w:rsid w:val="66CA7019"/>
    <w:rsid w:val="66CE11E4"/>
    <w:rsid w:val="66D858F9"/>
    <w:rsid w:val="66D94A3B"/>
    <w:rsid w:val="66DC3669"/>
    <w:rsid w:val="66DE4873"/>
    <w:rsid w:val="66E04A8F"/>
    <w:rsid w:val="66E574E4"/>
    <w:rsid w:val="66EE2460"/>
    <w:rsid w:val="670818F0"/>
    <w:rsid w:val="670F249D"/>
    <w:rsid w:val="671604B0"/>
    <w:rsid w:val="671A3A1E"/>
    <w:rsid w:val="671D498D"/>
    <w:rsid w:val="671F124A"/>
    <w:rsid w:val="6720582B"/>
    <w:rsid w:val="672160BF"/>
    <w:rsid w:val="67246C2F"/>
    <w:rsid w:val="67283D40"/>
    <w:rsid w:val="67303415"/>
    <w:rsid w:val="673426E5"/>
    <w:rsid w:val="67380427"/>
    <w:rsid w:val="673D1556"/>
    <w:rsid w:val="673D5A3D"/>
    <w:rsid w:val="673D6B88"/>
    <w:rsid w:val="673F7A07"/>
    <w:rsid w:val="6744501E"/>
    <w:rsid w:val="674566A0"/>
    <w:rsid w:val="674C076E"/>
    <w:rsid w:val="674C3ED2"/>
    <w:rsid w:val="674E0FD2"/>
    <w:rsid w:val="675114E9"/>
    <w:rsid w:val="67515045"/>
    <w:rsid w:val="6759039D"/>
    <w:rsid w:val="675A500F"/>
    <w:rsid w:val="676034DA"/>
    <w:rsid w:val="67670D0C"/>
    <w:rsid w:val="67696832"/>
    <w:rsid w:val="676B36AE"/>
    <w:rsid w:val="676C00D0"/>
    <w:rsid w:val="6773145F"/>
    <w:rsid w:val="6774612A"/>
    <w:rsid w:val="677671A1"/>
    <w:rsid w:val="67791B28"/>
    <w:rsid w:val="677A27ED"/>
    <w:rsid w:val="677A33C6"/>
    <w:rsid w:val="677C00AB"/>
    <w:rsid w:val="677E1BB2"/>
    <w:rsid w:val="6784366C"/>
    <w:rsid w:val="67871E57"/>
    <w:rsid w:val="67874F0A"/>
    <w:rsid w:val="6792321C"/>
    <w:rsid w:val="67B11C5B"/>
    <w:rsid w:val="67BA2A29"/>
    <w:rsid w:val="67BF6452"/>
    <w:rsid w:val="67C1306B"/>
    <w:rsid w:val="67C13389"/>
    <w:rsid w:val="67C223E6"/>
    <w:rsid w:val="67CC4DBC"/>
    <w:rsid w:val="67D0065F"/>
    <w:rsid w:val="67D068B1"/>
    <w:rsid w:val="67E40D2E"/>
    <w:rsid w:val="67E710AD"/>
    <w:rsid w:val="67EC2600"/>
    <w:rsid w:val="67EE5231"/>
    <w:rsid w:val="67F73E3E"/>
    <w:rsid w:val="67F95C46"/>
    <w:rsid w:val="67FA392E"/>
    <w:rsid w:val="68045EB2"/>
    <w:rsid w:val="680E2F36"/>
    <w:rsid w:val="68120C78"/>
    <w:rsid w:val="68155815"/>
    <w:rsid w:val="681744E0"/>
    <w:rsid w:val="68183DB4"/>
    <w:rsid w:val="68190088"/>
    <w:rsid w:val="681F6961"/>
    <w:rsid w:val="68211651"/>
    <w:rsid w:val="682164D1"/>
    <w:rsid w:val="682C160E"/>
    <w:rsid w:val="682E5ACE"/>
    <w:rsid w:val="68351F53"/>
    <w:rsid w:val="683A01CF"/>
    <w:rsid w:val="683A42B1"/>
    <w:rsid w:val="683C3F47"/>
    <w:rsid w:val="683E6628"/>
    <w:rsid w:val="68413EEA"/>
    <w:rsid w:val="684150B9"/>
    <w:rsid w:val="68456A72"/>
    <w:rsid w:val="684D3A5E"/>
    <w:rsid w:val="6852376A"/>
    <w:rsid w:val="68584A6B"/>
    <w:rsid w:val="685A617B"/>
    <w:rsid w:val="685E3F02"/>
    <w:rsid w:val="68610A2F"/>
    <w:rsid w:val="68623D98"/>
    <w:rsid w:val="686B65DA"/>
    <w:rsid w:val="686F60CA"/>
    <w:rsid w:val="686F716C"/>
    <w:rsid w:val="68715612"/>
    <w:rsid w:val="68715CE9"/>
    <w:rsid w:val="6877013E"/>
    <w:rsid w:val="68784853"/>
    <w:rsid w:val="687A681D"/>
    <w:rsid w:val="687D6827"/>
    <w:rsid w:val="68805514"/>
    <w:rsid w:val="68831B76"/>
    <w:rsid w:val="68833924"/>
    <w:rsid w:val="688E1D41"/>
    <w:rsid w:val="689C2C37"/>
    <w:rsid w:val="689F6DBD"/>
    <w:rsid w:val="68A33FC6"/>
    <w:rsid w:val="68AA1EC4"/>
    <w:rsid w:val="68B03FED"/>
    <w:rsid w:val="68B24209"/>
    <w:rsid w:val="68B2580D"/>
    <w:rsid w:val="68B4049D"/>
    <w:rsid w:val="68B910F3"/>
    <w:rsid w:val="68C03542"/>
    <w:rsid w:val="68C10D09"/>
    <w:rsid w:val="68C55CEA"/>
    <w:rsid w:val="68C61A62"/>
    <w:rsid w:val="68C66006"/>
    <w:rsid w:val="68D8264B"/>
    <w:rsid w:val="68D91796"/>
    <w:rsid w:val="68D93E6E"/>
    <w:rsid w:val="68E1064A"/>
    <w:rsid w:val="68E21FF0"/>
    <w:rsid w:val="68E24AEE"/>
    <w:rsid w:val="68E31558"/>
    <w:rsid w:val="68E76220"/>
    <w:rsid w:val="68EA39A3"/>
    <w:rsid w:val="68EC49A5"/>
    <w:rsid w:val="68EF3FEF"/>
    <w:rsid w:val="68F1279D"/>
    <w:rsid w:val="68F53477"/>
    <w:rsid w:val="68F637A3"/>
    <w:rsid w:val="69006820"/>
    <w:rsid w:val="69006D22"/>
    <w:rsid w:val="690C1B6B"/>
    <w:rsid w:val="690F3409"/>
    <w:rsid w:val="69110F2F"/>
    <w:rsid w:val="691652C0"/>
    <w:rsid w:val="691D372D"/>
    <w:rsid w:val="691D3B46"/>
    <w:rsid w:val="691F0AA3"/>
    <w:rsid w:val="691F1ACC"/>
    <w:rsid w:val="692073C4"/>
    <w:rsid w:val="69232A11"/>
    <w:rsid w:val="69252C2D"/>
    <w:rsid w:val="692C53C1"/>
    <w:rsid w:val="692C5D69"/>
    <w:rsid w:val="69313380"/>
    <w:rsid w:val="69316E2F"/>
    <w:rsid w:val="693E784B"/>
    <w:rsid w:val="6942733B"/>
    <w:rsid w:val="694A1418"/>
    <w:rsid w:val="694E2071"/>
    <w:rsid w:val="695236E0"/>
    <w:rsid w:val="695452C0"/>
    <w:rsid w:val="69621026"/>
    <w:rsid w:val="696A6892"/>
    <w:rsid w:val="697158B0"/>
    <w:rsid w:val="6975068F"/>
    <w:rsid w:val="69750BB0"/>
    <w:rsid w:val="69766163"/>
    <w:rsid w:val="697A3B33"/>
    <w:rsid w:val="697D4817"/>
    <w:rsid w:val="698060B5"/>
    <w:rsid w:val="698A6F34"/>
    <w:rsid w:val="698C01F4"/>
    <w:rsid w:val="698C4A5A"/>
    <w:rsid w:val="698E07D2"/>
    <w:rsid w:val="698E0D6B"/>
    <w:rsid w:val="69937B96"/>
    <w:rsid w:val="69992CD3"/>
    <w:rsid w:val="699F653B"/>
    <w:rsid w:val="69A55B1C"/>
    <w:rsid w:val="69AE2E8F"/>
    <w:rsid w:val="69B47B0D"/>
    <w:rsid w:val="69B658FA"/>
    <w:rsid w:val="69BD4C13"/>
    <w:rsid w:val="69C53AC8"/>
    <w:rsid w:val="69D00818"/>
    <w:rsid w:val="69D34437"/>
    <w:rsid w:val="69D41F5D"/>
    <w:rsid w:val="69D44760"/>
    <w:rsid w:val="69D73C9D"/>
    <w:rsid w:val="69DF0CAE"/>
    <w:rsid w:val="69E03D0C"/>
    <w:rsid w:val="69F66377"/>
    <w:rsid w:val="69FB12B4"/>
    <w:rsid w:val="6A070584"/>
    <w:rsid w:val="6A085EF7"/>
    <w:rsid w:val="6A0C7949"/>
    <w:rsid w:val="6A110E0D"/>
    <w:rsid w:val="6A114F5F"/>
    <w:rsid w:val="6A1231B1"/>
    <w:rsid w:val="6A18009C"/>
    <w:rsid w:val="6A1A2C16"/>
    <w:rsid w:val="6A1C7D59"/>
    <w:rsid w:val="6A1D56B2"/>
    <w:rsid w:val="6A1D608B"/>
    <w:rsid w:val="6A1F58CE"/>
    <w:rsid w:val="6A2151A2"/>
    <w:rsid w:val="6A247F9D"/>
    <w:rsid w:val="6A2858CA"/>
    <w:rsid w:val="6A2B5052"/>
    <w:rsid w:val="6A3179FB"/>
    <w:rsid w:val="6A367131"/>
    <w:rsid w:val="6A393D2D"/>
    <w:rsid w:val="6A3F387A"/>
    <w:rsid w:val="6A437567"/>
    <w:rsid w:val="6A4469CB"/>
    <w:rsid w:val="6A4C294C"/>
    <w:rsid w:val="6A505A87"/>
    <w:rsid w:val="6A520EC7"/>
    <w:rsid w:val="6A521800"/>
    <w:rsid w:val="6A570BC4"/>
    <w:rsid w:val="6A58341E"/>
    <w:rsid w:val="6A5923BA"/>
    <w:rsid w:val="6A5F5312"/>
    <w:rsid w:val="6A600297"/>
    <w:rsid w:val="6A644E25"/>
    <w:rsid w:val="6A6B7163"/>
    <w:rsid w:val="6A6D78F5"/>
    <w:rsid w:val="6A6D7C61"/>
    <w:rsid w:val="6A6F052B"/>
    <w:rsid w:val="6A7379C8"/>
    <w:rsid w:val="6A7C4ACE"/>
    <w:rsid w:val="6A883473"/>
    <w:rsid w:val="6A892D47"/>
    <w:rsid w:val="6A8B520E"/>
    <w:rsid w:val="6A8C33E7"/>
    <w:rsid w:val="6A935974"/>
    <w:rsid w:val="6A9A4F55"/>
    <w:rsid w:val="6AA06A0F"/>
    <w:rsid w:val="6AA241F2"/>
    <w:rsid w:val="6AA66AB5"/>
    <w:rsid w:val="6AAA163C"/>
    <w:rsid w:val="6AAD425D"/>
    <w:rsid w:val="6AAF6C52"/>
    <w:rsid w:val="6AB51D8E"/>
    <w:rsid w:val="6AB54568"/>
    <w:rsid w:val="6AB749AB"/>
    <w:rsid w:val="6AB75B07"/>
    <w:rsid w:val="6AB97AD1"/>
    <w:rsid w:val="6ABA6B4B"/>
    <w:rsid w:val="6ABB6223"/>
    <w:rsid w:val="6AC00E5F"/>
    <w:rsid w:val="6AC67AF8"/>
    <w:rsid w:val="6ACD70D8"/>
    <w:rsid w:val="6AD06BC8"/>
    <w:rsid w:val="6AD1632C"/>
    <w:rsid w:val="6AD472F2"/>
    <w:rsid w:val="6ADA17F5"/>
    <w:rsid w:val="6AE34B4E"/>
    <w:rsid w:val="6AE82164"/>
    <w:rsid w:val="6AF87E20"/>
    <w:rsid w:val="6AFB3C45"/>
    <w:rsid w:val="6B0548C4"/>
    <w:rsid w:val="6B056872"/>
    <w:rsid w:val="6B0D1BCA"/>
    <w:rsid w:val="6B251DCB"/>
    <w:rsid w:val="6B277C64"/>
    <w:rsid w:val="6B2807B2"/>
    <w:rsid w:val="6B316C7D"/>
    <w:rsid w:val="6B317667"/>
    <w:rsid w:val="6B322639"/>
    <w:rsid w:val="6B347553"/>
    <w:rsid w:val="6B3562DC"/>
    <w:rsid w:val="6B3A4ABE"/>
    <w:rsid w:val="6B3A7059"/>
    <w:rsid w:val="6B3B04E6"/>
    <w:rsid w:val="6B453112"/>
    <w:rsid w:val="6B480E55"/>
    <w:rsid w:val="6B485F70"/>
    <w:rsid w:val="6B4E646B"/>
    <w:rsid w:val="6B56531F"/>
    <w:rsid w:val="6B580F0F"/>
    <w:rsid w:val="6B5F2BBA"/>
    <w:rsid w:val="6B686544"/>
    <w:rsid w:val="6B712159"/>
    <w:rsid w:val="6B741C4A"/>
    <w:rsid w:val="6B750753"/>
    <w:rsid w:val="6B7D0AFE"/>
    <w:rsid w:val="6B824366"/>
    <w:rsid w:val="6B84284F"/>
    <w:rsid w:val="6B8974A3"/>
    <w:rsid w:val="6B8E7776"/>
    <w:rsid w:val="6B910106"/>
    <w:rsid w:val="6B9B71D6"/>
    <w:rsid w:val="6BA234A1"/>
    <w:rsid w:val="6BA73DCD"/>
    <w:rsid w:val="6BA80E80"/>
    <w:rsid w:val="6BA936A1"/>
    <w:rsid w:val="6BAB2DA7"/>
    <w:rsid w:val="6BB31F39"/>
    <w:rsid w:val="6BBC47BD"/>
    <w:rsid w:val="6BC200C9"/>
    <w:rsid w:val="6BC229B5"/>
    <w:rsid w:val="6BC43EE3"/>
    <w:rsid w:val="6BC71D79"/>
    <w:rsid w:val="6BC73521"/>
    <w:rsid w:val="6BCE135A"/>
    <w:rsid w:val="6BD34BC2"/>
    <w:rsid w:val="6BE20961"/>
    <w:rsid w:val="6BE51F5F"/>
    <w:rsid w:val="6BF012D0"/>
    <w:rsid w:val="6BF1329A"/>
    <w:rsid w:val="6BF40694"/>
    <w:rsid w:val="6BF608B1"/>
    <w:rsid w:val="6BFA214F"/>
    <w:rsid w:val="6C044D7B"/>
    <w:rsid w:val="6C0A4A08"/>
    <w:rsid w:val="6C0B4DE0"/>
    <w:rsid w:val="6C0E1756"/>
    <w:rsid w:val="6C1937AA"/>
    <w:rsid w:val="6C224524"/>
    <w:rsid w:val="6C265DF4"/>
    <w:rsid w:val="6C270A6A"/>
    <w:rsid w:val="6C276CBC"/>
    <w:rsid w:val="6C2B2308"/>
    <w:rsid w:val="6C2B5ACD"/>
    <w:rsid w:val="6C2E1722"/>
    <w:rsid w:val="6C303DC2"/>
    <w:rsid w:val="6C315445"/>
    <w:rsid w:val="6C317340"/>
    <w:rsid w:val="6C334D28"/>
    <w:rsid w:val="6C437E9D"/>
    <w:rsid w:val="6C464C5F"/>
    <w:rsid w:val="6C4B6152"/>
    <w:rsid w:val="6C532055"/>
    <w:rsid w:val="6C5A7E3D"/>
    <w:rsid w:val="6C5B73FB"/>
    <w:rsid w:val="6C5F6456"/>
    <w:rsid w:val="6C635F46"/>
    <w:rsid w:val="6C636C38"/>
    <w:rsid w:val="6C643A6C"/>
    <w:rsid w:val="6C691A23"/>
    <w:rsid w:val="6C6A65E0"/>
    <w:rsid w:val="6C6B6BA9"/>
    <w:rsid w:val="6C700A8A"/>
    <w:rsid w:val="6C7041BF"/>
    <w:rsid w:val="6C7714C1"/>
    <w:rsid w:val="6C845EBC"/>
    <w:rsid w:val="6C866B92"/>
    <w:rsid w:val="6C8D4D71"/>
    <w:rsid w:val="6C8F5286"/>
    <w:rsid w:val="6CA65E33"/>
    <w:rsid w:val="6CBF6EF4"/>
    <w:rsid w:val="6CC72000"/>
    <w:rsid w:val="6CC72155"/>
    <w:rsid w:val="6CCB5899"/>
    <w:rsid w:val="6CCF6157"/>
    <w:rsid w:val="6CD0174B"/>
    <w:rsid w:val="6CD52833"/>
    <w:rsid w:val="6CD96208"/>
    <w:rsid w:val="6CDA3D2E"/>
    <w:rsid w:val="6CDC7AA6"/>
    <w:rsid w:val="6CDE42D3"/>
    <w:rsid w:val="6CE150BD"/>
    <w:rsid w:val="6CE30E35"/>
    <w:rsid w:val="6CED3D59"/>
    <w:rsid w:val="6CF323F6"/>
    <w:rsid w:val="6CFA1CDB"/>
    <w:rsid w:val="6CFD633E"/>
    <w:rsid w:val="6D001BFD"/>
    <w:rsid w:val="6D042B59"/>
    <w:rsid w:val="6D062B97"/>
    <w:rsid w:val="6D0A63C2"/>
    <w:rsid w:val="6D107750"/>
    <w:rsid w:val="6D12171A"/>
    <w:rsid w:val="6D162FB8"/>
    <w:rsid w:val="6D1763FC"/>
    <w:rsid w:val="6D194017"/>
    <w:rsid w:val="6D1F1741"/>
    <w:rsid w:val="6D284222"/>
    <w:rsid w:val="6D2900BF"/>
    <w:rsid w:val="6D3001C2"/>
    <w:rsid w:val="6D317DF2"/>
    <w:rsid w:val="6D3527BF"/>
    <w:rsid w:val="6D367263"/>
    <w:rsid w:val="6D396CA7"/>
    <w:rsid w:val="6D3978A6"/>
    <w:rsid w:val="6D3B2A1F"/>
    <w:rsid w:val="6D3C0545"/>
    <w:rsid w:val="6D416D08"/>
    <w:rsid w:val="6D446F7A"/>
    <w:rsid w:val="6D4A2C62"/>
    <w:rsid w:val="6D5B09CB"/>
    <w:rsid w:val="6D633D24"/>
    <w:rsid w:val="6D643DFF"/>
    <w:rsid w:val="6D683F25"/>
    <w:rsid w:val="6D6E4213"/>
    <w:rsid w:val="6D716441"/>
    <w:rsid w:val="6D7777CF"/>
    <w:rsid w:val="6D821C9F"/>
    <w:rsid w:val="6D8A7502"/>
    <w:rsid w:val="6D8C7F00"/>
    <w:rsid w:val="6D8D79DF"/>
    <w:rsid w:val="6D8E6FF3"/>
    <w:rsid w:val="6D9B2892"/>
    <w:rsid w:val="6D9D09CE"/>
    <w:rsid w:val="6D9E678A"/>
    <w:rsid w:val="6DA00AD4"/>
    <w:rsid w:val="6DAB2E3F"/>
    <w:rsid w:val="6DAC29DE"/>
    <w:rsid w:val="6DB225B5"/>
    <w:rsid w:val="6DB2509B"/>
    <w:rsid w:val="6DB34098"/>
    <w:rsid w:val="6DB545B6"/>
    <w:rsid w:val="6DB85E1E"/>
    <w:rsid w:val="6DBD3434"/>
    <w:rsid w:val="6DC40776"/>
    <w:rsid w:val="6DCF2230"/>
    <w:rsid w:val="6DD538E7"/>
    <w:rsid w:val="6DD662A4"/>
    <w:rsid w:val="6DDA2238"/>
    <w:rsid w:val="6DE02FB4"/>
    <w:rsid w:val="6DE07122"/>
    <w:rsid w:val="6DE45D16"/>
    <w:rsid w:val="6DE55CC9"/>
    <w:rsid w:val="6DF10D7F"/>
    <w:rsid w:val="6DF62C90"/>
    <w:rsid w:val="6DFB5D0A"/>
    <w:rsid w:val="6E00321F"/>
    <w:rsid w:val="6E065796"/>
    <w:rsid w:val="6E1374F8"/>
    <w:rsid w:val="6E1713F2"/>
    <w:rsid w:val="6E1B45FE"/>
    <w:rsid w:val="6E1B5C31"/>
    <w:rsid w:val="6E1B63AC"/>
    <w:rsid w:val="6E1D0376"/>
    <w:rsid w:val="6E1D2124"/>
    <w:rsid w:val="6E1E7249"/>
    <w:rsid w:val="6E243B6F"/>
    <w:rsid w:val="6E260A53"/>
    <w:rsid w:val="6E26547D"/>
    <w:rsid w:val="6E2D4DE6"/>
    <w:rsid w:val="6E315BD0"/>
    <w:rsid w:val="6E34121C"/>
    <w:rsid w:val="6E380D0C"/>
    <w:rsid w:val="6E453429"/>
    <w:rsid w:val="6E4C2A0A"/>
    <w:rsid w:val="6E514CED"/>
    <w:rsid w:val="6E5A295D"/>
    <w:rsid w:val="6E600263"/>
    <w:rsid w:val="6E6A391F"/>
    <w:rsid w:val="6E6B2E90"/>
    <w:rsid w:val="6E6B7334"/>
    <w:rsid w:val="6E6E0BD2"/>
    <w:rsid w:val="6E6F167B"/>
    <w:rsid w:val="6E706D7C"/>
    <w:rsid w:val="6E707655"/>
    <w:rsid w:val="6E773506"/>
    <w:rsid w:val="6E7C3D24"/>
    <w:rsid w:val="6E7D0E15"/>
    <w:rsid w:val="6E87149D"/>
    <w:rsid w:val="6E873A42"/>
    <w:rsid w:val="6E8A4390"/>
    <w:rsid w:val="6E8B4A99"/>
    <w:rsid w:val="6E9C573F"/>
    <w:rsid w:val="6E9F3F82"/>
    <w:rsid w:val="6EA470E4"/>
    <w:rsid w:val="6EAD16FA"/>
    <w:rsid w:val="6EB034E3"/>
    <w:rsid w:val="6EB321F9"/>
    <w:rsid w:val="6EB563D5"/>
    <w:rsid w:val="6EB63BCD"/>
    <w:rsid w:val="6EBF142E"/>
    <w:rsid w:val="6EC50500"/>
    <w:rsid w:val="6ECC3702"/>
    <w:rsid w:val="6ECE341F"/>
    <w:rsid w:val="6ED92677"/>
    <w:rsid w:val="6EE3336E"/>
    <w:rsid w:val="6EE42C42"/>
    <w:rsid w:val="6EE47A10"/>
    <w:rsid w:val="6EE60D49"/>
    <w:rsid w:val="6EE76183"/>
    <w:rsid w:val="6EEB2223"/>
    <w:rsid w:val="6EEE28C4"/>
    <w:rsid w:val="6EEF6D6B"/>
    <w:rsid w:val="6EF015E7"/>
    <w:rsid w:val="6EF03395"/>
    <w:rsid w:val="6EF573E8"/>
    <w:rsid w:val="6EF80849"/>
    <w:rsid w:val="6EFE1F56"/>
    <w:rsid w:val="6F013B3F"/>
    <w:rsid w:val="6F045092"/>
    <w:rsid w:val="6F045C56"/>
    <w:rsid w:val="6F0532E4"/>
    <w:rsid w:val="6F064610"/>
    <w:rsid w:val="6F08033E"/>
    <w:rsid w:val="6F0B34B0"/>
    <w:rsid w:val="6F0D14C5"/>
    <w:rsid w:val="6F112EDE"/>
    <w:rsid w:val="6F1169DF"/>
    <w:rsid w:val="6F143BD5"/>
    <w:rsid w:val="6F152DFC"/>
    <w:rsid w:val="6F1569D0"/>
    <w:rsid w:val="6F1C062E"/>
    <w:rsid w:val="6F1C12E5"/>
    <w:rsid w:val="6F1F10E3"/>
    <w:rsid w:val="6F225983"/>
    <w:rsid w:val="6F2319BD"/>
    <w:rsid w:val="6F2D5F56"/>
    <w:rsid w:val="6F301732"/>
    <w:rsid w:val="6F310257"/>
    <w:rsid w:val="6F321C00"/>
    <w:rsid w:val="6F321E6A"/>
    <w:rsid w:val="6F34175B"/>
    <w:rsid w:val="6F3C2A7E"/>
    <w:rsid w:val="6F3C482C"/>
    <w:rsid w:val="6F4502DF"/>
    <w:rsid w:val="6F547DC8"/>
    <w:rsid w:val="6F59718C"/>
    <w:rsid w:val="6F5B1156"/>
    <w:rsid w:val="6F5D4E25"/>
    <w:rsid w:val="6F5D6E5C"/>
    <w:rsid w:val="6F5E26E0"/>
    <w:rsid w:val="6F5E29F5"/>
    <w:rsid w:val="6F6447C8"/>
    <w:rsid w:val="6F651FD5"/>
    <w:rsid w:val="6F6B5112"/>
    <w:rsid w:val="6F6B6EC0"/>
    <w:rsid w:val="6F81075B"/>
    <w:rsid w:val="6F8306AD"/>
    <w:rsid w:val="6F854425"/>
    <w:rsid w:val="6F8A0F15"/>
    <w:rsid w:val="6F8A291B"/>
    <w:rsid w:val="6F8F7052"/>
    <w:rsid w:val="6F975F07"/>
    <w:rsid w:val="6F984159"/>
    <w:rsid w:val="6F9A2075"/>
    <w:rsid w:val="6F9B0855"/>
    <w:rsid w:val="6FA7155B"/>
    <w:rsid w:val="6FAD66B8"/>
    <w:rsid w:val="6FB14A63"/>
    <w:rsid w:val="6FBE7937"/>
    <w:rsid w:val="6FBF6376"/>
    <w:rsid w:val="6FC211D5"/>
    <w:rsid w:val="6FD11419"/>
    <w:rsid w:val="6FD35191"/>
    <w:rsid w:val="6FDA77B7"/>
    <w:rsid w:val="6FE169C0"/>
    <w:rsid w:val="6FE33E45"/>
    <w:rsid w:val="6FEE1FCA"/>
    <w:rsid w:val="6FF12A0C"/>
    <w:rsid w:val="6FF84BF7"/>
    <w:rsid w:val="6FFC5590"/>
    <w:rsid w:val="6FFE5F86"/>
    <w:rsid w:val="7007308C"/>
    <w:rsid w:val="700D7F77"/>
    <w:rsid w:val="701106FB"/>
    <w:rsid w:val="7012558D"/>
    <w:rsid w:val="7016507D"/>
    <w:rsid w:val="701B0414"/>
    <w:rsid w:val="702A5C34"/>
    <w:rsid w:val="702E30DF"/>
    <w:rsid w:val="703025E3"/>
    <w:rsid w:val="70390D6C"/>
    <w:rsid w:val="703A6FBE"/>
    <w:rsid w:val="703F45D4"/>
    <w:rsid w:val="7040659E"/>
    <w:rsid w:val="70410004"/>
    <w:rsid w:val="704240C4"/>
    <w:rsid w:val="70436255"/>
    <w:rsid w:val="704C0A9F"/>
    <w:rsid w:val="704E2A69"/>
    <w:rsid w:val="705067E1"/>
    <w:rsid w:val="705252F6"/>
    <w:rsid w:val="706758D9"/>
    <w:rsid w:val="706D1DD0"/>
    <w:rsid w:val="706F478E"/>
    <w:rsid w:val="70700C31"/>
    <w:rsid w:val="70712953"/>
    <w:rsid w:val="7071718D"/>
    <w:rsid w:val="707443AD"/>
    <w:rsid w:val="70761FC0"/>
    <w:rsid w:val="70807A12"/>
    <w:rsid w:val="70856B87"/>
    <w:rsid w:val="70902282"/>
    <w:rsid w:val="70997814"/>
    <w:rsid w:val="70A26911"/>
    <w:rsid w:val="70A46B2D"/>
    <w:rsid w:val="70AE5DB9"/>
    <w:rsid w:val="70B0102E"/>
    <w:rsid w:val="70B36D70"/>
    <w:rsid w:val="70B84386"/>
    <w:rsid w:val="70B87749"/>
    <w:rsid w:val="70C075BD"/>
    <w:rsid w:val="70C1148D"/>
    <w:rsid w:val="70C525FF"/>
    <w:rsid w:val="70C71D41"/>
    <w:rsid w:val="70C73144"/>
    <w:rsid w:val="70C7505B"/>
    <w:rsid w:val="70CB2BBE"/>
    <w:rsid w:val="70CC4734"/>
    <w:rsid w:val="70D2143C"/>
    <w:rsid w:val="70D527EE"/>
    <w:rsid w:val="70DC0075"/>
    <w:rsid w:val="70DC1D73"/>
    <w:rsid w:val="70E37655"/>
    <w:rsid w:val="70EB475C"/>
    <w:rsid w:val="70ED4030"/>
    <w:rsid w:val="70F133F4"/>
    <w:rsid w:val="70F157AE"/>
    <w:rsid w:val="70F41506"/>
    <w:rsid w:val="70F570C2"/>
    <w:rsid w:val="7104137A"/>
    <w:rsid w:val="710C3399"/>
    <w:rsid w:val="71146851"/>
    <w:rsid w:val="71215CF9"/>
    <w:rsid w:val="71235CA4"/>
    <w:rsid w:val="712C2B86"/>
    <w:rsid w:val="71316944"/>
    <w:rsid w:val="71327459"/>
    <w:rsid w:val="71355426"/>
    <w:rsid w:val="71461992"/>
    <w:rsid w:val="71465249"/>
    <w:rsid w:val="71467BE4"/>
    <w:rsid w:val="714C2588"/>
    <w:rsid w:val="714D03BF"/>
    <w:rsid w:val="71502811"/>
    <w:rsid w:val="71581D09"/>
    <w:rsid w:val="715B3690"/>
    <w:rsid w:val="715B5300"/>
    <w:rsid w:val="715D43C1"/>
    <w:rsid w:val="715E6CDC"/>
    <w:rsid w:val="71653A78"/>
    <w:rsid w:val="716D6F1F"/>
    <w:rsid w:val="71704C61"/>
    <w:rsid w:val="717100DF"/>
    <w:rsid w:val="71716D75"/>
    <w:rsid w:val="717324A2"/>
    <w:rsid w:val="717636DA"/>
    <w:rsid w:val="717F0F19"/>
    <w:rsid w:val="718D136F"/>
    <w:rsid w:val="71973F9C"/>
    <w:rsid w:val="719C15B2"/>
    <w:rsid w:val="719D19FB"/>
    <w:rsid w:val="71A072F4"/>
    <w:rsid w:val="71A60683"/>
    <w:rsid w:val="71AA1F21"/>
    <w:rsid w:val="71B20DD6"/>
    <w:rsid w:val="71B2527A"/>
    <w:rsid w:val="71B42DA0"/>
    <w:rsid w:val="71B52674"/>
    <w:rsid w:val="71B763EC"/>
    <w:rsid w:val="71B82AA1"/>
    <w:rsid w:val="71BC0C29"/>
    <w:rsid w:val="71C4397A"/>
    <w:rsid w:val="71C43B3E"/>
    <w:rsid w:val="71C601B0"/>
    <w:rsid w:val="71CD3E62"/>
    <w:rsid w:val="71CD5C10"/>
    <w:rsid w:val="71CF1988"/>
    <w:rsid w:val="71CF3194"/>
    <w:rsid w:val="71CF3DD8"/>
    <w:rsid w:val="71D27F8A"/>
    <w:rsid w:val="71D945B4"/>
    <w:rsid w:val="71DE7E1D"/>
    <w:rsid w:val="71EA4129"/>
    <w:rsid w:val="71F238C8"/>
    <w:rsid w:val="71FD61AA"/>
    <w:rsid w:val="71FD64F5"/>
    <w:rsid w:val="720553A9"/>
    <w:rsid w:val="72086BD7"/>
    <w:rsid w:val="720E0702"/>
    <w:rsid w:val="72135E5F"/>
    <w:rsid w:val="72192C03"/>
    <w:rsid w:val="721E646B"/>
    <w:rsid w:val="7229553C"/>
    <w:rsid w:val="72312642"/>
    <w:rsid w:val="72361A07"/>
    <w:rsid w:val="724177ED"/>
    <w:rsid w:val="724759C2"/>
    <w:rsid w:val="724B0BBD"/>
    <w:rsid w:val="724C5DE0"/>
    <w:rsid w:val="724E4B1F"/>
    <w:rsid w:val="72553024"/>
    <w:rsid w:val="72565C05"/>
    <w:rsid w:val="725C58D5"/>
    <w:rsid w:val="725F5A12"/>
    <w:rsid w:val="72600832"/>
    <w:rsid w:val="726378D3"/>
    <w:rsid w:val="72640322"/>
    <w:rsid w:val="72641157"/>
    <w:rsid w:val="7265409A"/>
    <w:rsid w:val="72655E48"/>
    <w:rsid w:val="7267633E"/>
    <w:rsid w:val="726A16B0"/>
    <w:rsid w:val="72710C91"/>
    <w:rsid w:val="72723FF6"/>
    <w:rsid w:val="72783DCD"/>
    <w:rsid w:val="7278413D"/>
    <w:rsid w:val="727D7636"/>
    <w:rsid w:val="72824C4C"/>
    <w:rsid w:val="72834520"/>
    <w:rsid w:val="72851E13"/>
    <w:rsid w:val="728D79EF"/>
    <w:rsid w:val="728E539F"/>
    <w:rsid w:val="72A53549"/>
    <w:rsid w:val="72AC7F1B"/>
    <w:rsid w:val="72AE3C93"/>
    <w:rsid w:val="72B1434F"/>
    <w:rsid w:val="72B312A9"/>
    <w:rsid w:val="72B8241C"/>
    <w:rsid w:val="72BB3CBA"/>
    <w:rsid w:val="72BF3E69"/>
    <w:rsid w:val="72C708B1"/>
    <w:rsid w:val="72CA0D08"/>
    <w:rsid w:val="72CB65F3"/>
    <w:rsid w:val="72CF7087"/>
    <w:rsid w:val="72D336FA"/>
    <w:rsid w:val="72D51220"/>
    <w:rsid w:val="72D860FE"/>
    <w:rsid w:val="72F07E08"/>
    <w:rsid w:val="72F1559A"/>
    <w:rsid w:val="72F44653"/>
    <w:rsid w:val="72F5714F"/>
    <w:rsid w:val="73010CA3"/>
    <w:rsid w:val="730974BC"/>
    <w:rsid w:val="730F3D31"/>
    <w:rsid w:val="73107FB9"/>
    <w:rsid w:val="73120E2F"/>
    <w:rsid w:val="73122968"/>
    <w:rsid w:val="73152994"/>
    <w:rsid w:val="7315786E"/>
    <w:rsid w:val="731B7EAB"/>
    <w:rsid w:val="731D40E5"/>
    <w:rsid w:val="731F2796"/>
    <w:rsid w:val="731F5D5E"/>
    <w:rsid w:val="73221F8B"/>
    <w:rsid w:val="73337CF4"/>
    <w:rsid w:val="733A5527"/>
    <w:rsid w:val="73465C7A"/>
    <w:rsid w:val="73487C44"/>
    <w:rsid w:val="7349576A"/>
    <w:rsid w:val="73497518"/>
    <w:rsid w:val="734A4791"/>
    <w:rsid w:val="73521A35"/>
    <w:rsid w:val="735465E8"/>
    <w:rsid w:val="73566CAF"/>
    <w:rsid w:val="7357094A"/>
    <w:rsid w:val="73592A5F"/>
    <w:rsid w:val="735A1725"/>
    <w:rsid w:val="735A34D3"/>
    <w:rsid w:val="736A39E4"/>
    <w:rsid w:val="736C090E"/>
    <w:rsid w:val="73714DCC"/>
    <w:rsid w:val="73797DFD"/>
    <w:rsid w:val="737B24EE"/>
    <w:rsid w:val="737B7B34"/>
    <w:rsid w:val="738223DC"/>
    <w:rsid w:val="73852C46"/>
    <w:rsid w:val="73885001"/>
    <w:rsid w:val="7390793D"/>
    <w:rsid w:val="73925C3E"/>
    <w:rsid w:val="739979B0"/>
    <w:rsid w:val="73A17354"/>
    <w:rsid w:val="73A254D1"/>
    <w:rsid w:val="73A72328"/>
    <w:rsid w:val="73A750C7"/>
    <w:rsid w:val="73AA26AC"/>
    <w:rsid w:val="73AB1CF8"/>
    <w:rsid w:val="73AB3D2F"/>
    <w:rsid w:val="73B9469D"/>
    <w:rsid w:val="73BC6D60"/>
    <w:rsid w:val="73C10F9D"/>
    <w:rsid w:val="73C117A4"/>
    <w:rsid w:val="73C31078"/>
    <w:rsid w:val="73C41E76"/>
    <w:rsid w:val="73C51AD5"/>
    <w:rsid w:val="73C51C7D"/>
    <w:rsid w:val="73C92407"/>
    <w:rsid w:val="73CA68AB"/>
    <w:rsid w:val="73CD639B"/>
    <w:rsid w:val="73D56FFD"/>
    <w:rsid w:val="73D6781F"/>
    <w:rsid w:val="73D83687"/>
    <w:rsid w:val="73DC2DCE"/>
    <w:rsid w:val="73DE2356"/>
    <w:rsid w:val="73E109B4"/>
    <w:rsid w:val="73E3796C"/>
    <w:rsid w:val="73E454EF"/>
    <w:rsid w:val="73E536E4"/>
    <w:rsid w:val="73E949B6"/>
    <w:rsid w:val="73EB10C8"/>
    <w:rsid w:val="73FE47A6"/>
    <w:rsid w:val="73FE6554"/>
    <w:rsid w:val="740022CC"/>
    <w:rsid w:val="74051691"/>
    <w:rsid w:val="7409712D"/>
    <w:rsid w:val="740A6CA7"/>
    <w:rsid w:val="74116287"/>
    <w:rsid w:val="74147B26"/>
    <w:rsid w:val="741E793C"/>
    <w:rsid w:val="74284EDD"/>
    <w:rsid w:val="742A10F7"/>
    <w:rsid w:val="742D6E39"/>
    <w:rsid w:val="74324450"/>
    <w:rsid w:val="74365CEE"/>
    <w:rsid w:val="74387CB8"/>
    <w:rsid w:val="74420FDF"/>
    <w:rsid w:val="744228E5"/>
    <w:rsid w:val="7446107D"/>
    <w:rsid w:val="74525290"/>
    <w:rsid w:val="74541DCE"/>
    <w:rsid w:val="74542618"/>
    <w:rsid w:val="745A2F66"/>
    <w:rsid w:val="745E3944"/>
    <w:rsid w:val="74640AAD"/>
    <w:rsid w:val="74650185"/>
    <w:rsid w:val="7472484C"/>
    <w:rsid w:val="747B2B41"/>
    <w:rsid w:val="747D56CB"/>
    <w:rsid w:val="74806F69"/>
    <w:rsid w:val="74850A24"/>
    <w:rsid w:val="748A4B39"/>
    <w:rsid w:val="748F3650"/>
    <w:rsid w:val="74990904"/>
    <w:rsid w:val="74991580"/>
    <w:rsid w:val="749F7D37"/>
    <w:rsid w:val="74AC555F"/>
    <w:rsid w:val="74B03CF2"/>
    <w:rsid w:val="74B44E65"/>
    <w:rsid w:val="74B82BA7"/>
    <w:rsid w:val="74BD015D"/>
    <w:rsid w:val="74C3041D"/>
    <w:rsid w:val="74C810BD"/>
    <w:rsid w:val="74C9149E"/>
    <w:rsid w:val="74C94DB4"/>
    <w:rsid w:val="74DB4EF0"/>
    <w:rsid w:val="74DC4AE7"/>
    <w:rsid w:val="74DD43BC"/>
    <w:rsid w:val="74E160F8"/>
    <w:rsid w:val="74E41BEE"/>
    <w:rsid w:val="74E514C2"/>
    <w:rsid w:val="74E7348C"/>
    <w:rsid w:val="74ED70F5"/>
    <w:rsid w:val="74F040EF"/>
    <w:rsid w:val="74F160B9"/>
    <w:rsid w:val="74F3598D"/>
    <w:rsid w:val="74FA6D1C"/>
    <w:rsid w:val="74FF67F2"/>
    <w:rsid w:val="750000AA"/>
    <w:rsid w:val="75093403"/>
    <w:rsid w:val="7510653F"/>
    <w:rsid w:val="75127B90"/>
    <w:rsid w:val="752263F0"/>
    <w:rsid w:val="752277A4"/>
    <w:rsid w:val="75246E18"/>
    <w:rsid w:val="752B25F8"/>
    <w:rsid w:val="7530098F"/>
    <w:rsid w:val="75330480"/>
    <w:rsid w:val="75365382"/>
    <w:rsid w:val="75375467"/>
    <w:rsid w:val="75381725"/>
    <w:rsid w:val="75400D35"/>
    <w:rsid w:val="7553467E"/>
    <w:rsid w:val="75544D72"/>
    <w:rsid w:val="75565720"/>
    <w:rsid w:val="75576FC0"/>
    <w:rsid w:val="755C3532"/>
    <w:rsid w:val="755D1591"/>
    <w:rsid w:val="755F4D0A"/>
    <w:rsid w:val="75671ED7"/>
    <w:rsid w:val="757271FA"/>
    <w:rsid w:val="757545F4"/>
    <w:rsid w:val="757A6FC0"/>
    <w:rsid w:val="757D16FB"/>
    <w:rsid w:val="75840CDB"/>
    <w:rsid w:val="758B02BC"/>
    <w:rsid w:val="758B206A"/>
    <w:rsid w:val="75976C60"/>
    <w:rsid w:val="759D2A16"/>
    <w:rsid w:val="75A25616"/>
    <w:rsid w:val="75A710D9"/>
    <w:rsid w:val="75A924F0"/>
    <w:rsid w:val="75AB6268"/>
    <w:rsid w:val="75AD3537"/>
    <w:rsid w:val="75B01E62"/>
    <w:rsid w:val="75B3511C"/>
    <w:rsid w:val="75B570E6"/>
    <w:rsid w:val="75B94E29"/>
    <w:rsid w:val="75BA4488"/>
    <w:rsid w:val="75BF12C2"/>
    <w:rsid w:val="75C13CDD"/>
    <w:rsid w:val="75C31803"/>
    <w:rsid w:val="75C537CD"/>
    <w:rsid w:val="75CA32C9"/>
    <w:rsid w:val="75D25EEA"/>
    <w:rsid w:val="75D732ED"/>
    <w:rsid w:val="75DE0B1B"/>
    <w:rsid w:val="75E6623C"/>
    <w:rsid w:val="75E94ACF"/>
    <w:rsid w:val="75ED071E"/>
    <w:rsid w:val="75EF1417"/>
    <w:rsid w:val="75F220E9"/>
    <w:rsid w:val="75F517B1"/>
    <w:rsid w:val="7601232C"/>
    <w:rsid w:val="76065B94"/>
    <w:rsid w:val="760A0098"/>
    <w:rsid w:val="760F4A49"/>
    <w:rsid w:val="76236746"/>
    <w:rsid w:val="76263B40"/>
    <w:rsid w:val="762A3631"/>
    <w:rsid w:val="762F0C9A"/>
    <w:rsid w:val="76312C11"/>
    <w:rsid w:val="7635099D"/>
    <w:rsid w:val="76377F56"/>
    <w:rsid w:val="76465F91"/>
    <w:rsid w:val="764A3CD3"/>
    <w:rsid w:val="764B632B"/>
    <w:rsid w:val="764D4EA7"/>
    <w:rsid w:val="764E4E66"/>
    <w:rsid w:val="76577C66"/>
    <w:rsid w:val="76582880"/>
    <w:rsid w:val="76593F16"/>
    <w:rsid w:val="765C6FAE"/>
    <w:rsid w:val="766034F6"/>
    <w:rsid w:val="7666438C"/>
    <w:rsid w:val="766905FD"/>
    <w:rsid w:val="76714625"/>
    <w:rsid w:val="767D5E56"/>
    <w:rsid w:val="767E5FFC"/>
    <w:rsid w:val="768014A2"/>
    <w:rsid w:val="768750F0"/>
    <w:rsid w:val="76876CD5"/>
    <w:rsid w:val="768852C2"/>
    <w:rsid w:val="768E1E11"/>
    <w:rsid w:val="769242A1"/>
    <w:rsid w:val="76937428"/>
    <w:rsid w:val="76980B7D"/>
    <w:rsid w:val="76A01B45"/>
    <w:rsid w:val="76A2766B"/>
    <w:rsid w:val="76A5715B"/>
    <w:rsid w:val="76A7254E"/>
    <w:rsid w:val="76AF1D88"/>
    <w:rsid w:val="76B178AE"/>
    <w:rsid w:val="76C902CE"/>
    <w:rsid w:val="76CC293A"/>
    <w:rsid w:val="76CF41D8"/>
    <w:rsid w:val="76D33CC8"/>
    <w:rsid w:val="76DA5057"/>
    <w:rsid w:val="76DD5829"/>
    <w:rsid w:val="76DE41F1"/>
    <w:rsid w:val="76DF3CD0"/>
    <w:rsid w:val="76E11454"/>
    <w:rsid w:val="76E45ED5"/>
    <w:rsid w:val="76E732D0"/>
    <w:rsid w:val="76EC2FDC"/>
    <w:rsid w:val="76EC6E2F"/>
    <w:rsid w:val="76EF585D"/>
    <w:rsid w:val="76F1414E"/>
    <w:rsid w:val="76F87F1C"/>
    <w:rsid w:val="76FA1F58"/>
    <w:rsid w:val="76FD33E8"/>
    <w:rsid w:val="76FE71E4"/>
    <w:rsid w:val="770E4D00"/>
    <w:rsid w:val="7711657D"/>
    <w:rsid w:val="77153A6F"/>
    <w:rsid w:val="771A3308"/>
    <w:rsid w:val="771B11CB"/>
    <w:rsid w:val="771B1A7D"/>
    <w:rsid w:val="771D0B6E"/>
    <w:rsid w:val="771D3195"/>
    <w:rsid w:val="77244524"/>
    <w:rsid w:val="7728263E"/>
    <w:rsid w:val="772E7150"/>
    <w:rsid w:val="773C4F05"/>
    <w:rsid w:val="774626EC"/>
    <w:rsid w:val="77471230"/>
    <w:rsid w:val="77505319"/>
    <w:rsid w:val="775B081D"/>
    <w:rsid w:val="775E009D"/>
    <w:rsid w:val="775F730A"/>
    <w:rsid w:val="77611954"/>
    <w:rsid w:val="77646552"/>
    <w:rsid w:val="7769462C"/>
    <w:rsid w:val="777234E1"/>
    <w:rsid w:val="77731007"/>
    <w:rsid w:val="77762421"/>
    <w:rsid w:val="777C610E"/>
    <w:rsid w:val="777E2AB0"/>
    <w:rsid w:val="778B1D3B"/>
    <w:rsid w:val="778C3778"/>
    <w:rsid w:val="77980A6E"/>
    <w:rsid w:val="779E2EEF"/>
    <w:rsid w:val="77A66FEF"/>
    <w:rsid w:val="77B56B1F"/>
    <w:rsid w:val="77B7489D"/>
    <w:rsid w:val="77B75398"/>
    <w:rsid w:val="77B9239B"/>
    <w:rsid w:val="77B95C51"/>
    <w:rsid w:val="77BC650A"/>
    <w:rsid w:val="77C268AB"/>
    <w:rsid w:val="77C828A5"/>
    <w:rsid w:val="77CE3F30"/>
    <w:rsid w:val="77D126E4"/>
    <w:rsid w:val="77D23F80"/>
    <w:rsid w:val="77D61393"/>
    <w:rsid w:val="77D73080"/>
    <w:rsid w:val="77DE0B76"/>
    <w:rsid w:val="77DF3D82"/>
    <w:rsid w:val="77DF669D"/>
    <w:rsid w:val="77E048EF"/>
    <w:rsid w:val="77E5555E"/>
    <w:rsid w:val="77EB2296"/>
    <w:rsid w:val="77EE068E"/>
    <w:rsid w:val="77EF5AEB"/>
    <w:rsid w:val="77F02658"/>
    <w:rsid w:val="77F11A4A"/>
    <w:rsid w:val="77F359A1"/>
    <w:rsid w:val="78045370"/>
    <w:rsid w:val="78061E7B"/>
    <w:rsid w:val="780B7492"/>
    <w:rsid w:val="780F09F4"/>
    <w:rsid w:val="781400F4"/>
    <w:rsid w:val="781440A5"/>
    <w:rsid w:val="78184000"/>
    <w:rsid w:val="781910F9"/>
    <w:rsid w:val="781B0B0C"/>
    <w:rsid w:val="781E71C5"/>
    <w:rsid w:val="781F4CEB"/>
    <w:rsid w:val="78207686"/>
    <w:rsid w:val="782A7918"/>
    <w:rsid w:val="782B18E2"/>
    <w:rsid w:val="782F2CE8"/>
    <w:rsid w:val="78305A5A"/>
    <w:rsid w:val="78324A1E"/>
    <w:rsid w:val="78393FFF"/>
    <w:rsid w:val="783A169F"/>
    <w:rsid w:val="783B7D77"/>
    <w:rsid w:val="783C2C9E"/>
    <w:rsid w:val="783C3AEF"/>
    <w:rsid w:val="78472631"/>
    <w:rsid w:val="784847E6"/>
    <w:rsid w:val="784B788E"/>
    <w:rsid w:val="78526E6F"/>
    <w:rsid w:val="78556E00"/>
    <w:rsid w:val="785726D7"/>
    <w:rsid w:val="78597FC3"/>
    <w:rsid w:val="785E75C1"/>
    <w:rsid w:val="786077DD"/>
    <w:rsid w:val="7863107C"/>
    <w:rsid w:val="78686692"/>
    <w:rsid w:val="786A0221"/>
    <w:rsid w:val="786F5C73"/>
    <w:rsid w:val="786F7A21"/>
    <w:rsid w:val="78745037"/>
    <w:rsid w:val="78782D79"/>
    <w:rsid w:val="787D213D"/>
    <w:rsid w:val="787D5297"/>
    <w:rsid w:val="787E75BC"/>
    <w:rsid w:val="78870641"/>
    <w:rsid w:val="78886D34"/>
    <w:rsid w:val="788C3154"/>
    <w:rsid w:val="7894759B"/>
    <w:rsid w:val="78962BEC"/>
    <w:rsid w:val="789B25C4"/>
    <w:rsid w:val="789C4865"/>
    <w:rsid w:val="78A90480"/>
    <w:rsid w:val="78A91184"/>
    <w:rsid w:val="78AA797A"/>
    <w:rsid w:val="78AE5097"/>
    <w:rsid w:val="78B06145"/>
    <w:rsid w:val="78B83176"/>
    <w:rsid w:val="78C22E67"/>
    <w:rsid w:val="78C23FF4"/>
    <w:rsid w:val="78C96128"/>
    <w:rsid w:val="78D31728"/>
    <w:rsid w:val="78D36201"/>
    <w:rsid w:val="78E24696"/>
    <w:rsid w:val="78E55F35"/>
    <w:rsid w:val="78F47F26"/>
    <w:rsid w:val="78F567D8"/>
    <w:rsid w:val="78F91AEA"/>
    <w:rsid w:val="78FD502C"/>
    <w:rsid w:val="79030B7F"/>
    <w:rsid w:val="79033751"/>
    <w:rsid w:val="79036546"/>
    <w:rsid w:val="7907499D"/>
    <w:rsid w:val="790945BB"/>
    <w:rsid w:val="790E0FE8"/>
    <w:rsid w:val="79134850"/>
    <w:rsid w:val="79167E9C"/>
    <w:rsid w:val="79196BEE"/>
    <w:rsid w:val="791E4FA3"/>
    <w:rsid w:val="7927201B"/>
    <w:rsid w:val="79295E21"/>
    <w:rsid w:val="792F0F5E"/>
    <w:rsid w:val="793A6280"/>
    <w:rsid w:val="79435553"/>
    <w:rsid w:val="794C1B10"/>
    <w:rsid w:val="79507852"/>
    <w:rsid w:val="79570BE0"/>
    <w:rsid w:val="79610BF6"/>
    <w:rsid w:val="79703A50"/>
    <w:rsid w:val="79797DE9"/>
    <w:rsid w:val="79850083"/>
    <w:rsid w:val="79856DD0"/>
    <w:rsid w:val="798C6BC1"/>
    <w:rsid w:val="798F63DB"/>
    <w:rsid w:val="79943D15"/>
    <w:rsid w:val="79982FA7"/>
    <w:rsid w:val="79A32B26"/>
    <w:rsid w:val="79A501FE"/>
    <w:rsid w:val="79A75C38"/>
    <w:rsid w:val="79A8143C"/>
    <w:rsid w:val="79AE27CB"/>
    <w:rsid w:val="79B50780"/>
    <w:rsid w:val="79B50CA1"/>
    <w:rsid w:val="79B67450"/>
    <w:rsid w:val="79BB5459"/>
    <w:rsid w:val="79BC0732"/>
    <w:rsid w:val="79C421B0"/>
    <w:rsid w:val="79CE0777"/>
    <w:rsid w:val="79D47884"/>
    <w:rsid w:val="79D815F5"/>
    <w:rsid w:val="79E461EC"/>
    <w:rsid w:val="79EA2121"/>
    <w:rsid w:val="79EB757B"/>
    <w:rsid w:val="79F41B44"/>
    <w:rsid w:val="79FB54C8"/>
    <w:rsid w:val="7A072BC0"/>
    <w:rsid w:val="7A0D5743"/>
    <w:rsid w:val="7A0E5017"/>
    <w:rsid w:val="7A1563A6"/>
    <w:rsid w:val="7A232871"/>
    <w:rsid w:val="7A2332DE"/>
    <w:rsid w:val="7A233ABC"/>
    <w:rsid w:val="7A2E02FA"/>
    <w:rsid w:val="7A326F58"/>
    <w:rsid w:val="7A342CD0"/>
    <w:rsid w:val="7A364017"/>
    <w:rsid w:val="7A3C1B84"/>
    <w:rsid w:val="7A3D7C35"/>
    <w:rsid w:val="7A4153ED"/>
    <w:rsid w:val="7A486B67"/>
    <w:rsid w:val="7A490C32"/>
    <w:rsid w:val="7A4E0C93"/>
    <w:rsid w:val="7A516828"/>
    <w:rsid w:val="7A5373C1"/>
    <w:rsid w:val="7A572FE3"/>
    <w:rsid w:val="7A574C10"/>
    <w:rsid w:val="7A61783D"/>
    <w:rsid w:val="7A6A3232"/>
    <w:rsid w:val="7A6F5AB6"/>
    <w:rsid w:val="7A721A4A"/>
    <w:rsid w:val="7A811C8D"/>
    <w:rsid w:val="7A8265E1"/>
    <w:rsid w:val="7A8552D9"/>
    <w:rsid w:val="7A8F45AA"/>
    <w:rsid w:val="7A9B4AFD"/>
    <w:rsid w:val="7AAA5B1D"/>
    <w:rsid w:val="7AB542EE"/>
    <w:rsid w:val="7AC202DC"/>
    <w:rsid w:val="7AC85E24"/>
    <w:rsid w:val="7ACA53E2"/>
    <w:rsid w:val="7ACC2F08"/>
    <w:rsid w:val="7AD27EBD"/>
    <w:rsid w:val="7AD41DBD"/>
    <w:rsid w:val="7AD46E57"/>
    <w:rsid w:val="7AD61FD9"/>
    <w:rsid w:val="7AD71577"/>
    <w:rsid w:val="7AD77BBF"/>
    <w:rsid w:val="7AD93877"/>
    <w:rsid w:val="7ADE5D3C"/>
    <w:rsid w:val="7ADE6D34"/>
    <w:rsid w:val="7AE528BD"/>
    <w:rsid w:val="7AE53E79"/>
    <w:rsid w:val="7AE82AC3"/>
    <w:rsid w:val="7AED182A"/>
    <w:rsid w:val="7AEE7D53"/>
    <w:rsid w:val="7AEF4E49"/>
    <w:rsid w:val="7AF43E53"/>
    <w:rsid w:val="7AF4420D"/>
    <w:rsid w:val="7B017E0B"/>
    <w:rsid w:val="7B022DCE"/>
    <w:rsid w:val="7B0408F4"/>
    <w:rsid w:val="7B0B76CA"/>
    <w:rsid w:val="7B136D89"/>
    <w:rsid w:val="7B137599"/>
    <w:rsid w:val="7B1C6EE2"/>
    <w:rsid w:val="7B1E128A"/>
    <w:rsid w:val="7B2368A0"/>
    <w:rsid w:val="7B2745E3"/>
    <w:rsid w:val="7B2A7C2F"/>
    <w:rsid w:val="7B2D5625"/>
    <w:rsid w:val="7B2F4F94"/>
    <w:rsid w:val="7B3311D9"/>
    <w:rsid w:val="7B3313CC"/>
    <w:rsid w:val="7B3828E7"/>
    <w:rsid w:val="7B3A4316"/>
    <w:rsid w:val="7B3B184D"/>
    <w:rsid w:val="7B4038F6"/>
    <w:rsid w:val="7B4909FD"/>
    <w:rsid w:val="7B4A02D1"/>
    <w:rsid w:val="7B4C1F4E"/>
    <w:rsid w:val="7B4C229B"/>
    <w:rsid w:val="7B4E05AB"/>
    <w:rsid w:val="7B51165F"/>
    <w:rsid w:val="7B56407B"/>
    <w:rsid w:val="7B576EF9"/>
    <w:rsid w:val="7B5A6D5A"/>
    <w:rsid w:val="7B61727C"/>
    <w:rsid w:val="7B65510B"/>
    <w:rsid w:val="7B686D42"/>
    <w:rsid w:val="7B6C6499"/>
    <w:rsid w:val="7B6E018F"/>
    <w:rsid w:val="7B7018CD"/>
    <w:rsid w:val="7B7122A7"/>
    <w:rsid w:val="7B786BEC"/>
    <w:rsid w:val="7B797EF7"/>
    <w:rsid w:val="7B7A118C"/>
    <w:rsid w:val="7B7D06A6"/>
    <w:rsid w:val="7B810197"/>
    <w:rsid w:val="7B815205"/>
    <w:rsid w:val="7B841746"/>
    <w:rsid w:val="7B8578B3"/>
    <w:rsid w:val="7B8E4662"/>
    <w:rsid w:val="7B901A89"/>
    <w:rsid w:val="7B9559F0"/>
    <w:rsid w:val="7B9647DB"/>
    <w:rsid w:val="7B9854E0"/>
    <w:rsid w:val="7BA4768F"/>
    <w:rsid w:val="7BB00C9D"/>
    <w:rsid w:val="7BB06259"/>
    <w:rsid w:val="7BB35E76"/>
    <w:rsid w:val="7BBD4F47"/>
    <w:rsid w:val="7BC30778"/>
    <w:rsid w:val="7BC47EE0"/>
    <w:rsid w:val="7BC65BA9"/>
    <w:rsid w:val="7BCF6A0D"/>
    <w:rsid w:val="7BD06079"/>
    <w:rsid w:val="7BD227A0"/>
    <w:rsid w:val="7BD36518"/>
    <w:rsid w:val="7BD5403F"/>
    <w:rsid w:val="7BD605FA"/>
    <w:rsid w:val="7BE349AD"/>
    <w:rsid w:val="7BEE3352"/>
    <w:rsid w:val="7BEE5100"/>
    <w:rsid w:val="7BF10DD0"/>
    <w:rsid w:val="7BF23E2B"/>
    <w:rsid w:val="7BFC15CB"/>
    <w:rsid w:val="7C006C7B"/>
    <w:rsid w:val="7C0973EC"/>
    <w:rsid w:val="7C1009D7"/>
    <w:rsid w:val="7C1034D3"/>
    <w:rsid w:val="7C122B9D"/>
    <w:rsid w:val="7C136915"/>
    <w:rsid w:val="7C1508DF"/>
    <w:rsid w:val="7C1C012B"/>
    <w:rsid w:val="7C1C3A1B"/>
    <w:rsid w:val="7C1D7794"/>
    <w:rsid w:val="7C234B89"/>
    <w:rsid w:val="7C25698E"/>
    <w:rsid w:val="7C2F7BF3"/>
    <w:rsid w:val="7C30396B"/>
    <w:rsid w:val="7C3207AF"/>
    <w:rsid w:val="7C37425F"/>
    <w:rsid w:val="7C374CF9"/>
    <w:rsid w:val="7C3F770A"/>
    <w:rsid w:val="7C460A98"/>
    <w:rsid w:val="7C460EF2"/>
    <w:rsid w:val="7C4915FB"/>
    <w:rsid w:val="7C523471"/>
    <w:rsid w:val="7C5238E1"/>
    <w:rsid w:val="7C523992"/>
    <w:rsid w:val="7C5A2796"/>
    <w:rsid w:val="7C5C02BC"/>
    <w:rsid w:val="7C624616"/>
    <w:rsid w:val="7C694787"/>
    <w:rsid w:val="7C6C5AC7"/>
    <w:rsid w:val="7C6D4277"/>
    <w:rsid w:val="7C704248"/>
    <w:rsid w:val="7C7C44BA"/>
    <w:rsid w:val="7C865339"/>
    <w:rsid w:val="7C8A307B"/>
    <w:rsid w:val="7C8D4BFF"/>
    <w:rsid w:val="7C94337D"/>
    <w:rsid w:val="7C961A20"/>
    <w:rsid w:val="7C9B7036"/>
    <w:rsid w:val="7C9C2DAE"/>
    <w:rsid w:val="7C9C5B48"/>
    <w:rsid w:val="7CA0464C"/>
    <w:rsid w:val="7CA37C99"/>
    <w:rsid w:val="7CA67789"/>
    <w:rsid w:val="7CA852AF"/>
    <w:rsid w:val="7CAB4D9F"/>
    <w:rsid w:val="7CC40FE0"/>
    <w:rsid w:val="7CC52305"/>
    <w:rsid w:val="7CC6544B"/>
    <w:rsid w:val="7CC759B6"/>
    <w:rsid w:val="7CC7607D"/>
    <w:rsid w:val="7CD2057E"/>
    <w:rsid w:val="7CE704CD"/>
    <w:rsid w:val="7CE7227B"/>
    <w:rsid w:val="7CE85E00"/>
    <w:rsid w:val="7CF7272E"/>
    <w:rsid w:val="7CFB4E79"/>
    <w:rsid w:val="7CFE1373"/>
    <w:rsid w:val="7D000522"/>
    <w:rsid w:val="7D0239FF"/>
    <w:rsid w:val="7D050953"/>
    <w:rsid w:val="7D050EA4"/>
    <w:rsid w:val="7D060AB1"/>
    <w:rsid w:val="7D0A7D18"/>
    <w:rsid w:val="7D0E2CFF"/>
    <w:rsid w:val="7D172435"/>
    <w:rsid w:val="7D2C7C8E"/>
    <w:rsid w:val="7D374932"/>
    <w:rsid w:val="7D3B0266"/>
    <w:rsid w:val="7D3B6123"/>
    <w:rsid w:val="7D3E4DCA"/>
    <w:rsid w:val="7D3F36BC"/>
    <w:rsid w:val="7D407C37"/>
    <w:rsid w:val="7D472D1A"/>
    <w:rsid w:val="7D4C3E65"/>
    <w:rsid w:val="7D4F1BCF"/>
    <w:rsid w:val="7D4F5468"/>
    <w:rsid w:val="7D513857"/>
    <w:rsid w:val="7D595BAD"/>
    <w:rsid w:val="7D5D253D"/>
    <w:rsid w:val="7D5E40CD"/>
    <w:rsid w:val="7D627B54"/>
    <w:rsid w:val="7D6438CC"/>
    <w:rsid w:val="7D6733BC"/>
    <w:rsid w:val="7D690EE2"/>
    <w:rsid w:val="7D6A07B6"/>
    <w:rsid w:val="7D6B5370"/>
    <w:rsid w:val="7D6C607B"/>
    <w:rsid w:val="7D7D2BE0"/>
    <w:rsid w:val="7D7E4262"/>
    <w:rsid w:val="7D873F68"/>
    <w:rsid w:val="7D965A4F"/>
    <w:rsid w:val="7D983576"/>
    <w:rsid w:val="7D9A1F96"/>
    <w:rsid w:val="7D9C3085"/>
    <w:rsid w:val="7D9F66B2"/>
    <w:rsid w:val="7DA51F79"/>
    <w:rsid w:val="7DA737B9"/>
    <w:rsid w:val="7DAE0FEB"/>
    <w:rsid w:val="7DAF2614"/>
    <w:rsid w:val="7DB44E1F"/>
    <w:rsid w:val="7DB54CF6"/>
    <w:rsid w:val="7DBE01F2"/>
    <w:rsid w:val="7DBE52F3"/>
    <w:rsid w:val="7DC002A3"/>
    <w:rsid w:val="7DC4490E"/>
    <w:rsid w:val="7DCC321F"/>
    <w:rsid w:val="7DCD56F2"/>
    <w:rsid w:val="7DDC1500"/>
    <w:rsid w:val="7DE1782C"/>
    <w:rsid w:val="7DF82266"/>
    <w:rsid w:val="7E012F1F"/>
    <w:rsid w:val="7E0155BF"/>
    <w:rsid w:val="7E0429B9"/>
    <w:rsid w:val="7E1075B0"/>
    <w:rsid w:val="7E1150D6"/>
    <w:rsid w:val="7E153868"/>
    <w:rsid w:val="7E1842DD"/>
    <w:rsid w:val="7E2467B8"/>
    <w:rsid w:val="7E256AB6"/>
    <w:rsid w:val="7E265025"/>
    <w:rsid w:val="7E350DC4"/>
    <w:rsid w:val="7E374D98"/>
    <w:rsid w:val="7E374F5D"/>
    <w:rsid w:val="7E3A462D"/>
    <w:rsid w:val="7E3A6786"/>
    <w:rsid w:val="7E3F3803"/>
    <w:rsid w:val="7E40312D"/>
    <w:rsid w:val="7E420EFD"/>
    <w:rsid w:val="7E4454AB"/>
    <w:rsid w:val="7E455CCF"/>
    <w:rsid w:val="7E4717C3"/>
    <w:rsid w:val="7E4746B0"/>
    <w:rsid w:val="7E492AC2"/>
    <w:rsid w:val="7E4A52AE"/>
    <w:rsid w:val="7E503E50"/>
    <w:rsid w:val="7E525E1A"/>
    <w:rsid w:val="7E5356EF"/>
    <w:rsid w:val="7E5D7A10"/>
    <w:rsid w:val="7E5F0913"/>
    <w:rsid w:val="7E617E0B"/>
    <w:rsid w:val="7E6318FD"/>
    <w:rsid w:val="7E645D4D"/>
    <w:rsid w:val="7E665422"/>
    <w:rsid w:val="7E77762F"/>
    <w:rsid w:val="7E851D4C"/>
    <w:rsid w:val="7E8C0116"/>
    <w:rsid w:val="7E90249F"/>
    <w:rsid w:val="7E937274"/>
    <w:rsid w:val="7E950186"/>
    <w:rsid w:val="7E9A79FE"/>
    <w:rsid w:val="7E9D7B39"/>
    <w:rsid w:val="7EA62CDF"/>
    <w:rsid w:val="7EAA7A04"/>
    <w:rsid w:val="7EAB72D9"/>
    <w:rsid w:val="7EAD12A3"/>
    <w:rsid w:val="7EB817E1"/>
    <w:rsid w:val="7EC30AC6"/>
    <w:rsid w:val="7EC871EC"/>
    <w:rsid w:val="7EC87E8B"/>
    <w:rsid w:val="7ED20D09"/>
    <w:rsid w:val="7ED56104"/>
    <w:rsid w:val="7ED86A4B"/>
    <w:rsid w:val="7EE12CFA"/>
    <w:rsid w:val="7EE57B5E"/>
    <w:rsid w:val="7EE66563"/>
    <w:rsid w:val="7EEC4F75"/>
    <w:rsid w:val="7EEF6826"/>
    <w:rsid w:val="7EF07F62"/>
    <w:rsid w:val="7EF47601"/>
    <w:rsid w:val="7F001CE7"/>
    <w:rsid w:val="7F0330F0"/>
    <w:rsid w:val="7F062B7D"/>
    <w:rsid w:val="7F080287"/>
    <w:rsid w:val="7F08297D"/>
    <w:rsid w:val="7F0C5FC9"/>
    <w:rsid w:val="7F0F5AB9"/>
    <w:rsid w:val="7F196938"/>
    <w:rsid w:val="7F1B4B4D"/>
    <w:rsid w:val="7F1B620C"/>
    <w:rsid w:val="7F1D01D6"/>
    <w:rsid w:val="7F2350C1"/>
    <w:rsid w:val="7F2552DD"/>
    <w:rsid w:val="7F2B657D"/>
    <w:rsid w:val="7F372393"/>
    <w:rsid w:val="7F450D2C"/>
    <w:rsid w:val="7F4553FC"/>
    <w:rsid w:val="7F45772D"/>
    <w:rsid w:val="7F4D6A98"/>
    <w:rsid w:val="7F5E0418"/>
    <w:rsid w:val="7F5E6B67"/>
    <w:rsid w:val="7F6370F5"/>
    <w:rsid w:val="7F664645"/>
    <w:rsid w:val="7F673200"/>
    <w:rsid w:val="7F6851CA"/>
    <w:rsid w:val="7F6A7194"/>
    <w:rsid w:val="7F6C4CBA"/>
    <w:rsid w:val="7F6D25ED"/>
    <w:rsid w:val="7F82628B"/>
    <w:rsid w:val="7F833DB1"/>
    <w:rsid w:val="7F855D7C"/>
    <w:rsid w:val="7F8901BE"/>
    <w:rsid w:val="7F8A5C84"/>
    <w:rsid w:val="7F8F6BFA"/>
    <w:rsid w:val="7F915D1B"/>
    <w:rsid w:val="7F923FF5"/>
    <w:rsid w:val="7F963AE5"/>
    <w:rsid w:val="7F9B10FB"/>
    <w:rsid w:val="7F9B559F"/>
    <w:rsid w:val="7F9E2999"/>
    <w:rsid w:val="7F9E36E8"/>
    <w:rsid w:val="7FA06711"/>
    <w:rsid w:val="7FA206DC"/>
    <w:rsid w:val="7FAC155A"/>
    <w:rsid w:val="7FB87EFF"/>
    <w:rsid w:val="7FBC58C7"/>
    <w:rsid w:val="7FBE0A7D"/>
    <w:rsid w:val="7FC14BF4"/>
    <w:rsid w:val="7FC438B8"/>
    <w:rsid w:val="7FC5261C"/>
    <w:rsid w:val="7FC757CF"/>
    <w:rsid w:val="7FC93EBA"/>
    <w:rsid w:val="7FCA05C5"/>
    <w:rsid w:val="7FD64829"/>
    <w:rsid w:val="7FE17456"/>
    <w:rsid w:val="7FE47E50"/>
    <w:rsid w:val="7FE74340"/>
    <w:rsid w:val="7FF476B5"/>
    <w:rsid w:val="7FF76C79"/>
    <w:rsid w:val="7FF9449B"/>
    <w:rsid w:val="7FFF5B2E"/>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iPriority="99"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9">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10">
    <w:name w:val="heading 2"/>
    <w:basedOn w:val="1"/>
    <w:next w:val="1"/>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11">
    <w:name w:val="heading 3"/>
    <w:basedOn w:val="1"/>
    <w:next w:val="1"/>
    <w:qFormat/>
    <w:locked/>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character" w:default="1" w:styleId="34">
    <w:name w:val="Default Paragraph Font"/>
    <w:semiHidden/>
    <w:qFormat/>
    <w:uiPriority w:val="0"/>
  </w:style>
  <w:style w:type="table" w:default="1" w:styleId="32">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2"/>
    <w:basedOn w:val="3"/>
    <w:next w:val="1"/>
    <w:qFormat/>
    <w:locked/>
    <w:uiPriority w:val="0"/>
    <w:pPr>
      <w:spacing w:after="120" w:line="240" w:lineRule="auto"/>
      <w:ind w:left="420" w:leftChars="200" w:firstLine="420" w:firstLineChars="200"/>
    </w:pPr>
    <w:rPr>
      <w:rFonts w:ascii="Times New Roman" w:hAnsi="Times New Roman"/>
      <w:sz w:val="21"/>
      <w:lang w:val="en-US" w:eastAsia="zh-CN"/>
    </w:rPr>
  </w:style>
  <w:style w:type="paragraph" w:styleId="3">
    <w:name w:val="Body Text Indent"/>
    <w:basedOn w:val="1"/>
    <w:next w:val="4"/>
    <w:link w:val="44"/>
    <w:qFormat/>
    <w:uiPriority w:val="0"/>
    <w:pPr>
      <w:spacing w:after="120"/>
      <w:ind w:left="420" w:leftChars="200"/>
    </w:pPr>
    <w:rPr>
      <w:kern w:val="0"/>
      <w:sz w:val="24"/>
      <w:szCs w:val="20"/>
    </w:rPr>
  </w:style>
  <w:style w:type="paragraph" w:styleId="4">
    <w:name w:val="header"/>
    <w:basedOn w:val="1"/>
    <w:next w:val="5"/>
    <w:link w:val="50"/>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5">
    <w:name w:val="样式5"/>
    <w:basedOn w:val="6"/>
    <w:next w:val="1"/>
    <w:qFormat/>
    <w:uiPriority w:val="0"/>
    <w:pPr>
      <w:spacing w:line="360" w:lineRule="auto"/>
      <w:jc w:val="center"/>
    </w:pPr>
    <w:rPr>
      <w:sz w:val="24"/>
      <w:szCs w:val="28"/>
    </w:rPr>
  </w:style>
  <w:style w:type="paragraph" w:customStyle="1" w:styleId="6">
    <w:name w:val="正文1"/>
    <w:basedOn w:val="7"/>
    <w:next w:val="1"/>
    <w:qFormat/>
    <w:uiPriority w:val="0"/>
    <w:pPr>
      <w:adjustRightInd w:val="0"/>
      <w:snapToGrid w:val="0"/>
      <w:spacing w:line="500" w:lineRule="atLeast"/>
      <w:ind w:firstLine="567"/>
    </w:pPr>
    <w:rPr>
      <w:sz w:val="28"/>
    </w:rPr>
  </w:style>
  <w:style w:type="paragraph" w:styleId="7">
    <w:name w:val="Body Text"/>
    <w:basedOn w:val="1"/>
    <w:next w:val="8"/>
    <w:link w:val="45"/>
    <w:qFormat/>
    <w:uiPriority w:val="0"/>
    <w:pPr>
      <w:widowControl/>
      <w:snapToGrid w:val="0"/>
      <w:spacing w:before="60" w:after="160" w:line="259" w:lineRule="auto"/>
      <w:ind w:right="113"/>
    </w:pPr>
    <w:rPr>
      <w:kern w:val="0"/>
      <w:sz w:val="18"/>
      <w:szCs w:val="20"/>
    </w:rPr>
  </w:style>
  <w:style w:type="paragraph" w:styleId="8">
    <w:name w:val="List Bullet 5"/>
    <w:basedOn w:val="1"/>
    <w:qFormat/>
    <w:locked/>
    <w:uiPriority w:val="0"/>
    <w:pPr>
      <w:numPr>
        <w:ilvl w:val="0"/>
        <w:numId w:val="1"/>
      </w:numPr>
    </w:pPr>
  </w:style>
  <w:style w:type="paragraph" w:styleId="12">
    <w:name w:val="Normal Indent"/>
    <w:basedOn w:val="1"/>
    <w:next w:val="13"/>
    <w:qFormat/>
    <w:locked/>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4"/>
      <w:szCs w:val="24"/>
      <w:lang w:val="en-US" w:eastAsia="zh-CN" w:bidi="ar"/>
    </w:rPr>
  </w:style>
  <w:style w:type="paragraph" w:styleId="13">
    <w:name w:val="footnote text"/>
    <w:basedOn w:val="1"/>
    <w:qFormat/>
    <w:locked/>
    <w:uiPriority w:val="0"/>
    <w:pPr>
      <w:snapToGrid w:val="0"/>
      <w:jc w:val="left"/>
    </w:pPr>
    <w:rPr>
      <w:sz w:val="18"/>
      <w:szCs w:val="18"/>
    </w:rPr>
  </w:style>
  <w:style w:type="paragraph" w:styleId="14">
    <w:name w:val="caption"/>
    <w:basedOn w:val="1"/>
    <w:next w:val="1"/>
    <w:qFormat/>
    <w:locked/>
    <w:uiPriority w:val="0"/>
    <w:pPr>
      <w:widowControl/>
      <w:adjustRightInd w:val="0"/>
      <w:snapToGrid w:val="0"/>
      <w:jc w:val="center"/>
    </w:pPr>
    <w:rPr>
      <w:rFonts w:eastAsia="黑体"/>
      <w:kern w:val="0"/>
      <w:sz w:val="24"/>
      <w:szCs w:val="20"/>
    </w:rPr>
  </w:style>
  <w:style w:type="paragraph" w:styleId="15">
    <w:name w:val="toa heading"/>
    <w:basedOn w:val="1"/>
    <w:next w:val="1"/>
    <w:qFormat/>
    <w:locked/>
    <w:uiPriority w:val="0"/>
    <w:rPr>
      <w:rFonts w:ascii="Arial" w:hAnsi="Arial"/>
    </w:rPr>
  </w:style>
  <w:style w:type="paragraph" w:styleId="16">
    <w:name w:val="annotation text"/>
    <w:basedOn w:val="1"/>
    <w:link w:val="46"/>
    <w:semiHidden/>
    <w:qFormat/>
    <w:uiPriority w:val="0"/>
    <w:pPr>
      <w:jc w:val="left"/>
    </w:pPr>
    <w:rPr>
      <w:kern w:val="0"/>
      <w:sz w:val="24"/>
      <w:szCs w:val="20"/>
    </w:rPr>
  </w:style>
  <w:style w:type="paragraph" w:styleId="17">
    <w:name w:val="Salutation"/>
    <w:basedOn w:val="1"/>
    <w:next w:val="1"/>
    <w:qFormat/>
    <w:locked/>
    <w:uiPriority w:val="0"/>
    <w:rPr>
      <w:sz w:val="24"/>
    </w:rPr>
  </w:style>
  <w:style w:type="paragraph" w:styleId="18">
    <w:name w:val="toc 3"/>
    <w:basedOn w:val="1"/>
    <w:next w:val="1"/>
    <w:qFormat/>
    <w:locked/>
    <w:uiPriority w:val="0"/>
    <w:pPr>
      <w:ind w:left="840" w:leftChars="400"/>
    </w:pPr>
  </w:style>
  <w:style w:type="paragraph" w:styleId="19">
    <w:name w:val="Plain Text"/>
    <w:basedOn w:val="1"/>
    <w:qFormat/>
    <w:locked/>
    <w:uiPriority w:val="0"/>
    <w:rPr>
      <w:rFonts w:ascii="宋体" w:hAnsi="Courier New" w:cs="Courier New"/>
      <w:szCs w:val="21"/>
    </w:rPr>
  </w:style>
  <w:style w:type="paragraph" w:styleId="20">
    <w:name w:val="Date"/>
    <w:basedOn w:val="1"/>
    <w:next w:val="1"/>
    <w:link w:val="47"/>
    <w:qFormat/>
    <w:uiPriority w:val="0"/>
    <w:pPr>
      <w:ind w:left="100" w:leftChars="2500"/>
    </w:pPr>
    <w:rPr>
      <w:kern w:val="0"/>
      <w:sz w:val="24"/>
      <w:szCs w:val="20"/>
    </w:rPr>
  </w:style>
  <w:style w:type="paragraph" w:styleId="21">
    <w:name w:val="Body Text Indent 2"/>
    <w:basedOn w:val="1"/>
    <w:qFormat/>
    <w:locked/>
    <w:uiPriority w:val="0"/>
    <w:pPr>
      <w:spacing w:line="360" w:lineRule="auto"/>
      <w:ind w:firstLine="480" w:firstLineChars="200"/>
    </w:pPr>
    <w:rPr>
      <w:rFonts w:ascii="宋体" w:hAnsi="宋体"/>
      <w:sz w:val="24"/>
    </w:rPr>
  </w:style>
  <w:style w:type="paragraph" w:styleId="22">
    <w:name w:val="Balloon Text"/>
    <w:basedOn w:val="1"/>
    <w:link w:val="48"/>
    <w:semiHidden/>
    <w:qFormat/>
    <w:uiPriority w:val="0"/>
    <w:rPr>
      <w:kern w:val="0"/>
      <w:sz w:val="18"/>
      <w:szCs w:val="20"/>
    </w:rPr>
  </w:style>
  <w:style w:type="paragraph" w:styleId="23">
    <w:name w:val="footer"/>
    <w:basedOn w:val="1"/>
    <w:link w:val="49"/>
    <w:qFormat/>
    <w:uiPriority w:val="99"/>
    <w:pPr>
      <w:tabs>
        <w:tab w:val="center" w:pos="4153"/>
        <w:tab w:val="right" w:pos="8306"/>
      </w:tabs>
      <w:snapToGrid w:val="0"/>
      <w:jc w:val="left"/>
    </w:pPr>
    <w:rPr>
      <w:kern w:val="0"/>
      <w:sz w:val="18"/>
      <w:szCs w:val="20"/>
    </w:rPr>
  </w:style>
  <w:style w:type="paragraph" w:styleId="24">
    <w:name w:val="toc 1"/>
    <w:basedOn w:val="1"/>
    <w:next w:val="1"/>
    <w:qFormat/>
    <w:locked/>
    <w:uiPriority w:val="0"/>
  </w:style>
  <w:style w:type="paragraph" w:styleId="25">
    <w:name w:val="table of figures"/>
    <w:basedOn w:val="1"/>
    <w:next w:val="1"/>
    <w:qFormat/>
    <w:locked/>
    <w:uiPriority w:val="0"/>
    <w:pPr>
      <w:widowControl/>
      <w:spacing w:line="240" w:lineRule="auto"/>
      <w:ind w:left="420" w:hanging="420"/>
      <w:jc w:val="left"/>
    </w:pPr>
    <w:rPr>
      <w:rFonts w:ascii="Calibri"/>
      <w:smallCaps/>
      <w:kern w:val="0"/>
      <w:sz w:val="20"/>
      <w:szCs w:val="20"/>
    </w:rPr>
  </w:style>
  <w:style w:type="paragraph" w:styleId="26">
    <w:name w:val="toc 2"/>
    <w:basedOn w:val="1"/>
    <w:next w:val="1"/>
    <w:qFormat/>
    <w:locked/>
    <w:uiPriority w:val="0"/>
    <w:pPr>
      <w:ind w:left="420" w:leftChars="200"/>
    </w:pPr>
  </w:style>
  <w:style w:type="paragraph" w:styleId="27">
    <w:name w:val="Body Text 2"/>
    <w:basedOn w:val="1"/>
    <w:unhideWhenUsed/>
    <w:qFormat/>
    <w:locked/>
    <w:uiPriority w:val="99"/>
    <w:pPr>
      <w:spacing w:line="420" w:lineRule="auto"/>
      <w:jc w:val="center"/>
    </w:pPr>
    <w:rPr>
      <w:rFonts w:ascii="楷体_GB2312" w:eastAsia="楷体_GB2312"/>
      <w:szCs w:val="20"/>
    </w:rPr>
  </w:style>
  <w:style w:type="paragraph" w:styleId="28">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29">
    <w:name w:val="Title"/>
    <w:basedOn w:val="1"/>
    <w:qFormat/>
    <w:locked/>
    <w:uiPriority w:val="0"/>
    <w:pPr>
      <w:spacing w:before="240" w:after="60" w:line="360" w:lineRule="auto"/>
      <w:ind w:firstLine="510"/>
      <w:jc w:val="center"/>
      <w:outlineLvl w:val="0"/>
    </w:pPr>
    <w:rPr>
      <w:rFonts w:ascii="Arial" w:hAnsi="Arial" w:eastAsia="仿宋_GB2312"/>
      <w:b/>
      <w:sz w:val="32"/>
      <w:szCs w:val="20"/>
    </w:rPr>
  </w:style>
  <w:style w:type="paragraph" w:styleId="30">
    <w:name w:val="annotation subject"/>
    <w:basedOn w:val="16"/>
    <w:next w:val="16"/>
    <w:link w:val="52"/>
    <w:semiHidden/>
    <w:qFormat/>
    <w:uiPriority w:val="0"/>
    <w:rPr>
      <w:b/>
      <w:sz w:val="24"/>
      <w:szCs w:val="20"/>
    </w:rPr>
  </w:style>
  <w:style w:type="paragraph" w:styleId="31">
    <w:name w:val="Body Text First Indent"/>
    <w:basedOn w:val="7"/>
    <w:next w:val="1"/>
    <w:qFormat/>
    <w:locked/>
    <w:uiPriority w:val="0"/>
    <w:pPr>
      <w:ind w:firstLine="420" w:firstLineChars="100"/>
    </w:pPr>
  </w:style>
  <w:style w:type="table" w:styleId="33">
    <w:name w:val="Table Grid"/>
    <w:basedOn w:val="3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qFormat/>
    <w:locked/>
    <w:uiPriority w:val="0"/>
    <w:rPr>
      <w:b/>
    </w:rPr>
  </w:style>
  <w:style w:type="character" w:styleId="36">
    <w:name w:val="page number"/>
    <w:qFormat/>
    <w:locked/>
    <w:uiPriority w:val="0"/>
  </w:style>
  <w:style w:type="character" w:styleId="37">
    <w:name w:val="FollowedHyperlink"/>
    <w:qFormat/>
    <w:locked/>
    <w:uiPriority w:val="0"/>
    <w:rPr>
      <w:color w:val="800080"/>
      <w:u w:val="none"/>
    </w:rPr>
  </w:style>
  <w:style w:type="character" w:styleId="38">
    <w:name w:val="Emphasis"/>
    <w:qFormat/>
    <w:locked/>
    <w:uiPriority w:val="0"/>
  </w:style>
  <w:style w:type="character" w:styleId="39">
    <w:name w:val="Hyperlink"/>
    <w:qFormat/>
    <w:locked/>
    <w:uiPriority w:val="0"/>
    <w:rPr>
      <w:color w:val="0000FF"/>
      <w:u w:val="none"/>
    </w:rPr>
  </w:style>
  <w:style w:type="character" w:styleId="40">
    <w:name w:val="annotation reference"/>
    <w:semiHidden/>
    <w:qFormat/>
    <w:uiPriority w:val="0"/>
    <w:rPr>
      <w:sz w:val="21"/>
    </w:rPr>
  </w:style>
  <w:style w:type="paragraph" w:customStyle="1" w:styleId="41">
    <w:name w:val="样式 正文文本缩进 + 行距: 1.5 倍行距"/>
    <w:basedOn w:val="42"/>
    <w:qFormat/>
    <w:uiPriority w:val="0"/>
    <w:pPr>
      <w:spacing w:after="120" w:line="360" w:lineRule="auto"/>
      <w:ind w:left="90" w:leftChars="32" w:firstLine="560" w:firstLineChars="200"/>
    </w:pPr>
    <w:rPr>
      <w:rFonts w:cs="宋体"/>
    </w:rPr>
  </w:style>
  <w:style w:type="paragraph" w:customStyle="1" w:styleId="42">
    <w:name w:val="正文文本缩进1"/>
    <w:basedOn w:val="6"/>
    <w:next w:val="41"/>
    <w:qFormat/>
    <w:uiPriority w:val="0"/>
    <w:pPr>
      <w:spacing w:after="120"/>
      <w:ind w:left="420" w:leftChars="200"/>
    </w:pPr>
    <w:rPr>
      <w:sz w:val="24"/>
    </w:rPr>
  </w:style>
  <w:style w:type="paragraph" w:customStyle="1" w:styleId="43">
    <w:name w:val="Body Text Indent"/>
    <w:basedOn w:val="1"/>
    <w:next w:val="41"/>
    <w:qFormat/>
    <w:uiPriority w:val="0"/>
    <w:pPr>
      <w:spacing w:after="120"/>
      <w:ind w:left="420"/>
    </w:pPr>
    <w:rPr>
      <w:szCs w:val="21"/>
    </w:rPr>
  </w:style>
  <w:style w:type="character" w:customStyle="1" w:styleId="44">
    <w:name w:val="正文文本缩进 字符"/>
    <w:link w:val="3"/>
    <w:semiHidden/>
    <w:qFormat/>
    <w:locked/>
    <w:uiPriority w:val="0"/>
    <w:rPr>
      <w:rFonts w:ascii="Times New Roman" w:hAnsi="Times New Roman" w:eastAsia="宋体"/>
      <w:sz w:val="24"/>
    </w:rPr>
  </w:style>
  <w:style w:type="character" w:customStyle="1" w:styleId="45">
    <w:name w:val="正文文本 字符"/>
    <w:link w:val="7"/>
    <w:qFormat/>
    <w:locked/>
    <w:uiPriority w:val="0"/>
    <w:rPr>
      <w:sz w:val="18"/>
    </w:rPr>
  </w:style>
  <w:style w:type="character" w:customStyle="1" w:styleId="46">
    <w:name w:val="批注文字 字符"/>
    <w:link w:val="16"/>
    <w:qFormat/>
    <w:locked/>
    <w:uiPriority w:val="0"/>
    <w:rPr>
      <w:rFonts w:ascii="Times New Roman" w:hAnsi="Times New Roman" w:eastAsia="宋体"/>
      <w:sz w:val="24"/>
    </w:rPr>
  </w:style>
  <w:style w:type="character" w:customStyle="1" w:styleId="47">
    <w:name w:val="日期 字符1"/>
    <w:link w:val="20"/>
    <w:qFormat/>
    <w:locked/>
    <w:uiPriority w:val="0"/>
    <w:rPr>
      <w:rFonts w:ascii="Times New Roman" w:hAnsi="Times New Roman" w:eastAsia="宋体"/>
      <w:sz w:val="24"/>
    </w:rPr>
  </w:style>
  <w:style w:type="character" w:customStyle="1" w:styleId="48">
    <w:name w:val="批注框文本 字符"/>
    <w:link w:val="22"/>
    <w:semiHidden/>
    <w:qFormat/>
    <w:locked/>
    <w:uiPriority w:val="0"/>
    <w:rPr>
      <w:rFonts w:ascii="Times New Roman" w:hAnsi="Times New Roman" w:eastAsia="宋体"/>
      <w:sz w:val="18"/>
    </w:rPr>
  </w:style>
  <w:style w:type="character" w:customStyle="1" w:styleId="49">
    <w:name w:val="页脚 字符1"/>
    <w:link w:val="23"/>
    <w:qFormat/>
    <w:locked/>
    <w:uiPriority w:val="99"/>
    <w:rPr>
      <w:sz w:val="18"/>
    </w:rPr>
  </w:style>
  <w:style w:type="character" w:customStyle="1" w:styleId="50">
    <w:name w:val="页眉 字符"/>
    <w:link w:val="4"/>
    <w:qFormat/>
    <w:locked/>
    <w:uiPriority w:val="0"/>
    <w:rPr>
      <w:sz w:val="18"/>
    </w:rPr>
  </w:style>
  <w:style w:type="character" w:customStyle="1" w:styleId="51">
    <w:name w:val="普通(网站) 字符"/>
    <w:link w:val="28"/>
    <w:qFormat/>
    <w:locked/>
    <w:uiPriority w:val="0"/>
    <w:rPr>
      <w:rFonts w:ascii="宋体" w:hAnsi="宋体" w:eastAsia="宋体"/>
      <w:sz w:val="24"/>
    </w:rPr>
  </w:style>
  <w:style w:type="character" w:customStyle="1" w:styleId="52">
    <w:name w:val="批注主题 字符"/>
    <w:link w:val="30"/>
    <w:semiHidden/>
    <w:qFormat/>
    <w:locked/>
    <w:uiPriority w:val="0"/>
    <w:rPr>
      <w:rFonts w:ascii="Times New Roman" w:hAnsi="Times New Roman" w:eastAsia="宋体"/>
      <w:b/>
      <w:kern w:val="2"/>
      <w:sz w:val="24"/>
    </w:rPr>
  </w:style>
  <w:style w:type="paragraph" w:customStyle="1" w:styleId="53">
    <w:name w:val="正文11"/>
    <w:basedOn w:val="1"/>
    <w:qFormat/>
    <w:uiPriority w:val="0"/>
    <w:pPr>
      <w:adjustRightInd w:val="0"/>
      <w:snapToGrid w:val="0"/>
      <w:spacing w:line="360" w:lineRule="auto"/>
      <w:ind w:firstLine="420" w:firstLineChars="200"/>
    </w:pPr>
    <w:rPr>
      <w:color w:val="000000"/>
      <w:sz w:val="24"/>
    </w:rPr>
  </w:style>
  <w:style w:type="paragraph" w:customStyle="1" w:styleId="54">
    <w:name w:val="样式 标题 1一级标题 + 段前: 0.5 行 段后: 0.5 行"/>
    <w:basedOn w:val="9"/>
    <w:qFormat/>
    <w:uiPriority w:val="99"/>
    <w:pPr>
      <w:spacing w:line="320" w:lineRule="exact"/>
      <w:outlineLvl w:val="9"/>
    </w:pPr>
    <w:rPr>
      <w:spacing w:val="-6"/>
      <w:sz w:val="21"/>
      <w:szCs w:val="21"/>
    </w:rPr>
  </w:style>
  <w:style w:type="paragraph" w:customStyle="1" w:styleId="55">
    <w:name w:val="一般内容"/>
    <w:basedOn w:val="1"/>
    <w:qFormat/>
    <w:uiPriority w:val="0"/>
    <w:pPr>
      <w:spacing w:line="360" w:lineRule="auto"/>
      <w:ind w:firstLine="200" w:firstLineChars="200"/>
    </w:pPr>
    <w:rPr>
      <w:rFonts w:ascii="Arial" w:hAnsi="Arial" w:cs="Arial"/>
      <w:bCs/>
      <w:sz w:val="24"/>
    </w:rPr>
  </w:style>
  <w:style w:type="character" w:customStyle="1" w:styleId="56">
    <w:name w:val="apple-style-span"/>
    <w:qFormat/>
    <w:uiPriority w:val="0"/>
  </w:style>
  <w:style w:type="character" w:customStyle="1" w:styleId="57">
    <w:name w:val="样式 正文 +"/>
    <w:qFormat/>
    <w:uiPriority w:val="0"/>
    <w:rPr>
      <w:kern w:val="0"/>
      <w:sz w:val="24"/>
    </w:rPr>
  </w:style>
  <w:style w:type="character" w:customStyle="1" w:styleId="58">
    <w:name w:val="页脚 字符"/>
    <w:qFormat/>
    <w:uiPriority w:val="99"/>
  </w:style>
  <w:style w:type="character" w:customStyle="1" w:styleId="59">
    <w:name w:val="正文文本 字符1"/>
    <w:semiHidden/>
    <w:qFormat/>
    <w:uiPriority w:val="0"/>
    <w:rPr>
      <w:rFonts w:ascii="Times New Roman" w:hAnsi="Times New Roman" w:eastAsia="宋体"/>
      <w:sz w:val="24"/>
    </w:rPr>
  </w:style>
  <w:style w:type="character" w:customStyle="1" w:styleId="60">
    <w:name w:val="日期 字符"/>
    <w:semiHidden/>
    <w:qFormat/>
    <w:uiPriority w:val="0"/>
    <w:rPr>
      <w:rFonts w:ascii="Times New Roman" w:hAnsi="Times New Roman" w:eastAsia="宋体"/>
      <w:sz w:val="24"/>
    </w:rPr>
  </w:style>
  <w:style w:type="character" w:customStyle="1" w:styleId="61">
    <w:name w:val="表格 Char"/>
    <w:link w:val="62"/>
    <w:qFormat/>
    <w:locked/>
    <w:uiPriority w:val="0"/>
    <w:rPr>
      <w:rFonts w:ascii="宋体"/>
      <w:sz w:val="21"/>
    </w:rPr>
  </w:style>
  <w:style w:type="paragraph" w:customStyle="1" w:styleId="62">
    <w:name w:val="表格"/>
    <w:basedOn w:val="63"/>
    <w:next w:val="1"/>
    <w:link w:val="61"/>
    <w:qFormat/>
    <w:uiPriority w:val="0"/>
    <w:pPr>
      <w:adjustRightInd w:val="0"/>
      <w:snapToGrid w:val="0"/>
      <w:spacing w:beforeLines="10" w:afterLines="10" w:line="259" w:lineRule="auto"/>
      <w:jc w:val="center"/>
    </w:pPr>
    <w:rPr>
      <w:rFonts w:ascii="宋体"/>
      <w:kern w:val="0"/>
      <w:szCs w:val="20"/>
    </w:rPr>
  </w:style>
  <w:style w:type="paragraph" w:customStyle="1" w:styleId="63">
    <w:name w:val="表格使用文字"/>
    <w:basedOn w:val="1"/>
    <w:qFormat/>
    <w:uiPriority w:val="99"/>
    <w:pPr>
      <w:jc w:val="center"/>
    </w:pPr>
    <w:rPr>
      <w:color w:val="000000"/>
      <w:szCs w:val="21"/>
    </w:rPr>
  </w:style>
  <w:style w:type="character" w:customStyle="1" w:styleId="64">
    <w:name w:val="批注文字 字符1"/>
    <w:semiHidden/>
    <w:qFormat/>
    <w:uiPriority w:val="0"/>
    <w:rPr>
      <w:rFonts w:ascii="Times New Roman" w:hAnsi="Times New Roman" w:eastAsia="宋体"/>
      <w:sz w:val="24"/>
    </w:rPr>
  </w:style>
  <w:style w:type="paragraph" w:customStyle="1" w:styleId="6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6">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67">
    <w:name w:val="样式35"/>
    <w:basedOn w:val="1"/>
    <w:next w:val="1"/>
    <w:qFormat/>
    <w:uiPriority w:val="0"/>
    <w:pPr>
      <w:spacing w:line="312" w:lineRule="auto"/>
      <w:ind w:firstLine="567"/>
    </w:pPr>
    <w:rPr>
      <w:rFonts w:ascii="宋体"/>
      <w:sz w:val="28"/>
    </w:rPr>
  </w:style>
  <w:style w:type="paragraph" w:customStyle="1" w:styleId="68">
    <w:name w:val="Char Char1 Char Char Char Char Char Char"/>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cs="Calibri"/>
      <w:kern w:val="2"/>
      <w:sz w:val="21"/>
      <w:szCs w:val="21"/>
      <w:lang w:val="en-US" w:eastAsia="zh-CN" w:bidi="ar"/>
    </w:rPr>
  </w:style>
  <w:style w:type="paragraph" w:customStyle="1" w:styleId="69">
    <w:name w:val="表格标题"/>
    <w:basedOn w:val="1"/>
    <w:next w:val="1"/>
    <w:qFormat/>
    <w:uiPriority w:val="0"/>
    <w:pPr>
      <w:snapToGrid w:val="0"/>
      <w:spacing w:beforeLines="50"/>
      <w:ind w:firstLine="525" w:firstLineChars="250"/>
      <w:jc w:val="center"/>
    </w:pPr>
    <w:rPr>
      <w:rFonts w:eastAsia="黑体"/>
    </w:rPr>
  </w:style>
  <w:style w:type="paragraph" w:customStyle="1" w:styleId="70">
    <w:name w:val="Date1"/>
    <w:basedOn w:val="1"/>
    <w:next w:val="1"/>
    <w:qFormat/>
    <w:uiPriority w:val="0"/>
    <w:rPr>
      <w:sz w:val="21"/>
      <w:szCs w:val="20"/>
    </w:rPr>
  </w:style>
  <w:style w:type="paragraph" w:customStyle="1" w:styleId="71">
    <w:name w:val="表格文字"/>
    <w:basedOn w:val="12"/>
    <w:qFormat/>
    <w:uiPriority w:val="0"/>
    <w:pPr>
      <w:snapToGrid w:val="0"/>
      <w:ind w:firstLine="0" w:firstLineChars="0"/>
      <w:jc w:val="center"/>
    </w:pPr>
    <w:rPr>
      <w:rFonts w:ascii="宋体" w:hAnsi="Arial"/>
      <w:szCs w:val="20"/>
    </w:rPr>
  </w:style>
  <w:style w:type="paragraph" w:customStyle="1" w:styleId="72">
    <w:name w:val="表格-居中"/>
    <w:basedOn w:val="1"/>
    <w:qFormat/>
    <w:uiPriority w:val="0"/>
    <w:pPr>
      <w:spacing w:line="320" w:lineRule="exact"/>
      <w:jc w:val="center"/>
    </w:pPr>
    <w:rPr>
      <w:rFonts w:ascii="宋体"/>
      <w:szCs w:val="21"/>
    </w:rPr>
  </w:style>
  <w:style w:type="paragraph" w:customStyle="1" w:styleId="73">
    <w:name w:val="表格-标题"/>
    <w:basedOn w:val="1"/>
    <w:qFormat/>
    <w:uiPriority w:val="0"/>
    <w:pPr>
      <w:spacing w:line="320" w:lineRule="exact"/>
      <w:jc w:val="center"/>
    </w:pPr>
    <w:rPr>
      <w:rFonts w:ascii="宋体"/>
      <w:b/>
      <w:szCs w:val="21"/>
    </w:rPr>
  </w:style>
  <w:style w:type="paragraph" w:customStyle="1" w:styleId="74">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75">
    <w:name w:val="正文文本 (2)1"/>
    <w:basedOn w:val="1"/>
    <w:qFormat/>
    <w:uiPriority w:val="0"/>
    <w:pPr>
      <w:shd w:val="clear" w:color="auto" w:fill="FFFFFF"/>
      <w:spacing w:before="960" w:line="619" w:lineRule="exact"/>
      <w:ind w:hanging="500"/>
      <w:jc w:val="distribute"/>
    </w:pPr>
    <w:rPr>
      <w:rFonts w:ascii="MingLiU" w:hAnsi="MingLiU" w:eastAsia="MingLiU"/>
      <w:kern w:val="0"/>
      <w:sz w:val="22"/>
      <w:szCs w:val="22"/>
    </w:rPr>
  </w:style>
  <w:style w:type="paragraph" w:customStyle="1" w:styleId="76">
    <w:name w:val="表格内文字"/>
    <w:basedOn w:val="1"/>
    <w:qFormat/>
    <w:uiPriority w:val="0"/>
    <w:pPr>
      <w:tabs>
        <w:tab w:val="left" w:pos="0"/>
      </w:tabs>
      <w:adjustRightInd w:val="0"/>
      <w:snapToGrid w:val="0"/>
      <w:jc w:val="center"/>
    </w:pPr>
    <w:rPr>
      <w:rFonts w:eastAsia="仿宋_GB2312"/>
      <w:sz w:val="24"/>
    </w:rPr>
  </w:style>
  <w:style w:type="paragraph" w:customStyle="1" w:styleId="77">
    <w:name w:val="表格内容"/>
    <w:basedOn w:val="28"/>
    <w:qFormat/>
    <w:uiPriority w:val="0"/>
    <w:pPr>
      <w:spacing w:line="320" w:lineRule="exact"/>
      <w:jc w:val="center"/>
    </w:pPr>
    <w:rPr>
      <w:rFonts w:ascii="宋体"/>
      <w:szCs w:val="21"/>
    </w:rPr>
  </w:style>
  <w:style w:type="paragraph" w:customStyle="1" w:styleId="78">
    <w:name w:val="正文 首行缩进:  2 字符"/>
    <w:basedOn w:val="1"/>
    <w:qFormat/>
    <w:uiPriority w:val="0"/>
    <w:pPr>
      <w:adjustRightInd w:val="0"/>
      <w:snapToGrid w:val="0"/>
      <w:spacing w:line="500" w:lineRule="exact"/>
      <w:ind w:firstLine="200" w:firstLineChars="200"/>
      <w:jc w:val="left"/>
    </w:pPr>
    <w:rPr>
      <w:sz w:val="24"/>
      <w:szCs w:val="20"/>
    </w:rPr>
  </w:style>
  <w:style w:type="paragraph" w:customStyle="1" w:styleId="7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0">
    <w:name w:val="WPSOffice手动目录 1"/>
    <w:qFormat/>
    <w:uiPriority w:val="0"/>
    <w:rPr>
      <w:rFonts w:ascii="Times New Roman" w:hAnsi="Times New Roman" w:eastAsia="宋体" w:cs="Times New Roman"/>
      <w:lang w:val="en-US" w:eastAsia="zh-CN" w:bidi="ar-SA"/>
    </w:rPr>
  </w:style>
  <w:style w:type="paragraph" w:customStyle="1" w:styleId="81">
    <w:name w:val="正文，文本"/>
    <w:basedOn w:val="1"/>
    <w:qFormat/>
    <w:uiPriority w:val="0"/>
    <w:pPr>
      <w:spacing w:line="360" w:lineRule="auto"/>
      <w:ind w:firstLine="480" w:firstLineChars="200"/>
    </w:pPr>
    <w:rPr>
      <w:rFonts w:cs="宋体"/>
      <w:sz w:val="24"/>
      <w:szCs w:val="20"/>
    </w:rPr>
  </w:style>
  <w:style w:type="paragraph" w:customStyle="1" w:styleId="82">
    <w:name w:val="Table Paragraph"/>
    <w:basedOn w:val="1"/>
    <w:qFormat/>
    <w:uiPriority w:val="1"/>
    <w:rPr>
      <w:rFonts w:ascii="宋体" w:hAnsi="宋体" w:cs="宋体"/>
      <w:lang w:val="zh-CN" w:bidi="zh-CN"/>
    </w:rPr>
  </w:style>
  <w:style w:type="paragraph" w:customStyle="1" w:styleId="83">
    <w:name w:val="表"/>
    <w:basedOn w:val="1"/>
    <w:next w:val="1"/>
    <w:qFormat/>
    <w:uiPriority w:val="0"/>
    <w:pPr>
      <w:snapToGrid w:val="0"/>
      <w:jc w:val="center"/>
    </w:pPr>
    <w:rPr>
      <w:rFonts w:ascii="Times New Roman" w:hAnsi="Times New Roman"/>
      <w:spacing w:val="2"/>
    </w:rPr>
  </w:style>
  <w:style w:type="paragraph" w:customStyle="1" w:styleId="84">
    <w:name w:val="表内文字"/>
    <w:basedOn w:val="69"/>
    <w:next w:val="1"/>
    <w:qFormat/>
    <w:uiPriority w:val="0"/>
    <w:pPr>
      <w:spacing w:line="240" w:lineRule="auto"/>
      <w:ind w:firstLine="0" w:firstLineChars="0"/>
      <w:jc w:val="center"/>
    </w:pPr>
  </w:style>
  <w:style w:type="character" w:customStyle="1" w:styleId="85">
    <w:name w:val="znspantitle"/>
    <w:qFormat/>
    <w:uiPriority w:val="0"/>
    <w:rPr>
      <w:b/>
      <w:bCs/>
      <w:color w:val="333333"/>
    </w:rPr>
  </w:style>
  <w:style w:type="character" w:customStyle="1" w:styleId="86">
    <w:name w:val="disabled"/>
    <w:qFormat/>
    <w:uiPriority w:val="0"/>
    <w:rPr>
      <w:vanish/>
    </w:rPr>
  </w:style>
  <w:style w:type="paragraph" w:customStyle="1" w:styleId="87">
    <w:name w:val="表格首行"/>
    <w:basedOn w:val="1"/>
    <w:qFormat/>
    <w:uiPriority w:val="0"/>
    <w:pPr>
      <w:snapToGrid w:val="0"/>
      <w:spacing w:line="240" w:lineRule="auto"/>
      <w:ind w:firstLine="0" w:firstLineChars="0"/>
      <w:jc w:val="center"/>
    </w:pPr>
    <w:rPr>
      <w:rFonts w:cs="Times New Roman"/>
      <w:b/>
      <w:sz w:val="21"/>
    </w:rPr>
  </w:style>
  <w:style w:type="character" w:customStyle="1" w:styleId="88">
    <w:name w:val="font11"/>
    <w:qFormat/>
    <w:uiPriority w:val="0"/>
    <w:rPr>
      <w:rFonts w:hint="eastAsia" w:ascii="宋体" w:hAnsi="宋体" w:eastAsia="宋体" w:cs="宋体"/>
      <w:color w:val="000000"/>
      <w:sz w:val="21"/>
      <w:szCs w:val="21"/>
      <w:u w:val="none"/>
    </w:rPr>
  </w:style>
  <w:style w:type="character" w:customStyle="1" w:styleId="89">
    <w:name w:val="font41"/>
    <w:basedOn w:val="34"/>
    <w:qFormat/>
    <w:uiPriority w:val="0"/>
    <w:rPr>
      <w:rFonts w:hint="eastAsia" w:ascii="宋体" w:hAnsi="宋体" w:eastAsia="宋体" w:cs="宋体"/>
      <w:color w:val="000000"/>
      <w:sz w:val="21"/>
      <w:szCs w:val="21"/>
      <w:u w:val="none"/>
    </w:rPr>
  </w:style>
  <w:style w:type="character" w:customStyle="1" w:styleId="90">
    <w:name w:val="font21"/>
    <w:qFormat/>
    <w:uiPriority w:val="0"/>
    <w:rPr>
      <w:rFonts w:hint="default" w:ascii="Times New Roman" w:hAnsi="Times New Roman" w:cs="Times New Roman"/>
      <w:color w:val="000000"/>
      <w:sz w:val="21"/>
      <w:szCs w:val="21"/>
      <w:u w:val="none"/>
    </w:rPr>
  </w:style>
  <w:style w:type="paragraph" w:customStyle="1" w:styleId="91">
    <w:name w:val="Other|1"/>
    <w:basedOn w:val="1"/>
    <w:qFormat/>
    <w:uiPriority w:val="0"/>
    <w:pPr>
      <w:widowControl w:val="0"/>
      <w:shd w:val="clear" w:color="auto" w:fill="auto"/>
    </w:pPr>
    <w:rPr>
      <w:rFonts w:ascii="宋体" w:hAnsi="宋体" w:eastAsia="宋体" w:cs="宋体"/>
      <w:sz w:val="18"/>
      <w:szCs w:val="18"/>
      <w:u w:val="none"/>
      <w:shd w:val="clear" w:color="auto" w:fill="auto"/>
      <w:lang w:val="zh-TW" w:eastAsia="zh-TW" w:bidi="zh-TW"/>
    </w:rPr>
  </w:style>
  <w:style w:type="paragraph" w:customStyle="1" w:styleId="92">
    <w:name w:val="li_正文"/>
    <w:basedOn w:val="1"/>
    <w:qFormat/>
    <w:uiPriority w:val="0"/>
    <w:pPr>
      <w:ind w:firstLine="200" w:firstLineChars="200"/>
      <w:jc w:val="left"/>
    </w:pPr>
    <w:rPr>
      <w:sz w:val="28"/>
      <w:szCs w:val="28"/>
    </w:rPr>
  </w:style>
  <w:style w:type="character" w:customStyle="1" w:styleId="93">
    <w:name w:val="font12"/>
    <w:basedOn w:val="34"/>
    <w:qFormat/>
    <w:uiPriority w:val="0"/>
    <w:rPr>
      <w:rFonts w:hint="eastAsia" w:ascii="宋体" w:hAnsi="宋体" w:eastAsia="宋体" w:cs="宋体"/>
      <w:color w:val="000000"/>
      <w:sz w:val="21"/>
      <w:szCs w:val="21"/>
      <w:u w:val="none"/>
    </w:rPr>
  </w:style>
  <w:style w:type="character" w:customStyle="1" w:styleId="94">
    <w:name w:val="font51"/>
    <w:basedOn w:val="34"/>
    <w:qFormat/>
    <w:uiPriority w:val="0"/>
    <w:rPr>
      <w:rFonts w:hint="default" w:ascii="Times New Roman" w:hAnsi="Times New Roman" w:cs="Times New Roman"/>
      <w:color w:val="FF0000"/>
      <w:sz w:val="21"/>
      <w:szCs w:val="21"/>
      <w:u w:val="none"/>
    </w:rPr>
  </w:style>
  <w:style w:type="character" w:customStyle="1" w:styleId="95">
    <w:name w:val="font91"/>
    <w:basedOn w:val="34"/>
    <w:qFormat/>
    <w:uiPriority w:val="0"/>
    <w:rPr>
      <w:rFonts w:hint="eastAsia" w:ascii="宋体" w:hAnsi="宋体" w:eastAsia="宋体" w:cs="宋体"/>
      <w:color w:val="FF0000"/>
      <w:sz w:val="21"/>
      <w:szCs w:val="21"/>
      <w:u w:val="none"/>
    </w:rPr>
  </w:style>
  <w:style w:type="character" w:customStyle="1" w:styleId="96">
    <w:name w:val="font01"/>
    <w:basedOn w:val="34"/>
    <w:qFormat/>
    <w:uiPriority w:val="0"/>
    <w:rPr>
      <w:rFonts w:hint="eastAsia" w:ascii="宋体" w:hAnsi="宋体" w:eastAsia="宋体" w:cs="宋体"/>
      <w:color w:val="000000"/>
      <w:sz w:val="22"/>
      <w:szCs w:val="22"/>
      <w:u w:val="none"/>
    </w:rPr>
  </w:style>
  <w:style w:type="paragraph" w:customStyle="1" w:styleId="97">
    <w:name w:val="正文3"/>
    <w:qFormat/>
    <w:uiPriority w:val="0"/>
    <w:pPr>
      <w:jc w:val="both"/>
    </w:pPr>
    <w:rPr>
      <w:rFonts w:ascii="Calibri" w:hAnsi="Calibri" w:eastAsia="宋体" w:cs="宋体"/>
      <w:kern w:val="2"/>
      <w:sz w:val="21"/>
      <w:szCs w:val="21"/>
      <w:lang w:val="en-US" w:eastAsia="zh-CN" w:bidi="ar-SA"/>
    </w:rPr>
  </w:style>
  <w:style w:type="paragraph" w:customStyle="1" w:styleId="98">
    <w:name w:val="正文 首行缩进: 2 字符"/>
    <w:basedOn w:val="1"/>
    <w:qFormat/>
    <w:uiPriority w:val="0"/>
    <w:pPr>
      <w:adjustRightInd w:val="0"/>
      <w:snapToGrid w:val="0"/>
      <w:spacing w:line="500" w:lineRule="exact"/>
      <w:ind w:firstLine="200" w:firstLineChars="200"/>
      <w:jc w:val="left"/>
    </w:pPr>
    <w:rPr>
      <w:sz w:val="24"/>
    </w:rPr>
  </w:style>
  <w:style w:type="table" w:customStyle="1" w:styleId="99">
    <w:name w:val="Table Normal"/>
    <w:unhideWhenUsed/>
    <w:qFormat/>
    <w:uiPriority w:val="0"/>
    <w:tblPr>
      <w:tblCellMar>
        <w:top w:w="0" w:type="dxa"/>
        <w:left w:w="0" w:type="dxa"/>
        <w:bottom w:w="0" w:type="dxa"/>
        <w:right w:w="0" w:type="dxa"/>
      </w:tblCellMar>
    </w:tblPr>
  </w:style>
  <w:style w:type="paragraph" w:customStyle="1" w:styleId="100">
    <w:name w:val="表内容"/>
    <w:basedOn w:val="101"/>
    <w:next w:val="1"/>
    <w:qFormat/>
    <w:uiPriority w:val="0"/>
    <w:pPr>
      <w:adjustRightInd w:val="0"/>
      <w:snapToGrid w:val="0"/>
      <w:spacing w:line="312" w:lineRule="exact"/>
      <w:jc w:val="center"/>
    </w:pPr>
    <w:rPr>
      <w:rFonts w:ascii="Times New Roman" w:hAnsi="Times New Roman" w:eastAsia="宋体"/>
      <w:snapToGrid w:val="0"/>
      <w:kern w:val="0"/>
      <w:szCs w:val="21"/>
    </w:rPr>
  </w:style>
  <w:style w:type="paragraph" w:customStyle="1" w:styleId="101">
    <w:name w:val="报告书正文"/>
    <w:basedOn w:val="1"/>
    <w:qFormat/>
    <w:uiPriority w:val="0"/>
    <w:pPr>
      <w:adjustRightInd w:val="0"/>
      <w:snapToGrid w:val="0"/>
      <w:spacing w:line="480" w:lineRule="atLeast"/>
      <w:ind w:firstLine="425"/>
    </w:pPr>
    <w:rPr>
      <w:rFonts w:ascii="宋体-18030" w:hAnsi="宋体-18030" w:eastAsia="仿宋_GB2312" w:cs="新宋体-18030"/>
      <w:color w:val="000000"/>
      <w:kern w:val="2"/>
      <w:sz w:val="24"/>
      <w:szCs w:val="24"/>
      <w:lang w:val="en-US" w:eastAsia="zh-CN" w:bidi="ar-SA"/>
    </w:rPr>
  </w:style>
  <w:style w:type="paragraph" w:customStyle="1" w:styleId="102">
    <w:name w:val="列出段落1"/>
    <w:basedOn w:val="1"/>
    <w:qFormat/>
    <w:uiPriority w:val="34"/>
    <w:pPr>
      <w:spacing w:line="360" w:lineRule="auto"/>
      <w:ind w:firstLine="420" w:firstLineChars="200"/>
    </w:pPr>
    <w:rPr>
      <w:szCs w:val="21"/>
    </w:rPr>
  </w:style>
  <w:style w:type="paragraph" w:customStyle="1" w:styleId="103">
    <w:name w:val="Table Text"/>
    <w:basedOn w:val="1"/>
    <w:semiHidden/>
    <w:qFormat/>
    <w:uiPriority w:val="0"/>
    <w:rPr>
      <w:rFonts w:ascii="宋体" w:hAnsi="宋体" w:eastAsia="宋体" w:cs="宋体"/>
      <w:sz w:val="24"/>
      <w:szCs w:val="24"/>
      <w:lang w:val="en-US" w:eastAsia="en-US" w:bidi="ar-SA"/>
    </w:rPr>
  </w:style>
  <w:style w:type="paragraph" w:styleId="104">
    <w:name w:val="List Paragraph"/>
    <w:basedOn w:val="1"/>
    <w:autoRedefine/>
    <w:qFormat/>
    <w:uiPriority w:val="34"/>
    <w:pPr>
      <w:ind w:firstLine="420" w:firstLineChars="200"/>
    </w:pPr>
  </w:style>
  <w:style w:type="paragraph" w:customStyle="1" w:styleId="105">
    <w:name w:val="表头格式"/>
    <w:basedOn w:val="1"/>
    <w:next w:val="1"/>
    <w:autoRedefine/>
    <w:qFormat/>
    <w:uiPriority w:val="0"/>
    <w:pPr>
      <w:jc w:val="center"/>
    </w:pPr>
    <w:rPr>
      <w:b/>
      <w:bCs/>
    </w:rPr>
  </w:style>
  <w:style w:type="paragraph" w:customStyle="1" w:styleId="106">
    <w:name w:val="Style"/>
    <w:autoRedefine/>
    <w:qFormat/>
    <w:uiPriority w:val="0"/>
    <w:pPr>
      <w:widowControl w:val="0"/>
      <w:autoSpaceDE w:val="0"/>
      <w:autoSpaceDN w:val="0"/>
      <w:adjustRightInd w:val="0"/>
    </w:pPr>
    <w:rPr>
      <w:rFonts w:ascii="TimesNewRomanPSMT" w:hAnsi="TimesNewRomanPSMT" w:eastAsia="宋体" w:cs="TimesNewRomanPSMT"/>
      <w:sz w:val="24"/>
      <w:szCs w:val="24"/>
      <w:lang w:val="zh" w:eastAsia="zh-CN" w:bidi="ar-SA"/>
    </w:rPr>
  </w:style>
  <w:style w:type="paragraph" w:customStyle="1" w:styleId="107">
    <w:name w:val="标题002"/>
    <w:basedOn w:val="10"/>
    <w:autoRedefine/>
    <w:qFormat/>
    <w:uiPriority w:val="0"/>
    <w:pPr>
      <w:numPr>
        <w:ilvl w:val="0"/>
        <w:numId w:val="0"/>
      </w:numPr>
    </w:p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header" Target="header1.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45.jpeg"/><Relationship Id="rId72" Type="http://schemas.openxmlformats.org/officeDocument/2006/relationships/image" Target="media/image44.jpe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footer" Target="footer5.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emf"/><Relationship Id="rId65" Type="http://schemas.openxmlformats.org/officeDocument/2006/relationships/oleObject" Target="embeddings/oleObject9.bin"/><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emf"/><Relationship Id="rId60" Type="http://schemas.openxmlformats.org/officeDocument/2006/relationships/oleObject" Target="embeddings/oleObject8.bin"/><Relationship Id="rId6" Type="http://schemas.openxmlformats.org/officeDocument/2006/relationships/footer" Target="footer4.xml"/><Relationship Id="rId59" Type="http://schemas.openxmlformats.org/officeDocument/2006/relationships/image" Target="media/image33.png"/><Relationship Id="rId58" Type="http://schemas.openxmlformats.org/officeDocument/2006/relationships/image" Target="media/image32.emf"/><Relationship Id="rId57" Type="http://schemas.openxmlformats.org/officeDocument/2006/relationships/oleObject" Target="embeddings/oleObject7.bin"/><Relationship Id="rId56" Type="http://schemas.openxmlformats.org/officeDocument/2006/relationships/image" Target="media/image31.emf"/><Relationship Id="rId55" Type="http://schemas.openxmlformats.org/officeDocument/2006/relationships/oleObject" Target="embeddings/oleObject6.bin"/><Relationship Id="rId54" Type="http://schemas.openxmlformats.org/officeDocument/2006/relationships/image" Target="media/image30.wmf"/><Relationship Id="rId53" Type="http://schemas.openxmlformats.org/officeDocument/2006/relationships/oleObject" Target="embeddings/oleObject5.bin"/><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footer" Target="footer3.xml"/><Relationship Id="rId49" Type="http://schemas.openxmlformats.org/officeDocument/2006/relationships/image" Target="media/image26.emf"/><Relationship Id="rId48" Type="http://schemas.openxmlformats.org/officeDocument/2006/relationships/image" Target="media/image25.emf"/><Relationship Id="rId47" Type="http://schemas.openxmlformats.org/officeDocument/2006/relationships/oleObject" Target="embeddings/oleObject4.bin"/><Relationship Id="rId46" Type="http://schemas.openxmlformats.org/officeDocument/2006/relationships/image" Target="media/image24.png"/><Relationship Id="rId45" Type="http://schemas.openxmlformats.org/officeDocument/2006/relationships/image" Target="media/image23.jpe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footer" Target="footer2.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jpeg"/><Relationship Id="rId32" Type="http://schemas.openxmlformats.org/officeDocument/2006/relationships/image" Target="media/image10.png"/><Relationship Id="rId31" Type="http://schemas.openxmlformats.org/officeDocument/2006/relationships/image" Target="media/image9.png"/><Relationship Id="rId30" Type="http://schemas.openxmlformats.org/officeDocument/2006/relationships/image" Target="media/image8.png"/><Relationship Id="rId3" Type="http://schemas.openxmlformats.org/officeDocument/2006/relationships/footer" Target="footer1.xml"/><Relationship Id="rId29" Type="http://schemas.openxmlformats.org/officeDocument/2006/relationships/image" Target="media/image7.png"/><Relationship Id="rId28" Type="http://schemas.openxmlformats.org/officeDocument/2006/relationships/image" Target="media/image6.png"/><Relationship Id="rId27" Type="http://schemas.openxmlformats.org/officeDocument/2006/relationships/image" Target="media/image5.png"/><Relationship Id="rId26" Type="http://schemas.openxmlformats.org/officeDocument/2006/relationships/image" Target="media/image4.png"/><Relationship Id="rId25" Type="http://schemas.openxmlformats.org/officeDocument/2006/relationships/image" Target="media/image3.wmf"/><Relationship Id="rId24" Type="http://schemas.openxmlformats.org/officeDocument/2006/relationships/oleObject" Target="embeddings/oleObject3.bin"/><Relationship Id="rId23" Type="http://schemas.openxmlformats.org/officeDocument/2006/relationships/image" Target="media/image2.emf"/><Relationship Id="rId22" Type="http://schemas.openxmlformats.org/officeDocument/2006/relationships/oleObject" Target="embeddings/oleObject2.bin"/><Relationship Id="rId21" Type="http://schemas.openxmlformats.org/officeDocument/2006/relationships/image" Target="media/image1.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1.xml"/><Relationship Id="rId17" Type="http://schemas.openxmlformats.org/officeDocument/2006/relationships/header" Target="header5.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UyMzI4MjA0MDA3IiwKCSJHcm91cElkIiA6ICIzODA4NDA4OTMiLAoJIkltYWdlIiA6ICJpVkJPUncwS0dnb0FBQUFOU1VoRVVnQUFCRDhBQUFZVENBWUFBQUQwT0pNcUFBQUFDWEJJV1hNQUFBc1RBQUFMRXdFQW1wd1lBQUFnQUVsRVFWUjRuT3pkZTN4Tlo5Ny8vL2ZhT1VraUJLMVFSWW5wQVlQc2xGSktVRFZhTFQ4R0hZT1phSHZyU1IvdGpSVDl0clRLdE5PYVRsVmJxak9VVm1rSkpTTzl0VlZLVVlSb2ltclJPTll4VGNnNTJmdjYvZUhPdXJNbElZNDcyWGs5SDQ4ODdIV3RhNjMxV2ZzUk9ieHpYZGVT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zhTTFhCQUFBZ0FFbEVRVl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TRQL1l1L1A0cU9wNy8rUHZNOWtnbW9BZ2kxREFBbDRVVkp5SmdyaUJvaUpjQTFnbzJtSXRvQWJFalI5U3IxSXJ4Z29pQWdvb2xjVXJoWXVvRkEyTG9ySkdvQ2lZVENFc2ltaERDSkZOdHV3enlaemZIeUhUREprc2hDUm5Nbms5SDQ4OHlQa3U1L3M1Y1NZbW4zd1h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tDUytuOVcyMjFyY0s0T2JRQUFBQUJKUlU1RXJrSmdnZz09IiwKCSJUaGVtZSIgOiAiIiwKCSJUeXBlIiA6ICJmbG93IiwKCSJWZXJzaW9uIiA6ICIxMDk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140</Pages>
  <Words>5285</Words>
  <Characters>5533</Characters>
  <Lines>278</Lines>
  <Paragraphs>78</Paragraphs>
  <TotalTime>36</TotalTime>
  <ScaleCrop>false</ScaleCrop>
  <LinksUpToDate>false</LinksUpToDate>
  <CharactersWithSpaces>5632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尚云环境</dc:creator>
  <cp:lastModifiedBy>他说</cp:lastModifiedBy>
  <cp:lastPrinted>2025-03-26T08:07:00Z</cp:lastPrinted>
  <dcterms:modified xsi:type="dcterms:W3CDTF">2025-08-18T06:40:08Z</dcterms:modified>
  <dc:title>建设项目环境影响报告表（污染影响类）</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1648B68A7F25405BBE39295149D3C47A_13</vt:lpwstr>
  </property>
  <property fmtid="{D5CDD505-2E9C-101B-9397-08002B2CF9AE}" pid="4" name="KSOTemplateDocerSaveRecord">
    <vt:lpwstr>eyJoZGlkIjoiNjJjZGJlMTY3ZWE5NjU3NzFiZTAwZmViMDQzODg0ZTMiLCJ1c2VySWQiOiIxMTU0NTQyMzMzIn0=</vt:lpwstr>
  </property>
</Properties>
</file>