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ADE81F">
      <w:pPr>
        <w:pStyle w:val="5"/>
        <w:spacing w:line="257" w:lineRule="auto"/>
        <w:rPr>
          <w:rFonts w:hint="default" w:ascii="Times New Roman" w:hAnsi="Times New Roman" w:cs="Times New Roman"/>
          <w:color w:val="auto"/>
        </w:rPr>
      </w:pPr>
    </w:p>
    <w:p w14:paraId="34B50200">
      <w:pPr>
        <w:pStyle w:val="5"/>
        <w:spacing w:line="257" w:lineRule="auto"/>
        <w:rPr>
          <w:rFonts w:hint="default" w:ascii="Times New Roman" w:hAnsi="Times New Roman" w:cs="Times New Roman"/>
          <w:color w:val="auto"/>
        </w:rPr>
      </w:pPr>
    </w:p>
    <w:p w14:paraId="17118ACD">
      <w:pPr>
        <w:pStyle w:val="5"/>
        <w:spacing w:line="257" w:lineRule="auto"/>
        <w:rPr>
          <w:rFonts w:hint="default" w:ascii="Times New Roman" w:hAnsi="Times New Roman" w:cs="Times New Roman"/>
          <w:color w:val="auto"/>
        </w:rPr>
      </w:pPr>
    </w:p>
    <w:p w14:paraId="3564E5D6">
      <w:pPr>
        <w:pStyle w:val="5"/>
        <w:spacing w:line="258" w:lineRule="auto"/>
        <w:jc w:val="center"/>
        <w:rPr>
          <w:rFonts w:hint="default" w:ascii="Times New Roman" w:hAnsi="Times New Roman" w:cs="Times New Roman"/>
          <w:color w:val="auto"/>
        </w:rPr>
      </w:pPr>
    </w:p>
    <w:p w14:paraId="1E44DAC0">
      <w:pPr>
        <w:pStyle w:val="5"/>
        <w:spacing w:line="258" w:lineRule="auto"/>
        <w:jc w:val="center"/>
        <w:rPr>
          <w:rFonts w:hint="default" w:ascii="Times New Roman" w:hAnsi="Times New Roman" w:cs="Times New Roman"/>
          <w:color w:val="auto"/>
        </w:rPr>
      </w:pPr>
    </w:p>
    <w:p w14:paraId="250AC7FE">
      <w:pPr>
        <w:pStyle w:val="5"/>
        <w:spacing w:line="258" w:lineRule="auto"/>
        <w:jc w:val="center"/>
        <w:rPr>
          <w:rFonts w:hint="default" w:ascii="Times New Roman" w:hAnsi="Times New Roman" w:cs="Times New Roman"/>
          <w:color w:val="auto"/>
        </w:rPr>
      </w:pPr>
    </w:p>
    <w:p w14:paraId="64C356ED">
      <w:pPr>
        <w:pStyle w:val="5"/>
        <w:spacing w:line="258" w:lineRule="auto"/>
        <w:jc w:val="center"/>
        <w:rPr>
          <w:rFonts w:hint="default" w:ascii="Times New Roman" w:hAnsi="Times New Roman" w:cs="Times New Roman"/>
          <w:color w:val="auto"/>
        </w:rPr>
      </w:pPr>
    </w:p>
    <w:p w14:paraId="7C20996B">
      <w:pPr>
        <w:spacing w:before="234" w:line="219" w:lineRule="auto"/>
        <w:ind w:left="234"/>
        <w:jc w:val="center"/>
        <w:outlineLvl w:val="0"/>
        <w:rPr>
          <w:rFonts w:hint="default" w:ascii="Times New Roman" w:hAnsi="Times New Roman" w:eastAsia="黑体" w:cs="Times New Roman"/>
          <w:color w:val="auto"/>
          <w:sz w:val="72"/>
          <w:szCs w:val="72"/>
        </w:rPr>
      </w:pPr>
      <w:r>
        <w:rPr>
          <w:rFonts w:hint="default" w:ascii="Times New Roman" w:hAnsi="Times New Roman" w:eastAsia="黑体" w:cs="Times New Roman"/>
          <w:color w:val="auto"/>
          <w:spacing w:val="-3"/>
          <w:sz w:val="72"/>
          <w:szCs w:val="72"/>
        </w:rPr>
        <w:t>建设项目环境影响报告表</w:t>
      </w:r>
    </w:p>
    <w:p w14:paraId="4F3A706C">
      <w:pPr>
        <w:keepNext w:val="0"/>
        <w:keepLines w:val="0"/>
        <w:pageBreakBefore w:val="0"/>
        <w:widowControl/>
        <w:kinsoku w:val="0"/>
        <w:wordWrap/>
        <w:overflowPunct/>
        <w:topLinePunct w:val="0"/>
        <w:autoSpaceDE w:val="0"/>
        <w:autoSpaceDN w:val="0"/>
        <w:bidi w:val="0"/>
        <w:adjustRightInd w:val="0"/>
        <w:snapToGrid w:val="0"/>
        <w:spacing w:line="216" w:lineRule="auto"/>
        <w:ind w:left="0"/>
        <w:jc w:val="center"/>
        <w:textAlignment w:val="baseline"/>
        <w:outlineLvl w:val="0"/>
        <w:rPr>
          <w:rFonts w:hint="default" w:ascii="Times New Roman" w:hAnsi="Times New Roman" w:eastAsia="楷体" w:cs="Times New Roman"/>
          <w:color w:val="auto"/>
          <w:sz w:val="48"/>
          <w:szCs w:val="48"/>
        </w:rPr>
      </w:pPr>
      <w:r>
        <w:rPr>
          <w:rFonts w:hint="default" w:ascii="Times New Roman" w:hAnsi="Times New Roman" w:eastAsia="楷体" w:cs="Times New Roman"/>
          <w:color w:val="auto"/>
          <w:spacing w:val="-13"/>
          <w:sz w:val="48"/>
          <w:szCs w:val="48"/>
        </w:rPr>
        <w:t>（污染影响类）</w:t>
      </w:r>
    </w:p>
    <w:p w14:paraId="147CA657">
      <w:pPr>
        <w:pStyle w:val="5"/>
        <w:spacing w:line="243" w:lineRule="auto"/>
        <w:jc w:val="center"/>
        <w:rPr>
          <w:rFonts w:hint="default" w:ascii="Times New Roman" w:hAnsi="Times New Roman" w:cs="Times New Roman"/>
          <w:color w:val="auto"/>
        </w:rPr>
      </w:pPr>
    </w:p>
    <w:p w14:paraId="54763024">
      <w:pPr>
        <w:pStyle w:val="5"/>
        <w:spacing w:line="243" w:lineRule="auto"/>
        <w:jc w:val="center"/>
        <w:rPr>
          <w:rFonts w:hint="default" w:ascii="Times New Roman" w:hAnsi="Times New Roman" w:cs="Times New Roman"/>
          <w:color w:val="auto"/>
        </w:rPr>
      </w:pPr>
    </w:p>
    <w:p w14:paraId="4F8F018A">
      <w:pPr>
        <w:pStyle w:val="5"/>
        <w:spacing w:line="243" w:lineRule="auto"/>
        <w:jc w:val="center"/>
        <w:rPr>
          <w:rFonts w:hint="default" w:ascii="Times New Roman" w:hAnsi="Times New Roman" w:cs="Times New Roman"/>
          <w:color w:val="auto"/>
        </w:rPr>
      </w:pPr>
    </w:p>
    <w:p w14:paraId="38A807D2">
      <w:pPr>
        <w:pStyle w:val="5"/>
        <w:spacing w:line="243" w:lineRule="auto"/>
        <w:jc w:val="center"/>
        <w:rPr>
          <w:rFonts w:hint="default" w:ascii="Times New Roman" w:hAnsi="Times New Roman" w:cs="Times New Roman"/>
          <w:color w:val="auto"/>
        </w:rPr>
      </w:pPr>
    </w:p>
    <w:p w14:paraId="1328E717">
      <w:pPr>
        <w:pStyle w:val="5"/>
        <w:spacing w:line="243" w:lineRule="auto"/>
        <w:jc w:val="center"/>
        <w:rPr>
          <w:rFonts w:hint="default" w:ascii="Times New Roman" w:hAnsi="Times New Roman" w:cs="Times New Roman"/>
          <w:color w:val="auto"/>
        </w:rPr>
      </w:pPr>
    </w:p>
    <w:p w14:paraId="77D35813">
      <w:pPr>
        <w:pStyle w:val="5"/>
        <w:spacing w:line="243" w:lineRule="auto"/>
        <w:jc w:val="center"/>
        <w:rPr>
          <w:rFonts w:hint="default" w:ascii="Times New Roman" w:hAnsi="Times New Roman" w:cs="Times New Roman"/>
          <w:color w:val="auto"/>
        </w:rPr>
      </w:pPr>
    </w:p>
    <w:p w14:paraId="4A25AE06">
      <w:pPr>
        <w:pStyle w:val="5"/>
        <w:spacing w:line="243" w:lineRule="auto"/>
        <w:jc w:val="center"/>
        <w:rPr>
          <w:rFonts w:hint="default" w:ascii="Times New Roman" w:hAnsi="Times New Roman" w:cs="Times New Roman"/>
          <w:color w:val="auto"/>
        </w:rPr>
      </w:pPr>
    </w:p>
    <w:p w14:paraId="08A85087">
      <w:pPr>
        <w:pStyle w:val="5"/>
        <w:spacing w:line="243" w:lineRule="auto"/>
        <w:jc w:val="center"/>
        <w:rPr>
          <w:rFonts w:hint="default" w:ascii="Times New Roman" w:hAnsi="Times New Roman" w:cs="Times New Roman"/>
          <w:color w:val="auto"/>
        </w:rPr>
      </w:pPr>
      <w:bookmarkStart w:id="0" w:name="_GoBack"/>
      <w:bookmarkEnd w:id="0"/>
    </w:p>
    <w:p w14:paraId="205974DC">
      <w:pPr>
        <w:pStyle w:val="5"/>
        <w:spacing w:line="243" w:lineRule="auto"/>
        <w:jc w:val="center"/>
        <w:rPr>
          <w:rFonts w:hint="default" w:ascii="Times New Roman" w:hAnsi="Times New Roman" w:cs="Times New Roman"/>
          <w:color w:val="auto"/>
        </w:rPr>
      </w:pPr>
    </w:p>
    <w:p w14:paraId="549A0458">
      <w:pPr>
        <w:pStyle w:val="5"/>
        <w:spacing w:line="243" w:lineRule="auto"/>
        <w:jc w:val="center"/>
        <w:rPr>
          <w:rFonts w:hint="default" w:ascii="Times New Roman" w:hAnsi="Times New Roman" w:cs="Times New Roman"/>
          <w:color w:val="auto"/>
        </w:rPr>
      </w:pPr>
    </w:p>
    <w:p w14:paraId="69B72C9D">
      <w:pPr>
        <w:pStyle w:val="5"/>
        <w:spacing w:line="244" w:lineRule="auto"/>
        <w:jc w:val="center"/>
        <w:rPr>
          <w:rFonts w:hint="default" w:ascii="Times New Roman" w:hAnsi="Times New Roman" w:cs="Times New Roman"/>
          <w:color w:val="auto"/>
        </w:rPr>
      </w:pPr>
    </w:p>
    <w:p w14:paraId="0B8FD2BE">
      <w:pPr>
        <w:pStyle w:val="5"/>
        <w:spacing w:line="244" w:lineRule="auto"/>
        <w:jc w:val="center"/>
        <w:rPr>
          <w:rFonts w:hint="default" w:ascii="Times New Roman" w:hAnsi="Times New Roman" w:cs="Times New Roman"/>
          <w:color w:val="auto"/>
        </w:rPr>
      </w:pPr>
    </w:p>
    <w:p w14:paraId="4FB46F2D">
      <w:pPr>
        <w:pStyle w:val="5"/>
        <w:spacing w:line="244" w:lineRule="auto"/>
        <w:jc w:val="center"/>
        <w:rPr>
          <w:rFonts w:hint="default" w:ascii="Times New Roman" w:hAnsi="Times New Roman" w:cs="Times New Roman"/>
          <w:color w:val="auto"/>
        </w:rPr>
      </w:pPr>
    </w:p>
    <w:p w14:paraId="4C9C9D06">
      <w:pPr>
        <w:pStyle w:val="5"/>
        <w:spacing w:line="244" w:lineRule="auto"/>
        <w:jc w:val="center"/>
        <w:rPr>
          <w:rFonts w:hint="default" w:ascii="Times New Roman" w:hAnsi="Times New Roman" w:cs="Times New Roman"/>
          <w:color w:val="auto"/>
        </w:rPr>
      </w:pPr>
    </w:p>
    <w:p w14:paraId="1C05EB79">
      <w:pPr>
        <w:pStyle w:val="5"/>
        <w:spacing w:line="244" w:lineRule="auto"/>
        <w:jc w:val="center"/>
        <w:rPr>
          <w:rFonts w:hint="default" w:ascii="Times New Roman" w:hAnsi="Times New Roman" w:cs="Times New Roman"/>
          <w:color w:val="auto"/>
        </w:rPr>
      </w:pPr>
    </w:p>
    <w:p w14:paraId="0326F555">
      <w:pPr>
        <w:pStyle w:val="5"/>
        <w:spacing w:line="244" w:lineRule="auto"/>
        <w:jc w:val="center"/>
        <w:rPr>
          <w:rFonts w:hint="default" w:ascii="Times New Roman" w:hAnsi="Times New Roman" w:cs="Times New Roman"/>
          <w:color w:val="auto"/>
        </w:rPr>
      </w:pPr>
    </w:p>
    <w:p w14:paraId="3FF40F41">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1510" w:firstLineChars="500"/>
        <w:jc w:val="both"/>
        <w:textAlignment w:val="baseline"/>
        <w:rPr>
          <w:rFonts w:hint="default" w:ascii="Times New Roman" w:hAnsi="Times New Roman" w:eastAsia="宋体" w:cs="Times New Roman"/>
          <w:color w:val="auto"/>
          <w:sz w:val="31"/>
          <w:szCs w:val="31"/>
          <w:lang w:val="en-US"/>
        </w:rPr>
      </w:pPr>
      <w:r>
        <w:rPr>
          <w:rFonts w:hint="default" w:ascii="Times New Roman" w:hAnsi="Times New Roman" w:cs="Times New Roman"/>
          <w:color w:val="auto"/>
          <w:spacing w:val="-4"/>
          <w:sz w:val="31"/>
          <w:szCs w:val="31"/>
          <w:lang w:val="en-US" w:eastAsia="zh-CN"/>
          <w14:textOutline w14:w="5791" w14:cap="flat" w14:cmpd="sng">
            <w14:solidFill>
              <w14:srgbClr w14:val="000000"/>
            </w14:solidFill>
            <w14:prstDash w14:val="solid"/>
            <w14:miter w14:val="0"/>
          </w14:textOutline>
        </w:rPr>
        <w:t xml:space="preserve"> </w:t>
      </w:r>
      <w:r>
        <w:rPr>
          <w:rFonts w:hint="default" w:ascii="Times New Roman" w:hAnsi="Times New Roman" w:eastAsia="宋体" w:cs="Times New Roman"/>
          <w:color w:val="auto"/>
          <w:spacing w:val="-4"/>
          <w:sz w:val="31"/>
          <w:szCs w:val="31"/>
          <w14:textOutline w14:w="5791" w14:cap="flat" w14:cmpd="sng">
            <w14:solidFill>
              <w14:srgbClr w14:val="000000"/>
            </w14:solidFill>
            <w14:prstDash w14:val="solid"/>
            <w14:miter w14:val="0"/>
          </w14:textOutline>
        </w:rPr>
        <w:t>项目名称：</w:t>
      </w:r>
      <w:r>
        <w:rPr>
          <w:rFonts w:hint="default" w:ascii="Times New Roman" w:hAnsi="Times New Roman" w:eastAsia="宋体" w:cs="Times New Roman"/>
          <w:color w:val="auto"/>
          <w:spacing w:val="94"/>
          <w:sz w:val="31"/>
          <w:szCs w:val="31"/>
        </w:rPr>
        <w:t xml:space="preserve"> </w:t>
      </w:r>
      <w:r>
        <w:rPr>
          <w:rFonts w:hint="default" w:ascii="Times New Roman" w:hAnsi="Times New Roman" w:eastAsia="宋体" w:cs="Times New Roman"/>
          <w:color w:val="auto"/>
          <w:spacing w:val="-4"/>
          <w:sz w:val="31"/>
          <w:szCs w:val="31"/>
          <w:u w:val="single" w:color="auto"/>
        </w:rPr>
        <w:t xml:space="preserve"> </w:t>
      </w:r>
      <w:r>
        <w:rPr>
          <w:rFonts w:hint="eastAsia" w:ascii="Times New Roman" w:hAnsi="Times New Roman" w:cs="Times New Roman"/>
          <w:color w:val="auto"/>
          <w:spacing w:val="-4"/>
          <w:sz w:val="31"/>
          <w:szCs w:val="31"/>
          <w:u w:val="single" w:color="000000"/>
          <w:lang w:eastAsia="zh-CN"/>
          <w14:textOutline w14:w="5791" w14:cap="flat" w14:cmpd="sng">
            <w14:solidFill>
              <w14:srgbClr w14:val="000000"/>
            </w14:solidFill>
            <w14:prstDash w14:val="solid"/>
            <w14:miter w14:val="0"/>
          </w14:textOutline>
        </w:rPr>
        <w:t>年产4000吨机械阀门及泵类配件技改项目</w:t>
      </w:r>
    </w:p>
    <w:p w14:paraId="5909EE7F">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1580" w:firstLineChars="500"/>
        <w:jc w:val="both"/>
        <w:textAlignment w:val="baseline"/>
        <w:rPr>
          <w:rFonts w:hint="default" w:ascii="Times New Roman" w:hAnsi="Times New Roman" w:eastAsia="宋体" w:cs="Times New Roman"/>
          <w:color w:val="auto"/>
          <w:sz w:val="31"/>
          <w:szCs w:val="31"/>
          <w:lang w:val="en-US"/>
        </w:rPr>
      </w:pPr>
      <w:r>
        <w:rPr>
          <w:rFonts w:hint="default" w:ascii="Times New Roman" w:hAnsi="Times New Roman" w:eastAsia="宋体" w:cs="Times New Roman"/>
          <w:color w:val="auto"/>
          <w:spacing w:val="3"/>
          <w:sz w:val="31"/>
          <w:szCs w:val="31"/>
          <w14:textOutline w14:w="5791" w14:cap="flat" w14:cmpd="sng">
            <w14:solidFill>
              <w14:srgbClr w14:val="000000"/>
            </w14:solidFill>
            <w14:prstDash w14:val="solid"/>
            <w14:miter w14:val="0"/>
          </w14:textOutline>
        </w:rPr>
        <w:t>建设单位（盖章</w:t>
      </w:r>
      <w:r>
        <w:rPr>
          <w:rFonts w:hint="default" w:ascii="Times New Roman" w:hAnsi="Times New Roman" w:eastAsia="宋体" w:cs="Times New Roman"/>
          <w:color w:val="auto"/>
          <w:spacing w:val="-13"/>
          <w:sz w:val="31"/>
          <w:szCs w:val="31"/>
          <w14:textOutline w14:w="5791" w14:cap="flat" w14:cmpd="sng">
            <w14:solidFill>
              <w14:srgbClr w14:val="000000"/>
            </w14:solidFill>
            <w14:prstDash w14:val="solid"/>
            <w14:miter w14:val="0"/>
          </w14:textOutline>
        </w:rPr>
        <w:t>）</w:t>
      </w:r>
      <w:r>
        <w:rPr>
          <w:rFonts w:hint="default" w:ascii="Times New Roman" w:hAnsi="Times New Roman" w:eastAsia="宋体" w:cs="Times New Roman"/>
          <w:color w:val="auto"/>
          <w:spacing w:val="-12"/>
          <w:sz w:val="31"/>
          <w:szCs w:val="31"/>
        </w:rPr>
        <w:t xml:space="preserve"> </w:t>
      </w:r>
      <w:r>
        <w:rPr>
          <w:rFonts w:hint="default" w:ascii="Times New Roman" w:hAnsi="Times New Roman" w:eastAsia="宋体" w:cs="Times New Roman"/>
          <w:color w:val="auto"/>
          <w:spacing w:val="26"/>
          <w:sz w:val="31"/>
          <w:szCs w:val="31"/>
          <w:u w:val="single" w:color="auto"/>
        </w:rPr>
        <w:t xml:space="preserve">  </w:t>
      </w:r>
      <w:r>
        <w:rPr>
          <w:rFonts w:hint="default" w:ascii="Times New Roman" w:hAnsi="Times New Roman" w:cs="Times New Roman"/>
          <w:color w:val="auto"/>
          <w:spacing w:val="26"/>
          <w:sz w:val="31"/>
          <w:szCs w:val="31"/>
          <w:u w:val="single" w:color="auto"/>
          <w:lang w:val="en-US" w:eastAsia="zh-CN"/>
        </w:rPr>
        <w:t xml:space="preserve">  </w:t>
      </w:r>
      <w:r>
        <w:rPr>
          <w:rFonts w:hint="eastAsia" w:ascii="Times New Roman" w:hAnsi="Times New Roman" w:cs="Times New Roman"/>
          <w:color w:val="auto"/>
          <w:spacing w:val="26"/>
          <w:sz w:val="31"/>
          <w:szCs w:val="31"/>
          <w:u w:val="single" w:color="auto"/>
          <w:lang w:val="en-US" w:eastAsia="zh-CN"/>
        </w:rPr>
        <w:t xml:space="preserve"> </w:t>
      </w:r>
      <w:r>
        <w:rPr>
          <w:rFonts w:hint="default" w:ascii="Times New Roman" w:hAnsi="Times New Roman" w:cs="Times New Roman"/>
          <w:color w:val="auto"/>
          <w:spacing w:val="26"/>
          <w:sz w:val="31"/>
          <w:szCs w:val="31"/>
          <w:u w:val="single" w:color="auto"/>
          <w:lang w:val="en-US" w:eastAsia="zh-CN"/>
        </w:rPr>
        <w:t xml:space="preserve">  </w:t>
      </w:r>
      <w:r>
        <w:rPr>
          <w:rFonts w:hint="eastAsia" w:ascii="Times New Roman" w:hAnsi="Times New Roman" w:cs="Times New Roman"/>
          <w:color w:val="auto"/>
          <w:spacing w:val="3"/>
          <w:sz w:val="31"/>
          <w:szCs w:val="31"/>
          <w:u w:val="single" w:color="000000"/>
          <w:lang w:eastAsia="zh-CN"/>
          <w14:textOutline w14:w="5791" w14:cap="flat" w14:cmpd="sng">
            <w14:solidFill>
              <w14:srgbClr w14:val="000000"/>
            </w14:solidFill>
            <w14:prstDash w14:val="solid"/>
            <w14:miter w14:val="0"/>
          </w14:textOutline>
        </w:rPr>
        <w:t>淄博淄阀工贸有限公司</w:t>
      </w:r>
      <w:r>
        <w:rPr>
          <w:rFonts w:hint="default" w:ascii="Times New Roman" w:hAnsi="Times New Roman" w:cs="Times New Roman"/>
          <w:color w:val="auto"/>
          <w:spacing w:val="3"/>
          <w:sz w:val="31"/>
          <w:szCs w:val="31"/>
          <w:u w:val="single" w:color="000000"/>
          <w:lang w:val="en-US" w:eastAsia="zh-CN"/>
          <w14:textOutline w14:w="5791" w14:cap="flat" w14:cmpd="sng">
            <w14:solidFill>
              <w14:srgbClr w14:val="000000"/>
            </w14:solidFill>
            <w14:prstDash w14:val="solid"/>
            <w14:miter w14:val="0"/>
          </w14:textOutline>
        </w:rPr>
        <w:t xml:space="preserve">           </w:t>
      </w:r>
    </w:p>
    <w:p w14:paraId="61E84247">
      <w:pPr>
        <w:keepNext w:val="0"/>
        <w:keepLines w:val="0"/>
        <w:pageBreakBefore w:val="0"/>
        <w:widowControl/>
        <w:kinsoku w:val="0"/>
        <w:wordWrap/>
        <w:overflowPunct/>
        <w:topLinePunct w:val="0"/>
        <w:autoSpaceDE w:val="0"/>
        <w:autoSpaceDN w:val="0"/>
        <w:bidi w:val="0"/>
        <w:adjustRightInd w:val="0"/>
        <w:snapToGrid w:val="0"/>
        <w:spacing w:line="360" w:lineRule="auto"/>
        <w:ind w:firstLine="1740" w:firstLineChars="600"/>
        <w:jc w:val="both"/>
        <w:textAlignment w:val="baseline"/>
        <w:rPr>
          <w:rFonts w:hint="default" w:ascii="Times New Roman" w:hAnsi="Times New Roman" w:eastAsia="宋体" w:cs="Times New Roman"/>
          <w:color w:val="auto"/>
          <w:sz w:val="31"/>
          <w:szCs w:val="31"/>
          <w:lang w:val="en-US" w:eastAsia="zh-CN"/>
        </w:rPr>
      </w:pPr>
      <w:r>
        <w:rPr>
          <w:rFonts w:hint="default" w:ascii="Times New Roman" w:hAnsi="Times New Roman" w:eastAsia="宋体" w:cs="Times New Roman"/>
          <w:color w:val="auto"/>
          <w:spacing w:val="-10"/>
          <w:sz w:val="31"/>
          <w:szCs w:val="31"/>
          <w14:textOutline w14:w="5791" w14:cap="flat" w14:cmpd="sng">
            <w14:solidFill>
              <w14:srgbClr w14:val="000000"/>
            </w14:solidFill>
            <w14:prstDash w14:val="solid"/>
            <w14:miter w14:val="0"/>
          </w14:textOutline>
        </w:rPr>
        <w:t>编制日期：</w:t>
      </w:r>
      <w:r>
        <w:rPr>
          <w:rFonts w:hint="default" w:ascii="Times New Roman" w:hAnsi="Times New Roman" w:eastAsia="宋体" w:cs="Times New Roman"/>
          <w:color w:val="auto"/>
          <w:spacing w:val="88"/>
          <w:sz w:val="31"/>
          <w:szCs w:val="31"/>
        </w:rPr>
        <w:t xml:space="preserve"> </w:t>
      </w:r>
      <w:r>
        <w:rPr>
          <w:rFonts w:hint="default" w:ascii="Times New Roman" w:hAnsi="Times New Roman" w:eastAsia="宋体" w:cs="Times New Roman"/>
          <w:color w:val="auto"/>
          <w:spacing w:val="7"/>
          <w:sz w:val="31"/>
          <w:szCs w:val="31"/>
          <w:u w:val="single" w:color="auto"/>
        </w:rPr>
        <w:t xml:space="preserve">        </w:t>
      </w:r>
      <w:r>
        <w:rPr>
          <w:rFonts w:hint="default" w:ascii="Times New Roman" w:hAnsi="Times New Roman" w:eastAsia="宋体" w:cs="Times New Roman"/>
          <w:color w:val="auto"/>
          <w:spacing w:val="7"/>
          <w:sz w:val="31"/>
          <w:szCs w:val="31"/>
          <w:u w:val="single" w:color="auto"/>
          <w:lang w:val="en-US" w:eastAsia="zh-CN"/>
        </w:rPr>
        <w:t xml:space="preserve">    </w:t>
      </w:r>
      <w:r>
        <w:rPr>
          <w:rFonts w:hint="default" w:ascii="Times New Roman" w:hAnsi="Times New Roman" w:cs="Times New Roman"/>
          <w:color w:val="auto"/>
          <w:spacing w:val="7"/>
          <w:sz w:val="31"/>
          <w:szCs w:val="31"/>
          <w:u w:val="single" w:color="auto"/>
          <w:lang w:val="en-US" w:eastAsia="zh-CN"/>
        </w:rPr>
        <w:t xml:space="preserve">      </w:t>
      </w:r>
      <w:r>
        <w:rPr>
          <w:rFonts w:hint="eastAsia" w:ascii="Times New Roman" w:hAnsi="Times New Roman" w:cs="Times New Roman"/>
          <w:color w:val="auto"/>
          <w:spacing w:val="7"/>
          <w:sz w:val="31"/>
          <w:szCs w:val="31"/>
          <w:u w:val="single" w:color="auto"/>
          <w:lang w:val="en-US" w:eastAsia="zh-CN"/>
        </w:rPr>
        <w:t xml:space="preserve"> </w:t>
      </w:r>
      <w:r>
        <w:rPr>
          <w:rFonts w:hint="default" w:ascii="Times New Roman" w:hAnsi="Times New Roman" w:cs="Times New Roman"/>
          <w:color w:val="auto"/>
          <w:spacing w:val="7"/>
          <w:sz w:val="31"/>
          <w:szCs w:val="31"/>
          <w:u w:val="single" w:color="auto"/>
          <w:lang w:val="en-US" w:eastAsia="zh-CN"/>
        </w:rPr>
        <w:t xml:space="preserve"> </w:t>
      </w:r>
      <w:r>
        <w:rPr>
          <w:rFonts w:hint="default" w:ascii="Times New Roman" w:hAnsi="Times New Roman" w:eastAsia="宋体" w:cs="Times New Roman"/>
          <w:color w:val="auto"/>
          <w:spacing w:val="-10"/>
          <w:sz w:val="31"/>
          <w:szCs w:val="31"/>
          <w:u w:val="single" w:color="000000"/>
          <w14:textOutline w14:w="5791" w14:cap="flat" w14:cmpd="sng">
            <w14:solidFill>
              <w14:srgbClr w14:val="000000"/>
            </w14:solidFill>
            <w14:prstDash w14:val="solid"/>
            <w14:miter w14:val="0"/>
          </w14:textOutline>
        </w:rPr>
        <w:t>二〇二</w:t>
      </w:r>
      <w:r>
        <w:rPr>
          <w:rFonts w:hint="default" w:ascii="Times New Roman" w:hAnsi="Times New Roman" w:cs="Times New Roman"/>
          <w:color w:val="auto"/>
          <w:spacing w:val="-10"/>
          <w:sz w:val="31"/>
          <w:szCs w:val="31"/>
          <w:u w:val="single" w:color="000000"/>
          <w:lang w:val="en-US" w:eastAsia="zh-CN"/>
          <w14:textOutline w14:w="5791" w14:cap="flat" w14:cmpd="sng">
            <w14:solidFill>
              <w14:srgbClr w14:val="000000"/>
            </w14:solidFill>
            <w14:prstDash w14:val="solid"/>
            <w14:miter w14:val="0"/>
          </w14:textOutline>
        </w:rPr>
        <w:t>五</w:t>
      </w:r>
      <w:r>
        <w:rPr>
          <w:rFonts w:hint="default" w:ascii="Times New Roman" w:hAnsi="Times New Roman" w:eastAsia="宋体" w:cs="Times New Roman"/>
          <w:color w:val="auto"/>
          <w:spacing w:val="-10"/>
          <w:sz w:val="31"/>
          <w:szCs w:val="31"/>
          <w:u w:val="single" w:color="000000"/>
          <w14:textOutline w14:w="5791" w14:cap="flat" w14:cmpd="sng">
            <w14:solidFill>
              <w14:srgbClr w14:val="000000"/>
            </w14:solidFill>
            <w14:prstDash w14:val="solid"/>
            <w14:miter w14:val="0"/>
          </w14:textOutline>
        </w:rPr>
        <w:t>年</w:t>
      </w:r>
      <w:r>
        <w:rPr>
          <w:rFonts w:hint="eastAsia" w:ascii="Times New Roman" w:hAnsi="Times New Roman" w:cs="Times New Roman"/>
          <w:color w:val="auto"/>
          <w:spacing w:val="-10"/>
          <w:sz w:val="31"/>
          <w:szCs w:val="31"/>
          <w:u w:val="single" w:color="000000"/>
          <w:lang w:val="en-US" w:eastAsia="zh-CN"/>
          <w14:textOutline w14:w="5791" w14:cap="flat" w14:cmpd="sng">
            <w14:solidFill>
              <w14:srgbClr w14:val="000000"/>
            </w14:solidFill>
            <w14:prstDash w14:val="solid"/>
            <w14:miter w14:val="0"/>
          </w14:textOutline>
        </w:rPr>
        <w:t>十一</w:t>
      </w:r>
      <w:r>
        <w:rPr>
          <w:rFonts w:hint="default" w:ascii="Times New Roman" w:hAnsi="Times New Roman" w:eastAsia="宋体" w:cs="Times New Roman"/>
          <w:color w:val="auto"/>
          <w:spacing w:val="-10"/>
          <w:sz w:val="31"/>
          <w:szCs w:val="31"/>
          <w:u w:val="single" w:color="000000"/>
          <w14:textOutline w14:w="5791" w14:cap="flat" w14:cmpd="sng">
            <w14:solidFill>
              <w14:srgbClr w14:val="000000"/>
            </w14:solidFill>
            <w14:prstDash w14:val="solid"/>
            <w14:miter w14:val="0"/>
          </w14:textOutline>
        </w:rPr>
        <w:t>月</w:t>
      </w:r>
      <w:r>
        <w:rPr>
          <w:rFonts w:hint="default" w:ascii="Times New Roman" w:hAnsi="Times New Roman" w:cs="Times New Roman"/>
          <w:color w:val="auto"/>
          <w:spacing w:val="-10"/>
          <w:sz w:val="31"/>
          <w:szCs w:val="31"/>
          <w:u w:val="single" w:color="000000"/>
          <w:lang w:val="en-US" w:eastAsia="zh-CN"/>
          <w14:textOutline w14:w="5791" w14:cap="flat" w14:cmpd="sng">
            <w14:solidFill>
              <w14:srgbClr w14:val="000000"/>
            </w14:solidFill>
            <w14:prstDash w14:val="solid"/>
            <w14:miter w14:val="0"/>
          </w14:textOutline>
        </w:rPr>
        <w:t xml:space="preserve">    </w:t>
      </w:r>
      <w:r>
        <w:rPr>
          <w:rFonts w:hint="eastAsia" w:ascii="Times New Roman" w:hAnsi="Times New Roman" w:cs="Times New Roman"/>
          <w:color w:val="auto"/>
          <w:spacing w:val="-10"/>
          <w:sz w:val="31"/>
          <w:szCs w:val="31"/>
          <w:u w:val="single" w:color="000000"/>
          <w:lang w:val="en-US" w:eastAsia="zh-CN"/>
          <w14:textOutline w14:w="5791" w14:cap="flat" w14:cmpd="sng">
            <w14:solidFill>
              <w14:srgbClr w14:val="000000"/>
            </w14:solidFill>
            <w14:prstDash w14:val="solid"/>
            <w14:miter w14:val="0"/>
          </w14:textOutline>
        </w:rPr>
        <w:t xml:space="preserve"> </w:t>
      </w:r>
      <w:r>
        <w:rPr>
          <w:rFonts w:hint="default" w:ascii="Times New Roman" w:hAnsi="Times New Roman" w:cs="Times New Roman"/>
          <w:color w:val="auto"/>
          <w:spacing w:val="-10"/>
          <w:sz w:val="31"/>
          <w:szCs w:val="31"/>
          <w:u w:val="single" w:color="000000"/>
          <w:lang w:val="en-US" w:eastAsia="zh-CN"/>
          <w14:textOutline w14:w="5791" w14:cap="flat" w14:cmpd="sng">
            <w14:solidFill>
              <w14:srgbClr w14:val="000000"/>
            </w14:solidFill>
            <w14:prstDash w14:val="solid"/>
            <w14:miter w14:val="0"/>
          </w14:textOutline>
        </w:rPr>
        <w:t xml:space="preserve"> </w:t>
      </w:r>
      <w:r>
        <w:rPr>
          <w:rFonts w:hint="eastAsia" w:ascii="Times New Roman" w:hAnsi="Times New Roman" w:cs="Times New Roman"/>
          <w:color w:val="auto"/>
          <w:spacing w:val="-10"/>
          <w:sz w:val="31"/>
          <w:szCs w:val="31"/>
          <w:u w:val="single" w:color="000000"/>
          <w:lang w:val="en-US" w:eastAsia="zh-CN"/>
          <w14:textOutline w14:w="5791" w14:cap="flat" w14:cmpd="sng">
            <w14:solidFill>
              <w14:srgbClr w14:val="000000"/>
            </w14:solidFill>
            <w14:prstDash w14:val="solid"/>
            <w14:miter w14:val="0"/>
          </w14:textOutline>
        </w:rPr>
        <w:t xml:space="preserve">    </w:t>
      </w:r>
      <w:r>
        <w:rPr>
          <w:rFonts w:hint="default" w:ascii="Times New Roman" w:hAnsi="Times New Roman" w:cs="Times New Roman"/>
          <w:color w:val="auto"/>
          <w:spacing w:val="-10"/>
          <w:sz w:val="31"/>
          <w:szCs w:val="31"/>
          <w:u w:val="single" w:color="000000"/>
          <w:lang w:val="en-US" w:eastAsia="zh-CN"/>
          <w14:textOutline w14:w="5791" w14:cap="flat" w14:cmpd="sng">
            <w14:solidFill>
              <w14:srgbClr w14:val="000000"/>
            </w14:solidFill>
            <w14:prstDash w14:val="solid"/>
            <w14:miter w14:val="0"/>
          </w14:textOutline>
        </w:rPr>
        <w:t xml:space="preserve">          </w:t>
      </w:r>
    </w:p>
    <w:p w14:paraId="507C3E59">
      <w:pPr>
        <w:pStyle w:val="5"/>
        <w:spacing w:line="259" w:lineRule="auto"/>
        <w:jc w:val="center"/>
        <w:rPr>
          <w:rFonts w:hint="default" w:ascii="Times New Roman" w:hAnsi="Times New Roman" w:cs="Times New Roman"/>
          <w:color w:val="auto"/>
        </w:rPr>
      </w:pPr>
    </w:p>
    <w:p w14:paraId="122FACFA">
      <w:pPr>
        <w:pStyle w:val="5"/>
        <w:spacing w:line="259" w:lineRule="auto"/>
        <w:jc w:val="center"/>
        <w:rPr>
          <w:rFonts w:hint="default" w:ascii="Times New Roman" w:hAnsi="Times New Roman" w:cs="Times New Roman"/>
          <w:color w:val="auto"/>
        </w:rPr>
      </w:pPr>
    </w:p>
    <w:p w14:paraId="7DCA8B4A">
      <w:pPr>
        <w:pStyle w:val="5"/>
        <w:spacing w:line="260" w:lineRule="auto"/>
        <w:jc w:val="center"/>
        <w:rPr>
          <w:rFonts w:hint="default" w:ascii="Times New Roman" w:hAnsi="Times New Roman" w:cs="Times New Roman"/>
          <w:color w:val="auto"/>
        </w:rPr>
      </w:pPr>
    </w:p>
    <w:p w14:paraId="0E87068B">
      <w:pPr>
        <w:pStyle w:val="5"/>
        <w:spacing w:line="260" w:lineRule="auto"/>
        <w:jc w:val="center"/>
        <w:rPr>
          <w:rFonts w:hint="default" w:ascii="Times New Roman" w:hAnsi="Times New Roman" w:cs="Times New Roman"/>
          <w:color w:val="auto"/>
        </w:rPr>
      </w:pPr>
    </w:p>
    <w:p w14:paraId="4103454C">
      <w:pPr>
        <w:pStyle w:val="5"/>
        <w:spacing w:line="260" w:lineRule="auto"/>
        <w:jc w:val="center"/>
        <w:rPr>
          <w:rFonts w:hint="default" w:ascii="Times New Roman" w:hAnsi="Times New Roman" w:cs="Times New Roman"/>
          <w:color w:val="auto"/>
        </w:rPr>
      </w:pPr>
    </w:p>
    <w:p w14:paraId="1474EF60">
      <w:pPr>
        <w:pStyle w:val="5"/>
        <w:spacing w:line="260" w:lineRule="auto"/>
        <w:jc w:val="center"/>
        <w:rPr>
          <w:rFonts w:hint="default" w:ascii="Times New Roman" w:hAnsi="Times New Roman" w:cs="Times New Roman"/>
          <w:color w:val="auto"/>
        </w:rPr>
      </w:pPr>
    </w:p>
    <w:p w14:paraId="36F6C8F6">
      <w:pPr>
        <w:pStyle w:val="5"/>
        <w:spacing w:line="260" w:lineRule="auto"/>
        <w:jc w:val="center"/>
        <w:rPr>
          <w:rFonts w:hint="default" w:ascii="Times New Roman" w:hAnsi="Times New Roman" w:cs="Times New Roman"/>
          <w:color w:val="auto"/>
        </w:rPr>
      </w:pPr>
    </w:p>
    <w:p w14:paraId="56B6D788">
      <w:pPr>
        <w:pStyle w:val="5"/>
        <w:spacing w:line="260" w:lineRule="auto"/>
        <w:jc w:val="center"/>
        <w:rPr>
          <w:rFonts w:hint="default" w:ascii="Times New Roman" w:hAnsi="Times New Roman" w:cs="Times New Roman"/>
          <w:color w:val="auto"/>
        </w:rPr>
      </w:pPr>
    </w:p>
    <w:p w14:paraId="36AEA4C1">
      <w:pPr>
        <w:pStyle w:val="5"/>
        <w:spacing w:line="260" w:lineRule="auto"/>
        <w:jc w:val="center"/>
        <w:rPr>
          <w:rFonts w:hint="default" w:ascii="Times New Roman" w:hAnsi="Times New Roman" w:cs="Times New Roman"/>
          <w:color w:val="auto"/>
        </w:rPr>
      </w:pPr>
    </w:p>
    <w:p w14:paraId="70DCBB6B">
      <w:pPr>
        <w:pStyle w:val="5"/>
        <w:spacing w:line="260" w:lineRule="auto"/>
        <w:jc w:val="center"/>
        <w:rPr>
          <w:rFonts w:hint="default" w:ascii="Times New Roman" w:hAnsi="Times New Roman" w:cs="Times New Roman"/>
          <w:color w:val="auto"/>
        </w:rPr>
      </w:pPr>
    </w:p>
    <w:p w14:paraId="62AD1C69">
      <w:pPr>
        <w:keepNext w:val="0"/>
        <w:keepLines w:val="0"/>
        <w:pageBreakBefore w:val="0"/>
        <w:widowControl/>
        <w:kinsoku w:val="0"/>
        <w:wordWrap/>
        <w:overflowPunct/>
        <w:topLinePunct w:val="0"/>
        <w:autoSpaceDE w:val="0"/>
        <w:autoSpaceDN w:val="0"/>
        <w:bidi w:val="0"/>
        <w:adjustRightInd w:val="0"/>
        <w:snapToGrid w:val="0"/>
        <w:spacing w:line="216" w:lineRule="auto"/>
        <w:ind w:left="0"/>
        <w:jc w:val="center"/>
        <w:textAlignment w:val="baseline"/>
        <w:rPr>
          <w:rFonts w:hint="default" w:ascii="Times New Roman" w:hAnsi="Times New Roman" w:eastAsia="楷体" w:cs="Times New Roman"/>
          <w:color w:val="auto"/>
          <w:sz w:val="36"/>
          <w:szCs w:val="36"/>
        </w:rPr>
      </w:pPr>
      <w:r>
        <w:rPr>
          <w:rFonts w:hint="default" w:ascii="Times New Roman" w:hAnsi="Times New Roman" w:eastAsia="楷体" w:cs="Times New Roman"/>
          <w:color w:val="auto"/>
          <w:spacing w:val="-4"/>
          <w:sz w:val="36"/>
          <w:szCs w:val="36"/>
        </w:rPr>
        <w:t>中华人民共和国生态环境部制</w:t>
      </w:r>
    </w:p>
    <w:p w14:paraId="6A52D91D">
      <w:pPr>
        <w:keepNext w:val="0"/>
        <w:keepLines w:val="0"/>
        <w:pageBreakBefore w:val="0"/>
        <w:widowControl/>
        <w:kinsoku w:val="0"/>
        <w:wordWrap/>
        <w:overflowPunct/>
        <w:topLinePunct w:val="0"/>
        <w:autoSpaceDE w:val="0"/>
        <w:autoSpaceDN w:val="0"/>
        <w:bidi w:val="0"/>
        <w:adjustRightInd w:val="0"/>
        <w:snapToGrid w:val="0"/>
        <w:spacing w:line="216" w:lineRule="auto"/>
        <w:ind w:left="0"/>
        <w:jc w:val="center"/>
        <w:textAlignment w:val="baseline"/>
        <w:rPr>
          <w:rFonts w:hint="default" w:ascii="Times New Roman" w:hAnsi="Times New Roman" w:eastAsia="楷体" w:cs="Times New Roman"/>
          <w:color w:val="auto"/>
          <w:sz w:val="36"/>
          <w:szCs w:val="36"/>
        </w:rPr>
      </w:pPr>
    </w:p>
    <w:p w14:paraId="69F092AD">
      <w:pPr>
        <w:pStyle w:val="14"/>
        <w:rPr>
          <w:rFonts w:hint="default" w:ascii="Times New Roman" w:hAnsi="Times New Roman" w:eastAsia="楷体" w:cs="Times New Roman"/>
          <w:color w:val="auto"/>
          <w:sz w:val="36"/>
          <w:szCs w:val="36"/>
        </w:rPr>
      </w:pPr>
    </w:p>
    <w:p w14:paraId="0A853CBF">
      <w:pPr>
        <w:rPr>
          <w:rFonts w:hint="default" w:ascii="Times New Roman" w:hAnsi="Times New Roman" w:eastAsia="楷体" w:cs="Times New Roman"/>
          <w:color w:val="auto"/>
          <w:sz w:val="36"/>
          <w:szCs w:val="36"/>
        </w:rPr>
      </w:pPr>
    </w:p>
    <w:p w14:paraId="1DE534F3">
      <w:pPr>
        <w:pStyle w:val="14"/>
        <w:rPr>
          <w:rFonts w:hint="default" w:ascii="Times New Roman" w:hAnsi="Times New Roman" w:eastAsia="楷体" w:cs="Times New Roman"/>
          <w:color w:val="auto"/>
          <w:sz w:val="36"/>
          <w:szCs w:val="36"/>
        </w:rPr>
      </w:pPr>
    </w:p>
    <w:p w14:paraId="086818E2">
      <w:pPr>
        <w:rPr>
          <w:rFonts w:hint="default"/>
          <w:color w:val="auto"/>
        </w:rPr>
        <w:sectPr>
          <w:pgSz w:w="11907" w:h="16839"/>
          <w:pgMar w:top="1440" w:right="1080" w:bottom="1440" w:left="1080" w:header="0" w:footer="0" w:gutter="0"/>
          <w:pgBorders>
            <w:top w:val="none" w:sz="0" w:space="0"/>
            <w:left w:val="none" w:sz="0" w:space="0"/>
            <w:bottom w:val="none" w:sz="0" w:space="0"/>
            <w:right w:val="none" w:sz="0" w:space="0"/>
          </w:pgBorders>
          <w:cols w:space="720" w:num="1"/>
        </w:sectPr>
      </w:pPr>
    </w:p>
    <w:p w14:paraId="2CB39036">
      <w:pPr>
        <w:spacing w:before="59" w:line="219" w:lineRule="auto"/>
        <w:ind w:left="3451"/>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pacing w:val="-3"/>
          <w:sz w:val="30"/>
          <w:szCs w:val="30"/>
        </w:rPr>
        <w:t>一、建设项目基本情况</w:t>
      </w:r>
    </w:p>
    <w:p w14:paraId="737C2A05">
      <w:pPr>
        <w:spacing w:line="233" w:lineRule="exact"/>
        <w:rPr>
          <w:rFonts w:hint="default" w:ascii="Times New Roman" w:hAnsi="Times New Roman" w:cs="Times New Roman"/>
          <w:color w:val="auto"/>
        </w:rPr>
      </w:pPr>
    </w:p>
    <w:tbl>
      <w:tblPr>
        <w:tblStyle w:val="21"/>
        <w:tblW w:w="986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68"/>
        <w:gridCol w:w="2086"/>
        <w:gridCol w:w="1955"/>
        <w:gridCol w:w="3355"/>
      </w:tblGrid>
      <w:tr w14:paraId="614887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4" w:hRule="atLeast"/>
          <w:jc w:val="center"/>
        </w:trPr>
        <w:tc>
          <w:tcPr>
            <w:tcW w:w="2468" w:type="dxa"/>
            <w:tcBorders>
              <w:top w:val="single" w:color="000000" w:sz="6" w:space="0"/>
              <w:left w:val="single" w:color="000000" w:sz="6" w:space="0"/>
            </w:tcBorders>
            <w:vAlign w:val="center"/>
          </w:tcPr>
          <w:p w14:paraId="441D8837">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7396" w:type="dxa"/>
            <w:gridSpan w:val="3"/>
            <w:tcBorders>
              <w:top w:val="single" w:color="000000" w:sz="6" w:space="0"/>
              <w:right w:val="single" w:color="000000" w:sz="6" w:space="0"/>
            </w:tcBorders>
            <w:vAlign w:val="center"/>
          </w:tcPr>
          <w:p w14:paraId="19623BA9">
            <w:pPr>
              <w:bidi w:val="0"/>
              <w:spacing w:line="240" w:lineRule="auto"/>
              <w:jc w:val="center"/>
              <w:rPr>
                <w:rFonts w:hint="default" w:ascii="Times New Roman" w:hAnsi="Times New Roman" w:eastAsia="宋体" w:cs="Times New Roman"/>
                <w:color w:val="auto"/>
                <w:sz w:val="24"/>
                <w:szCs w:val="24"/>
                <w:lang w:eastAsia="zh-CN"/>
              </w:rPr>
            </w:pPr>
            <w:r>
              <w:rPr>
                <w:rFonts w:hint="eastAsia" w:ascii="Times New Roman" w:hAnsi="Times New Roman" w:cs="Times New Roman"/>
                <w:color w:val="auto"/>
                <w:sz w:val="24"/>
                <w:szCs w:val="24"/>
                <w:lang w:eastAsia="zh-CN"/>
              </w:rPr>
              <w:t>年产4000吨机械阀门及泵类配件技改项目</w:t>
            </w:r>
          </w:p>
        </w:tc>
      </w:tr>
      <w:tr w14:paraId="38F1AC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2468" w:type="dxa"/>
            <w:tcBorders>
              <w:left w:val="single" w:color="000000" w:sz="6" w:space="0"/>
            </w:tcBorders>
            <w:vAlign w:val="center"/>
          </w:tcPr>
          <w:p w14:paraId="3CCC7DAE">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项目代码</w:t>
            </w:r>
          </w:p>
        </w:tc>
        <w:tc>
          <w:tcPr>
            <w:tcW w:w="7396" w:type="dxa"/>
            <w:gridSpan w:val="3"/>
            <w:tcBorders>
              <w:right w:val="single" w:color="000000" w:sz="6" w:space="0"/>
            </w:tcBorders>
            <w:vAlign w:val="center"/>
          </w:tcPr>
          <w:p w14:paraId="19380862">
            <w:pPr>
              <w:bidi w:val="0"/>
              <w:spacing w:line="240" w:lineRule="auto"/>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2506-370302-89-02-741838</w:t>
            </w:r>
          </w:p>
        </w:tc>
      </w:tr>
      <w:tr w14:paraId="29B0E6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jc w:val="center"/>
        </w:trPr>
        <w:tc>
          <w:tcPr>
            <w:tcW w:w="2468" w:type="dxa"/>
            <w:tcBorders>
              <w:left w:val="single" w:color="000000" w:sz="6" w:space="0"/>
            </w:tcBorders>
            <w:vAlign w:val="center"/>
          </w:tcPr>
          <w:p w14:paraId="62997E52">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建设单位联系人</w:t>
            </w:r>
          </w:p>
        </w:tc>
        <w:tc>
          <w:tcPr>
            <w:tcW w:w="2086" w:type="dxa"/>
            <w:vAlign w:val="center"/>
          </w:tcPr>
          <w:p w14:paraId="113336BF">
            <w:pPr>
              <w:bidi w:val="0"/>
              <w:spacing w:line="240" w:lineRule="auto"/>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董新涛</w:t>
            </w:r>
          </w:p>
        </w:tc>
        <w:tc>
          <w:tcPr>
            <w:tcW w:w="1955" w:type="dxa"/>
            <w:vAlign w:val="center"/>
          </w:tcPr>
          <w:p w14:paraId="60DAB68D">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联系方式</w:t>
            </w:r>
          </w:p>
        </w:tc>
        <w:tc>
          <w:tcPr>
            <w:tcW w:w="3355" w:type="dxa"/>
            <w:tcBorders>
              <w:right w:val="single" w:color="000000" w:sz="6" w:space="0"/>
            </w:tcBorders>
            <w:vAlign w:val="center"/>
          </w:tcPr>
          <w:p w14:paraId="760C3F77">
            <w:pPr>
              <w:bidi w:val="0"/>
              <w:spacing w:line="240" w:lineRule="auto"/>
              <w:jc w:val="center"/>
              <w:rPr>
                <w:rFonts w:hint="default" w:ascii="Times New Roman" w:hAnsi="Times New Roman" w:eastAsia="宋体" w:cs="Times New Roman"/>
                <w:color w:val="auto"/>
                <w:sz w:val="24"/>
                <w:szCs w:val="24"/>
                <w:lang w:eastAsia="zh-CN"/>
              </w:rPr>
            </w:pPr>
          </w:p>
        </w:tc>
      </w:tr>
      <w:tr w14:paraId="0DD90C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2468" w:type="dxa"/>
            <w:tcBorders>
              <w:left w:val="single" w:color="000000" w:sz="6" w:space="0"/>
            </w:tcBorders>
            <w:vAlign w:val="center"/>
          </w:tcPr>
          <w:p w14:paraId="0D7B4C03">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7396" w:type="dxa"/>
            <w:gridSpan w:val="3"/>
            <w:tcBorders>
              <w:right w:val="single" w:color="000000" w:sz="6" w:space="0"/>
            </w:tcBorders>
            <w:vAlign w:val="center"/>
          </w:tcPr>
          <w:p w14:paraId="638B31BB">
            <w:pPr>
              <w:bidi w:val="0"/>
              <w:spacing w:line="240" w:lineRule="auto"/>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山东省</w:t>
            </w:r>
            <w:r>
              <w:rPr>
                <w:rFonts w:hint="eastAsia" w:ascii="Times New Roman" w:hAnsi="Times New Roman" w:cs="Times New Roman"/>
                <w:color w:val="auto"/>
                <w:sz w:val="24"/>
                <w:szCs w:val="24"/>
                <w:lang w:eastAsia="zh-CN"/>
              </w:rPr>
              <w:t>淄博市淄川区龙泉镇大土屋村西</w:t>
            </w:r>
          </w:p>
        </w:tc>
      </w:tr>
      <w:tr w14:paraId="1D5E9C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3" w:hRule="atLeast"/>
          <w:jc w:val="center"/>
        </w:trPr>
        <w:tc>
          <w:tcPr>
            <w:tcW w:w="2468" w:type="dxa"/>
            <w:tcBorders>
              <w:left w:val="single" w:color="000000" w:sz="6" w:space="0"/>
            </w:tcBorders>
            <w:vAlign w:val="center"/>
          </w:tcPr>
          <w:p w14:paraId="26E78E72">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地理坐标</w:t>
            </w:r>
          </w:p>
        </w:tc>
        <w:tc>
          <w:tcPr>
            <w:tcW w:w="7396" w:type="dxa"/>
            <w:gridSpan w:val="3"/>
            <w:tcBorders>
              <w:right w:val="single" w:color="000000" w:sz="6" w:space="0"/>
            </w:tcBorders>
            <w:vAlign w:val="center"/>
          </w:tcPr>
          <w:p w14:paraId="05151A08">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eastAsia="zh-CN"/>
              </w:rPr>
              <w:t>11</w:t>
            </w:r>
            <w:r>
              <w:rPr>
                <w:rFonts w:hint="eastAsia" w:ascii="Times New Roman" w:hAnsi="Times New Roman" w:cs="Times New Roman"/>
                <w:color w:val="auto"/>
                <w:sz w:val="24"/>
                <w:szCs w:val="24"/>
                <w:highlight w:val="none"/>
                <w:lang w:val="en-US" w:eastAsia="zh-CN"/>
              </w:rPr>
              <w:t>7</w:t>
            </w:r>
            <w:r>
              <w:rPr>
                <w:rFonts w:hint="default" w:ascii="Times New Roman" w:hAnsi="Times New Roman" w:cs="Times New Roman"/>
                <w:color w:val="auto"/>
                <w:sz w:val="24"/>
                <w:szCs w:val="24"/>
                <w:highlight w:val="none"/>
                <w:lang w:eastAsia="zh-CN"/>
              </w:rPr>
              <w:t>度</w:t>
            </w:r>
            <w:r>
              <w:rPr>
                <w:rFonts w:hint="eastAsia" w:ascii="Times New Roman" w:hAnsi="Times New Roman" w:cs="Times New Roman"/>
                <w:color w:val="auto"/>
                <w:sz w:val="24"/>
                <w:szCs w:val="24"/>
                <w:highlight w:val="none"/>
                <w:lang w:val="en-US" w:eastAsia="zh-CN"/>
              </w:rPr>
              <w:t>59</w:t>
            </w:r>
            <w:r>
              <w:rPr>
                <w:rFonts w:hint="default" w:ascii="Times New Roman" w:hAnsi="Times New Roman" w:cs="Times New Roman"/>
                <w:color w:val="auto"/>
                <w:sz w:val="24"/>
                <w:szCs w:val="24"/>
                <w:highlight w:val="none"/>
                <w:lang w:eastAsia="zh-CN"/>
              </w:rPr>
              <w:t>分</w:t>
            </w:r>
            <w:r>
              <w:rPr>
                <w:rFonts w:hint="eastAsia" w:ascii="Times New Roman" w:hAnsi="Times New Roman" w:cs="Times New Roman"/>
                <w:color w:val="auto"/>
                <w:sz w:val="24"/>
                <w:szCs w:val="24"/>
                <w:highlight w:val="none"/>
                <w:lang w:val="en-US" w:eastAsia="zh-CN"/>
              </w:rPr>
              <w:t>6.806</w:t>
            </w:r>
            <w:r>
              <w:rPr>
                <w:rFonts w:hint="default" w:ascii="Times New Roman" w:hAnsi="Times New Roman" w:cs="Times New Roman"/>
                <w:color w:val="auto"/>
                <w:sz w:val="24"/>
                <w:szCs w:val="24"/>
                <w:highlight w:val="none"/>
                <w:lang w:eastAsia="zh-CN"/>
              </w:rPr>
              <w:t>秒,36度</w:t>
            </w:r>
            <w:r>
              <w:rPr>
                <w:rFonts w:hint="eastAsia" w:ascii="Times New Roman" w:hAnsi="Times New Roman" w:cs="Times New Roman"/>
                <w:color w:val="auto"/>
                <w:sz w:val="24"/>
                <w:szCs w:val="24"/>
                <w:highlight w:val="none"/>
                <w:lang w:val="en-US" w:eastAsia="zh-CN"/>
              </w:rPr>
              <w:t>35</w:t>
            </w:r>
            <w:r>
              <w:rPr>
                <w:rFonts w:hint="default" w:ascii="Times New Roman" w:hAnsi="Times New Roman" w:cs="Times New Roman"/>
                <w:color w:val="auto"/>
                <w:sz w:val="24"/>
                <w:szCs w:val="24"/>
                <w:highlight w:val="none"/>
                <w:lang w:eastAsia="zh-CN"/>
              </w:rPr>
              <w:t>分</w:t>
            </w:r>
            <w:r>
              <w:rPr>
                <w:rFonts w:hint="eastAsia" w:ascii="Times New Roman" w:hAnsi="Times New Roman" w:cs="Times New Roman"/>
                <w:color w:val="auto"/>
                <w:sz w:val="24"/>
                <w:szCs w:val="24"/>
                <w:highlight w:val="none"/>
                <w:lang w:val="en-US" w:eastAsia="zh-CN"/>
              </w:rPr>
              <w:t>51.892</w:t>
            </w:r>
            <w:r>
              <w:rPr>
                <w:rFonts w:hint="default" w:ascii="Times New Roman" w:hAnsi="Times New Roman" w:cs="Times New Roman"/>
                <w:color w:val="auto"/>
                <w:sz w:val="24"/>
                <w:szCs w:val="24"/>
                <w:highlight w:val="none"/>
                <w:lang w:eastAsia="zh-CN"/>
              </w:rPr>
              <w:t>秒</w:t>
            </w:r>
            <w:r>
              <w:rPr>
                <w:rFonts w:hint="default" w:ascii="Times New Roman" w:hAnsi="Times New Roman" w:eastAsia="宋体" w:cs="Times New Roman"/>
                <w:color w:val="auto"/>
                <w:sz w:val="24"/>
                <w:szCs w:val="24"/>
                <w:highlight w:val="none"/>
              </w:rPr>
              <w:t>）</w:t>
            </w:r>
          </w:p>
        </w:tc>
      </w:tr>
      <w:tr w14:paraId="56A64A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7" w:hRule="atLeast"/>
          <w:jc w:val="center"/>
        </w:trPr>
        <w:tc>
          <w:tcPr>
            <w:tcW w:w="2468" w:type="dxa"/>
            <w:tcBorders>
              <w:left w:val="single" w:color="000000" w:sz="6" w:space="0"/>
            </w:tcBorders>
            <w:vAlign w:val="center"/>
          </w:tcPr>
          <w:p w14:paraId="67A70D59">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国民经济</w:t>
            </w:r>
          </w:p>
          <w:p w14:paraId="0A68B4BC">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p>
        </w:tc>
        <w:tc>
          <w:tcPr>
            <w:tcW w:w="2086" w:type="dxa"/>
            <w:vAlign w:val="center"/>
          </w:tcPr>
          <w:p w14:paraId="0668283E">
            <w:pPr>
              <w:bidi w:val="0"/>
              <w:spacing w:line="240" w:lineRule="auto"/>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eastAsia="zh-CN"/>
              </w:rPr>
              <w:t>C3391黑色金属铸造</w:t>
            </w:r>
          </w:p>
        </w:tc>
        <w:tc>
          <w:tcPr>
            <w:tcW w:w="1955" w:type="dxa"/>
            <w:vAlign w:val="center"/>
          </w:tcPr>
          <w:p w14:paraId="7C0B2392">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w:t>
            </w:r>
          </w:p>
          <w:p w14:paraId="06C48863">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p>
        </w:tc>
        <w:tc>
          <w:tcPr>
            <w:tcW w:w="3355" w:type="dxa"/>
            <w:tcBorders>
              <w:right w:val="single" w:color="000000" w:sz="6" w:space="0"/>
            </w:tcBorders>
            <w:vAlign w:val="center"/>
          </w:tcPr>
          <w:p w14:paraId="40900C35">
            <w:pPr>
              <w:keepNext w:val="0"/>
              <w:keepLines w:val="0"/>
              <w:pageBreakBefore w:val="0"/>
              <w:widowControl/>
              <w:kinsoku/>
              <w:wordWrap/>
              <w:overflowPunct/>
              <w:topLinePunct/>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三十、金属制品业33-铸造及其他金属制品制造339-其他（仅分割、焊接、组装的除外）</w:t>
            </w:r>
          </w:p>
        </w:tc>
      </w:tr>
      <w:tr w14:paraId="316C6D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0" w:hRule="atLeast"/>
          <w:jc w:val="center"/>
        </w:trPr>
        <w:tc>
          <w:tcPr>
            <w:tcW w:w="2468" w:type="dxa"/>
            <w:tcBorders>
              <w:left w:val="single" w:color="000000" w:sz="6" w:space="0"/>
            </w:tcBorders>
            <w:vAlign w:val="center"/>
          </w:tcPr>
          <w:p w14:paraId="7350D251">
            <w:pPr>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建设性质</w:t>
            </w:r>
          </w:p>
        </w:tc>
        <w:tc>
          <w:tcPr>
            <w:tcW w:w="2086" w:type="dxa"/>
            <w:vAlign w:val="center"/>
          </w:tcPr>
          <w:p w14:paraId="2AE342BD">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新建（迁建）</w:t>
            </w:r>
          </w:p>
          <w:p w14:paraId="02FC49BB">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改建</w:t>
            </w:r>
          </w:p>
          <w:p w14:paraId="60DCC92B">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扩建</w:t>
            </w:r>
          </w:p>
          <w:p w14:paraId="7DE99BF0">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技术改造</w:t>
            </w:r>
          </w:p>
        </w:tc>
        <w:tc>
          <w:tcPr>
            <w:tcW w:w="1955" w:type="dxa"/>
            <w:vAlign w:val="center"/>
          </w:tcPr>
          <w:p w14:paraId="298E26FE">
            <w:pPr>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w:t>
            </w:r>
          </w:p>
          <w:p w14:paraId="25E14688">
            <w:pPr>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申报情形</w:t>
            </w:r>
          </w:p>
        </w:tc>
        <w:tc>
          <w:tcPr>
            <w:tcW w:w="3355" w:type="dxa"/>
            <w:tcBorders>
              <w:right w:val="single" w:color="000000" w:sz="6" w:space="0"/>
            </w:tcBorders>
            <w:vAlign w:val="center"/>
          </w:tcPr>
          <w:p w14:paraId="2F028A0E">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首次申报项目</w:t>
            </w:r>
          </w:p>
          <w:p w14:paraId="50FD037F">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不予批准后再次申报项目</w:t>
            </w:r>
          </w:p>
          <w:p w14:paraId="24987523">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超五年重新审核项目</w:t>
            </w:r>
          </w:p>
          <w:p w14:paraId="1F444B38">
            <w:pPr>
              <w:bidi w:val="0"/>
              <w:spacing w:line="240" w:lineRule="auto"/>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重大变动重新报批项目</w:t>
            </w:r>
          </w:p>
        </w:tc>
      </w:tr>
      <w:tr w14:paraId="37A413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4" w:hRule="atLeast"/>
          <w:jc w:val="center"/>
        </w:trPr>
        <w:tc>
          <w:tcPr>
            <w:tcW w:w="2468" w:type="dxa"/>
            <w:tcBorders>
              <w:left w:val="single" w:color="000000" w:sz="6" w:space="0"/>
            </w:tcBorders>
            <w:vAlign w:val="center"/>
          </w:tcPr>
          <w:p w14:paraId="2CE11C4A">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14:paraId="1EE42B36">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备案）部门（选填）</w:t>
            </w:r>
          </w:p>
        </w:tc>
        <w:tc>
          <w:tcPr>
            <w:tcW w:w="2086" w:type="dxa"/>
            <w:vAlign w:val="center"/>
          </w:tcPr>
          <w:p w14:paraId="59D94F0E">
            <w:pPr>
              <w:bidi w:val="0"/>
              <w:spacing w:line="240" w:lineRule="auto"/>
              <w:jc w:val="center"/>
              <w:rPr>
                <w:rFonts w:hint="default" w:ascii="Times New Roman" w:hAnsi="Times New Roman" w:eastAsia="宋体" w:cs="Times New Roman"/>
                <w:color w:val="auto"/>
                <w:sz w:val="24"/>
                <w:szCs w:val="24"/>
                <w:lang w:eastAsia="zh-CN"/>
              </w:rPr>
            </w:pPr>
            <w:r>
              <w:rPr>
                <w:rFonts w:hint="eastAsia" w:ascii="Times New Roman" w:hAnsi="Times New Roman" w:cs="Times New Roman"/>
                <w:color w:val="auto"/>
                <w:sz w:val="24"/>
                <w:szCs w:val="24"/>
                <w:lang w:val="en-US" w:eastAsia="zh-CN"/>
              </w:rPr>
              <w:t>淄川</w:t>
            </w:r>
            <w:r>
              <w:rPr>
                <w:rFonts w:hint="default" w:ascii="Times New Roman" w:hAnsi="Times New Roman" w:cs="Times New Roman"/>
                <w:color w:val="auto"/>
                <w:sz w:val="24"/>
                <w:szCs w:val="24"/>
                <w:lang w:val="en-US" w:eastAsia="zh-CN"/>
              </w:rPr>
              <w:t>区发展</w:t>
            </w:r>
            <w:r>
              <w:rPr>
                <w:rFonts w:hint="eastAsia" w:ascii="Times New Roman" w:hAnsi="Times New Roman" w:cs="Times New Roman"/>
                <w:color w:val="auto"/>
                <w:sz w:val="24"/>
                <w:szCs w:val="24"/>
                <w:lang w:val="en-US" w:eastAsia="zh-CN"/>
              </w:rPr>
              <w:t>和</w:t>
            </w:r>
            <w:r>
              <w:rPr>
                <w:rFonts w:hint="default" w:ascii="Times New Roman" w:hAnsi="Times New Roman" w:cs="Times New Roman"/>
                <w:color w:val="auto"/>
                <w:sz w:val="24"/>
                <w:szCs w:val="24"/>
                <w:lang w:val="en-US" w:eastAsia="zh-CN"/>
              </w:rPr>
              <w:t>改革局</w:t>
            </w:r>
          </w:p>
        </w:tc>
        <w:tc>
          <w:tcPr>
            <w:tcW w:w="1955" w:type="dxa"/>
            <w:vAlign w:val="center"/>
          </w:tcPr>
          <w:p w14:paraId="1F189948">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项目审批（核准/备案）文号</w:t>
            </w:r>
          </w:p>
          <w:p w14:paraId="66CD3CDD">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（选填）</w:t>
            </w:r>
          </w:p>
        </w:tc>
        <w:tc>
          <w:tcPr>
            <w:tcW w:w="3355" w:type="dxa"/>
            <w:tcBorders>
              <w:right w:val="single" w:color="000000" w:sz="6" w:space="0"/>
            </w:tcBorders>
            <w:vAlign w:val="center"/>
          </w:tcPr>
          <w:p w14:paraId="115169E1">
            <w:pPr>
              <w:bidi w:val="0"/>
              <w:spacing w:line="240" w:lineRule="auto"/>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2506-370302-89-02-741838</w:t>
            </w:r>
          </w:p>
        </w:tc>
      </w:tr>
      <w:tr w14:paraId="017DF4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jc w:val="center"/>
        </w:trPr>
        <w:tc>
          <w:tcPr>
            <w:tcW w:w="2468" w:type="dxa"/>
            <w:tcBorders>
              <w:left w:val="single" w:color="000000" w:sz="6" w:space="0"/>
            </w:tcBorders>
            <w:vAlign w:val="center"/>
          </w:tcPr>
          <w:p w14:paraId="460ED448">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总投资（万元）</w:t>
            </w:r>
          </w:p>
        </w:tc>
        <w:tc>
          <w:tcPr>
            <w:tcW w:w="2086" w:type="dxa"/>
            <w:vAlign w:val="center"/>
          </w:tcPr>
          <w:p w14:paraId="05DC1E83">
            <w:pPr>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360</w:t>
            </w:r>
          </w:p>
        </w:tc>
        <w:tc>
          <w:tcPr>
            <w:tcW w:w="1955" w:type="dxa"/>
            <w:vAlign w:val="center"/>
          </w:tcPr>
          <w:p w14:paraId="30A8A190">
            <w:pPr>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环保投资（万元）</w:t>
            </w:r>
          </w:p>
        </w:tc>
        <w:tc>
          <w:tcPr>
            <w:tcW w:w="3355" w:type="dxa"/>
            <w:tcBorders>
              <w:right w:val="single" w:color="000000" w:sz="6" w:space="0"/>
            </w:tcBorders>
            <w:vAlign w:val="center"/>
          </w:tcPr>
          <w:p w14:paraId="48BECACD">
            <w:pPr>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80</w:t>
            </w:r>
          </w:p>
        </w:tc>
      </w:tr>
      <w:tr w14:paraId="206330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jc w:val="center"/>
        </w:trPr>
        <w:tc>
          <w:tcPr>
            <w:tcW w:w="2468" w:type="dxa"/>
            <w:tcBorders>
              <w:left w:val="single" w:color="000000" w:sz="6" w:space="0"/>
            </w:tcBorders>
            <w:vAlign w:val="center"/>
          </w:tcPr>
          <w:p w14:paraId="2B3D74B4">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环保投资占比（%）</w:t>
            </w:r>
          </w:p>
        </w:tc>
        <w:tc>
          <w:tcPr>
            <w:tcW w:w="2086" w:type="dxa"/>
            <w:vAlign w:val="center"/>
          </w:tcPr>
          <w:p w14:paraId="0DA93F87">
            <w:pPr>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22</w:t>
            </w:r>
          </w:p>
        </w:tc>
        <w:tc>
          <w:tcPr>
            <w:tcW w:w="1955" w:type="dxa"/>
            <w:vAlign w:val="center"/>
          </w:tcPr>
          <w:p w14:paraId="5CEC9511">
            <w:pPr>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施工工期</w:t>
            </w:r>
          </w:p>
        </w:tc>
        <w:tc>
          <w:tcPr>
            <w:tcW w:w="3355" w:type="dxa"/>
            <w:tcBorders>
              <w:right w:val="single" w:color="000000" w:sz="6" w:space="0"/>
            </w:tcBorders>
            <w:vAlign w:val="center"/>
          </w:tcPr>
          <w:p w14:paraId="6F46C108">
            <w:pPr>
              <w:bidi w:val="0"/>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个月</w:t>
            </w:r>
          </w:p>
        </w:tc>
      </w:tr>
      <w:tr w14:paraId="2D3807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6" w:hRule="atLeast"/>
          <w:jc w:val="center"/>
        </w:trPr>
        <w:tc>
          <w:tcPr>
            <w:tcW w:w="2468" w:type="dxa"/>
            <w:tcBorders>
              <w:left w:val="single" w:color="000000" w:sz="6" w:space="0"/>
            </w:tcBorders>
            <w:vAlign w:val="center"/>
          </w:tcPr>
          <w:p w14:paraId="2A2E13D8">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是否开工建设</w:t>
            </w:r>
          </w:p>
        </w:tc>
        <w:tc>
          <w:tcPr>
            <w:tcW w:w="2086" w:type="dxa"/>
            <w:vAlign w:val="center"/>
          </w:tcPr>
          <w:p w14:paraId="223D3CBC">
            <w:pPr>
              <w:bidi w:val="0"/>
              <w:spacing w:line="240" w:lineRule="auto"/>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否</w:t>
            </w:r>
          </w:p>
          <w:p w14:paraId="062552FF">
            <w:pPr>
              <w:bidi w:val="0"/>
              <w:spacing w:line="240" w:lineRule="auto"/>
              <w:jc w:val="center"/>
              <w:rPr>
                <w:rFonts w:hint="default" w:ascii="Times New Roman" w:hAnsi="Times New Roman" w:eastAsia="宋体" w:cs="Times New Roman"/>
                <w:color w:val="auto"/>
                <w:sz w:val="24"/>
                <w:szCs w:val="24"/>
                <w:lang w:val="en-US"/>
              </w:rPr>
            </w:pP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val="en-US" w:eastAsia="zh-CN"/>
              </w:rPr>
              <w:t>是</w:t>
            </w:r>
          </w:p>
        </w:tc>
        <w:tc>
          <w:tcPr>
            <w:tcW w:w="1955" w:type="dxa"/>
            <w:vAlign w:val="center"/>
          </w:tcPr>
          <w:p w14:paraId="534A1CE3">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用地（用海）</w:t>
            </w:r>
          </w:p>
          <w:p w14:paraId="47DD1410">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面积（m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p>
        </w:tc>
        <w:tc>
          <w:tcPr>
            <w:tcW w:w="3355" w:type="dxa"/>
            <w:tcBorders>
              <w:right w:val="single" w:color="000000" w:sz="6" w:space="0"/>
            </w:tcBorders>
            <w:vAlign w:val="center"/>
          </w:tcPr>
          <w:p w14:paraId="6521F8F6">
            <w:pPr>
              <w:bidi w:val="0"/>
              <w:spacing w:line="240" w:lineRule="auto"/>
              <w:jc w:val="center"/>
              <w:rPr>
                <w:rFonts w:hint="default" w:ascii="Times New Roman" w:hAnsi="Times New Roman" w:eastAsia="宋体" w:cs="Times New Roman"/>
                <w:color w:val="auto"/>
                <w:sz w:val="24"/>
                <w:szCs w:val="24"/>
                <w:highlight w:val="none"/>
                <w:lang w:val="en-US"/>
              </w:rPr>
            </w:pPr>
            <w:r>
              <w:rPr>
                <w:rFonts w:hint="eastAsia" w:ascii="Times New Roman" w:hAnsi="Times New Roman" w:cs="Times New Roman"/>
                <w:color w:val="auto"/>
                <w:sz w:val="24"/>
                <w:szCs w:val="24"/>
                <w:highlight w:val="none"/>
                <w:lang w:val="en-US" w:eastAsia="zh-CN"/>
              </w:rPr>
              <w:t>2000</w:t>
            </w:r>
          </w:p>
        </w:tc>
      </w:tr>
      <w:tr w14:paraId="224E7B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1" w:hRule="atLeast"/>
          <w:jc w:val="center"/>
        </w:trPr>
        <w:tc>
          <w:tcPr>
            <w:tcW w:w="2468" w:type="dxa"/>
            <w:tcBorders>
              <w:left w:val="single" w:color="000000" w:sz="6" w:space="0"/>
            </w:tcBorders>
            <w:vAlign w:val="center"/>
          </w:tcPr>
          <w:p w14:paraId="223E44BA">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专项评价</w:t>
            </w:r>
          </w:p>
          <w:p w14:paraId="0E20BD64">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设置情况</w:t>
            </w:r>
          </w:p>
        </w:tc>
        <w:tc>
          <w:tcPr>
            <w:tcW w:w="7396" w:type="dxa"/>
            <w:gridSpan w:val="3"/>
            <w:tcBorders>
              <w:right w:val="single" w:color="000000" w:sz="6" w:space="0"/>
            </w:tcBorders>
            <w:vAlign w:val="center"/>
          </w:tcPr>
          <w:p w14:paraId="08BA62E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center"/>
              <w:textAlignment w:val="baseline"/>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本项目对照《建设项目环境影响报告表编制技术指南（污染影响类）（试行）》中&lt;表1专项评价设置原则表&gt;，具体情况见下表：</w:t>
            </w:r>
          </w:p>
          <w:p w14:paraId="169BC71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表</w:t>
            </w:r>
            <w:r>
              <w:rPr>
                <w:rFonts w:hint="default" w:ascii="Times New Roman" w:hAnsi="Times New Roman" w:cs="Times New Roman"/>
                <w:b/>
                <w:bCs/>
                <w:color w:val="auto"/>
                <w:kern w:val="0"/>
                <w:sz w:val="24"/>
                <w:szCs w:val="24"/>
                <w:lang w:val="en-US" w:eastAsia="zh-CN" w:bidi="ar"/>
              </w:rPr>
              <w:fldChar w:fldCharType="begin"/>
            </w:r>
            <w:r>
              <w:rPr>
                <w:rFonts w:hint="default" w:ascii="Times New Roman" w:hAnsi="Times New Roman" w:cs="Times New Roman"/>
                <w:b/>
                <w:bCs/>
                <w:color w:val="auto"/>
                <w:kern w:val="0"/>
                <w:sz w:val="24"/>
                <w:szCs w:val="24"/>
                <w:lang w:val="en-US" w:eastAsia="zh-CN" w:bidi="ar"/>
              </w:rPr>
              <w:instrText xml:space="preserve"> SEQ 表 \* ARABIC </w:instrText>
            </w:r>
            <w:r>
              <w:rPr>
                <w:rFonts w:hint="default" w:ascii="Times New Roman" w:hAnsi="Times New Roman" w:cs="Times New Roman"/>
                <w:b/>
                <w:bCs/>
                <w:color w:val="auto"/>
                <w:kern w:val="0"/>
                <w:sz w:val="24"/>
                <w:szCs w:val="24"/>
                <w:lang w:val="en-US" w:eastAsia="zh-CN" w:bidi="ar"/>
              </w:rPr>
              <w:fldChar w:fldCharType="separate"/>
            </w:r>
            <w:r>
              <w:rPr>
                <w:rFonts w:hint="default" w:ascii="Times New Roman" w:hAnsi="Times New Roman" w:cs="Times New Roman"/>
                <w:b/>
                <w:bCs/>
                <w:color w:val="auto"/>
                <w:kern w:val="0"/>
                <w:sz w:val="24"/>
                <w:szCs w:val="24"/>
                <w:lang w:val="en-US" w:eastAsia="zh-CN" w:bidi="ar"/>
              </w:rPr>
              <w:t>1</w:t>
            </w:r>
            <w:r>
              <w:rPr>
                <w:rFonts w:hint="default" w:ascii="Times New Roman" w:hAnsi="Times New Roman" w:cs="Times New Roman"/>
                <w:b/>
                <w:bCs/>
                <w:color w:val="auto"/>
                <w:kern w:val="0"/>
                <w:sz w:val="24"/>
                <w:szCs w:val="24"/>
                <w:lang w:val="en-US" w:eastAsia="zh-CN" w:bidi="ar"/>
              </w:rPr>
              <w:fldChar w:fldCharType="end"/>
            </w:r>
            <w:r>
              <w:rPr>
                <w:rFonts w:hint="default" w:ascii="Times New Roman" w:hAnsi="Times New Roman" w:cs="Times New Roman"/>
                <w:b/>
                <w:bCs/>
                <w:color w:val="auto"/>
                <w:kern w:val="0"/>
                <w:sz w:val="24"/>
                <w:szCs w:val="24"/>
                <w:lang w:val="en-US" w:eastAsia="zh-CN" w:bidi="ar"/>
              </w:rPr>
              <w:t>-1 本项目与专项评价设置原则表对照情况一览表</w:t>
            </w:r>
          </w:p>
          <w:tbl>
            <w:tblPr>
              <w:tblStyle w:val="15"/>
              <w:tblW w:w="70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3297"/>
              <w:gridCol w:w="1477"/>
              <w:gridCol w:w="1073"/>
            </w:tblGrid>
            <w:tr w14:paraId="079DC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240" w:type="dxa"/>
                  <w:noWrap w:val="0"/>
                  <w:vAlign w:val="center"/>
                </w:tcPr>
                <w:p w14:paraId="4D664CDE">
                  <w:pPr>
                    <w:autoSpaceDE w:val="0"/>
                    <w:autoSpaceDN w:val="0"/>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专项评价的类别</w:t>
                  </w:r>
                </w:p>
              </w:tc>
              <w:tc>
                <w:tcPr>
                  <w:tcW w:w="3297" w:type="dxa"/>
                  <w:noWrap w:val="0"/>
                  <w:vAlign w:val="center"/>
                </w:tcPr>
                <w:p w14:paraId="590C91BB">
                  <w:pPr>
                    <w:autoSpaceDE w:val="0"/>
                    <w:autoSpaceDN w:val="0"/>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设置原则</w:t>
                  </w:r>
                </w:p>
              </w:tc>
              <w:tc>
                <w:tcPr>
                  <w:tcW w:w="1477" w:type="dxa"/>
                  <w:noWrap w:val="0"/>
                  <w:vAlign w:val="center"/>
                </w:tcPr>
                <w:p w14:paraId="0C0F4B4B">
                  <w:pPr>
                    <w:autoSpaceDE w:val="0"/>
                    <w:autoSpaceDN w:val="0"/>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本项目情况</w:t>
                  </w:r>
                </w:p>
              </w:tc>
              <w:tc>
                <w:tcPr>
                  <w:tcW w:w="1073" w:type="dxa"/>
                  <w:noWrap w:val="0"/>
                  <w:vAlign w:val="center"/>
                </w:tcPr>
                <w:p w14:paraId="41A9B5EB">
                  <w:pPr>
                    <w:autoSpaceDE w:val="0"/>
                    <w:autoSpaceDN w:val="0"/>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是否设置专项</w:t>
                  </w:r>
                </w:p>
              </w:tc>
            </w:tr>
            <w:tr w14:paraId="037A9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0" w:type="dxa"/>
                  <w:noWrap w:val="0"/>
                  <w:vAlign w:val="center"/>
                </w:tcPr>
                <w:p w14:paraId="5BC13FEC">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w:t>
                  </w:r>
                </w:p>
              </w:tc>
              <w:tc>
                <w:tcPr>
                  <w:tcW w:w="3297" w:type="dxa"/>
                  <w:noWrap w:val="0"/>
                  <w:vAlign w:val="center"/>
                </w:tcPr>
                <w:p w14:paraId="1D361523">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排放废气含有有毒有害污染物</w:t>
                  </w:r>
                  <w:r>
                    <w:rPr>
                      <w:rFonts w:hint="default" w:ascii="Times New Roman" w:hAnsi="Times New Roman" w:cs="Times New Roman"/>
                      <w:color w:val="auto"/>
                      <w:sz w:val="21"/>
                      <w:szCs w:val="21"/>
                      <w:vertAlign w:val="superscript"/>
                    </w:rPr>
                    <w:t>1</w:t>
                  </w:r>
                  <w:r>
                    <w:rPr>
                      <w:rFonts w:hint="default" w:ascii="Times New Roman" w:hAnsi="Times New Roman" w:cs="Times New Roman"/>
                      <w:color w:val="auto"/>
                      <w:sz w:val="21"/>
                      <w:szCs w:val="21"/>
                    </w:rPr>
                    <w:t>、二噁英、苯并[a]芘、氰化物、氯气且厂界外500米范围内有环境空气保护目标</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的建设项目</w:t>
                  </w:r>
                </w:p>
              </w:tc>
              <w:tc>
                <w:tcPr>
                  <w:tcW w:w="1477" w:type="dxa"/>
                  <w:noWrap w:val="0"/>
                  <w:vAlign w:val="center"/>
                </w:tcPr>
                <w:p w14:paraId="4B966BE1">
                  <w:pPr>
                    <w:autoSpaceDE w:val="0"/>
                    <w:autoSpaceDN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本项目排放</w:t>
                  </w:r>
                  <w:r>
                    <w:rPr>
                      <w:rFonts w:hint="eastAsia" w:ascii="Times New Roman" w:hAnsi="Times New Roman" w:eastAsia="宋体" w:cs="Times New Roman"/>
                      <w:color w:val="auto"/>
                      <w:sz w:val="21"/>
                      <w:szCs w:val="21"/>
                    </w:rPr>
                    <w:t>废气</w:t>
                  </w:r>
                  <w:r>
                    <w:rPr>
                      <w:rFonts w:hint="default" w:ascii="Times New Roman" w:hAnsi="Times New Roman" w:eastAsia="宋体" w:cs="Times New Roman"/>
                      <w:color w:val="auto"/>
                      <w:sz w:val="21"/>
                      <w:szCs w:val="21"/>
                    </w:rPr>
                    <w:t>中涉及有毒有害污染物</w:t>
                  </w:r>
                  <w:r>
                    <w:rPr>
                      <w:rFonts w:hint="eastAsia" w:ascii="Times New Roman" w:hAnsi="Times New Roman" w:eastAsia="宋体" w:cs="Times New Roman"/>
                      <w:color w:val="auto"/>
                      <w:sz w:val="21"/>
                      <w:szCs w:val="21"/>
                    </w:rPr>
                    <w:t>甲醛且500米范围内</w:t>
                  </w:r>
                  <w:r>
                    <w:rPr>
                      <w:rFonts w:hint="default" w:ascii="Times New Roman" w:hAnsi="Times New Roman" w:eastAsia="宋体" w:cs="Times New Roman"/>
                      <w:color w:val="auto"/>
                      <w:sz w:val="21"/>
                      <w:szCs w:val="21"/>
                    </w:rPr>
                    <w:t>有环境空气保护目标</w:t>
                  </w:r>
                </w:p>
              </w:tc>
              <w:tc>
                <w:tcPr>
                  <w:tcW w:w="1073" w:type="dxa"/>
                  <w:noWrap w:val="0"/>
                  <w:vAlign w:val="center"/>
                </w:tcPr>
                <w:p w14:paraId="51DC1A57">
                  <w:pPr>
                    <w:autoSpaceDE w:val="0"/>
                    <w:autoSpaceDN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是</w:t>
                  </w:r>
                </w:p>
              </w:tc>
            </w:tr>
            <w:tr w14:paraId="1D660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0" w:type="dxa"/>
                  <w:noWrap w:val="0"/>
                  <w:vAlign w:val="center"/>
                </w:tcPr>
                <w:p w14:paraId="6A9A9B0B">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w:t>
                  </w:r>
                </w:p>
              </w:tc>
              <w:tc>
                <w:tcPr>
                  <w:tcW w:w="3297" w:type="dxa"/>
                  <w:noWrap w:val="0"/>
                  <w:vAlign w:val="center"/>
                </w:tcPr>
                <w:p w14:paraId="0F9B7B54">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新增工业废水直排建设项目（槽罐车外送污水处理厂的除外）；新增废水直排的污水集中处理厂</w:t>
                  </w:r>
                </w:p>
              </w:tc>
              <w:tc>
                <w:tcPr>
                  <w:tcW w:w="1477" w:type="dxa"/>
                  <w:noWrap w:val="0"/>
                  <w:vAlign w:val="center"/>
                </w:tcPr>
                <w:p w14:paraId="78F6DC6E">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不涉及</w:t>
                  </w:r>
                </w:p>
              </w:tc>
              <w:tc>
                <w:tcPr>
                  <w:tcW w:w="1073" w:type="dxa"/>
                  <w:noWrap w:val="0"/>
                  <w:vAlign w:val="center"/>
                </w:tcPr>
                <w:p w14:paraId="0993AADE">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6D767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0" w:type="dxa"/>
                  <w:noWrap w:val="0"/>
                  <w:vAlign w:val="center"/>
                </w:tcPr>
                <w:p w14:paraId="76DCE409">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w:t>
                  </w:r>
                </w:p>
              </w:tc>
              <w:tc>
                <w:tcPr>
                  <w:tcW w:w="3297" w:type="dxa"/>
                  <w:noWrap w:val="0"/>
                  <w:vAlign w:val="center"/>
                </w:tcPr>
                <w:p w14:paraId="10BD6129">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有毒有害和易燃易爆危险物质存储量超过临界量</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的建设项目</w:t>
                  </w:r>
                </w:p>
              </w:tc>
              <w:tc>
                <w:tcPr>
                  <w:tcW w:w="1477" w:type="dxa"/>
                  <w:noWrap w:val="0"/>
                  <w:vAlign w:val="center"/>
                </w:tcPr>
                <w:p w14:paraId="36CB6C26">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不涉及</w:t>
                  </w:r>
                </w:p>
              </w:tc>
              <w:tc>
                <w:tcPr>
                  <w:tcW w:w="1073" w:type="dxa"/>
                  <w:noWrap w:val="0"/>
                  <w:vAlign w:val="center"/>
                </w:tcPr>
                <w:p w14:paraId="7D38EB47">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2034F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240" w:type="dxa"/>
                  <w:noWrap w:val="0"/>
                  <w:vAlign w:val="center"/>
                </w:tcPr>
                <w:p w14:paraId="081AD3BA">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w:t>
                  </w:r>
                </w:p>
              </w:tc>
              <w:tc>
                <w:tcPr>
                  <w:tcW w:w="3297" w:type="dxa"/>
                  <w:noWrap w:val="0"/>
                  <w:vAlign w:val="center"/>
                </w:tcPr>
                <w:p w14:paraId="3D3EB62B">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取水口下游500米范围内有重要水生生物的自然产卵场、索饵场、越冬场和洄游通道的新增河道取水的污染类建设项目</w:t>
                  </w:r>
                </w:p>
              </w:tc>
              <w:tc>
                <w:tcPr>
                  <w:tcW w:w="1477" w:type="dxa"/>
                  <w:noWrap w:val="0"/>
                  <w:vAlign w:val="center"/>
                </w:tcPr>
                <w:p w14:paraId="12ABD542">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不涉及</w:t>
                  </w:r>
                </w:p>
              </w:tc>
              <w:tc>
                <w:tcPr>
                  <w:tcW w:w="1073" w:type="dxa"/>
                  <w:noWrap w:val="0"/>
                  <w:vAlign w:val="center"/>
                </w:tcPr>
                <w:p w14:paraId="27267283">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5103C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0" w:type="dxa"/>
                  <w:noWrap w:val="0"/>
                  <w:vAlign w:val="center"/>
                </w:tcPr>
                <w:p w14:paraId="7EB9583B">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海洋</w:t>
                  </w:r>
                </w:p>
              </w:tc>
              <w:tc>
                <w:tcPr>
                  <w:tcW w:w="3297" w:type="dxa"/>
                  <w:noWrap w:val="0"/>
                  <w:vAlign w:val="center"/>
                </w:tcPr>
                <w:p w14:paraId="5C7303E9">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直接向海洋排放污染物的海洋工程建设项目</w:t>
                  </w:r>
                </w:p>
              </w:tc>
              <w:tc>
                <w:tcPr>
                  <w:tcW w:w="1477" w:type="dxa"/>
                  <w:noWrap w:val="0"/>
                  <w:vAlign w:val="center"/>
                </w:tcPr>
                <w:p w14:paraId="40B7E263">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不涉及</w:t>
                  </w:r>
                </w:p>
              </w:tc>
              <w:tc>
                <w:tcPr>
                  <w:tcW w:w="1073" w:type="dxa"/>
                  <w:noWrap w:val="0"/>
                  <w:vAlign w:val="center"/>
                </w:tcPr>
                <w:p w14:paraId="3FBC4791">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4199B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0" w:type="dxa"/>
                  <w:noWrap w:val="0"/>
                  <w:vAlign w:val="center"/>
                </w:tcPr>
                <w:p w14:paraId="3C9033F6">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w:t>
                  </w:r>
                </w:p>
              </w:tc>
              <w:tc>
                <w:tcPr>
                  <w:tcW w:w="3297" w:type="dxa"/>
                  <w:noWrap w:val="0"/>
                  <w:vAlign w:val="center"/>
                </w:tcPr>
                <w:p w14:paraId="039A8DC0">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原则上不开展专项评价，周边500m范围内涉及集中式饮用水水源和热水、矿泉水、温泉等特殊地下水资源保护区的开展地下水专项评价工作</w:t>
                  </w:r>
                </w:p>
              </w:tc>
              <w:tc>
                <w:tcPr>
                  <w:tcW w:w="1477" w:type="dxa"/>
                  <w:noWrap w:val="0"/>
                  <w:vAlign w:val="center"/>
                </w:tcPr>
                <w:p w14:paraId="0054B73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不涉及</w:t>
                  </w:r>
                </w:p>
              </w:tc>
              <w:tc>
                <w:tcPr>
                  <w:tcW w:w="1073" w:type="dxa"/>
                  <w:noWrap w:val="0"/>
                  <w:vAlign w:val="center"/>
                </w:tcPr>
                <w:p w14:paraId="294A28C5">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443E4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87" w:type="dxa"/>
                  <w:gridSpan w:val="4"/>
                  <w:noWrap w:val="0"/>
                  <w:vAlign w:val="center"/>
                </w:tcPr>
                <w:p w14:paraId="7F8D7DA2">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注：1.废气中有毒有害污染物指纳入《有毒有害大气污染物名录》的污染物（不包括无排放标准的污染物）。</w:t>
                  </w:r>
                </w:p>
                <w:p w14:paraId="65818E86">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2.环境空气保护目标指自然保护区、风景名胜区、居住区、文化区和农村地区中人群较集中的区域。</w:t>
                  </w:r>
                </w:p>
                <w:p w14:paraId="5D6D4BE5">
                  <w:pPr>
                    <w:autoSpaceDE w:val="0"/>
                    <w:autoSpaceDN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3.临界量及其计算方法可参考《建设项目环境风险评价技术导则》（HJ 169）附录B、附录C。</w:t>
                  </w:r>
                </w:p>
              </w:tc>
            </w:tr>
          </w:tbl>
          <w:p w14:paraId="7AF5D852">
            <w:pPr>
              <w:keepNext w:val="0"/>
              <w:keepLines w:val="0"/>
              <w:pageBreakBefore w:val="0"/>
              <w:widowControl/>
              <w:kinsoku w:val="0"/>
              <w:wordWrap/>
              <w:overflowPunct/>
              <w:topLinePunct w:val="0"/>
              <w:autoSpaceDE w:val="0"/>
              <w:autoSpaceDN w:val="0"/>
              <w:bidi w:val="0"/>
              <w:adjustRightInd w:val="0"/>
              <w:snapToGrid w:val="0"/>
              <w:spacing w:line="240" w:lineRule="auto"/>
              <w:ind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cs="Times New Roman"/>
                <w:color w:val="auto"/>
                <w:kern w:val="0"/>
                <w:sz w:val="24"/>
                <w:szCs w:val="24"/>
                <w:lang w:val="en-US" w:eastAsia="zh-CN" w:bidi="ar"/>
              </w:rPr>
              <w:t>因此，本项目需设置</w:t>
            </w:r>
            <w:r>
              <w:rPr>
                <w:rFonts w:hint="eastAsia" w:ascii="Times New Roman" w:hAnsi="Times New Roman" w:cs="Times New Roman"/>
                <w:color w:val="auto"/>
                <w:kern w:val="0"/>
                <w:sz w:val="24"/>
                <w:szCs w:val="24"/>
                <w:lang w:val="en-US" w:eastAsia="zh-CN" w:bidi="ar"/>
              </w:rPr>
              <w:t>大气</w:t>
            </w:r>
            <w:r>
              <w:rPr>
                <w:rFonts w:hint="default" w:ascii="Times New Roman" w:hAnsi="Times New Roman" w:cs="Times New Roman"/>
                <w:color w:val="auto"/>
                <w:kern w:val="0"/>
                <w:sz w:val="24"/>
                <w:szCs w:val="24"/>
                <w:lang w:val="en-US" w:eastAsia="zh-CN" w:bidi="ar"/>
              </w:rPr>
              <w:t>专项评价。</w:t>
            </w:r>
          </w:p>
        </w:tc>
      </w:tr>
      <w:tr w14:paraId="778A95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68" w:hRule="atLeast"/>
          <w:jc w:val="center"/>
        </w:trPr>
        <w:tc>
          <w:tcPr>
            <w:tcW w:w="2468" w:type="dxa"/>
            <w:tcBorders>
              <w:left w:val="single" w:color="000000" w:sz="6" w:space="0"/>
            </w:tcBorders>
            <w:vAlign w:val="center"/>
          </w:tcPr>
          <w:p w14:paraId="3269B3AB">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规划情况</w:t>
            </w:r>
          </w:p>
        </w:tc>
        <w:tc>
          <w:tcPr>
            <w:tcW w:w="7396" w:type="dxa"/>
            <w:gridSpan w:val="3"/>
            <w:tcBorders>
              <w:right w:val="single" w:color="000000" w:sz="6" w:space="0"/>
            </w:tcBorders>
            <w:vAlign w:val="center"/>
          </w:tcPr>
          <w:p w14:paraId="68D2E791">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无</w:t>
            </w:r>
          </w:p>
        </w:tc>
      </w:tr>
      <w:tr w14:paraId="6DBBC4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68" w:hRule="atLeast"/>
          <w:jc w:val="center"/>
        </w:trPr>
        <w:tc>
          <w:tcPr>
            <w:tcW w:w="2468" w:type="dxa"/>
            <w:tcBorders>
              <w:left w:val="single" w:color="000000" w:sz="6" w:space="0"/>
            </w:tcBorders>
            <w:vAlign w:val="center"/>
          </w:tcPr>
          <w:p w14:paraId="3F69DE3C">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规划环境影响</w:t>
            </w:r>
          </w:p>
          <w:p w14:paraId="5F0200C7">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评价情况</w:t>
            </w:r>
          </w:p>
        </w:tc>
        <w:tc>
          <w:tcPr>
            <w:tcW w:w="7396" w:type="dxa"/>
            <w:gridSpan w:val="3"/>
            <w:tcBorders>
              <w:right w:val="single" w:color="000000" w:sz="6" w:space="0"/>
            </w:tcBorders>
            <w:vAlign w:val="center"/>
          </w:tcPr>
          <w:p w14:paraId="1B294922">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无</w:t>
            </w:r>
          </w:p>
        </w:tc>
      </w:tr>
      <w:tr w14:paraId="10E557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68" w:hRule="atLeast"/>
          <w:jc w:val="center"/>
        </w:trPr>
        <w:tc>
          <w:tcPr>
            <w:tcW w:w="2468" w:type="dxa"/>
            <w:tcBorders>
              <w:left w:val="single" w:color="000000" w:sz="6" w:space="0"/>
            </w:tcBorders>
            <w:vAlign w:val="center"/>
          </w:tcPr>
          <w:p w14:paraId="1FCACB3C">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规划及规划环境影响评价符合性分析</w:t>
            </w:r>
          </w:p>
        </w:tc>
        <w:tc>
          <w:tcPr>
            <w:tcW w:w="7396" w:type="dxa"/>
            <w:gridSpan w:val="3"/>
            <w:tcBorders>
              <w:right w:val="single" w:color="000000" w:sz="6" w:space="0"/>
            </w:tcBorders>
            <w:vAlign w:val="center"/>
          </w:tcPr>
          <w:p w14:paraId="2657787A">
            <w:pPr>
              <w:bidi w:val="0"/>
              <w:spacing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无</w:t>
            </w:r>
          </w:p>
        </w:tc>
      </w:tr>
    </w:tbl>
    <w:p w14:paraId="380A2CF4">
      <w:pPr>
        <w:pStyle w:val="5"/>
        <w:spacing w:line="165" w:lineRule="exact"/>
        <w:rPr>
          <w:rFonts w:hint="default" w:ascii="Times New Roman" w:hAnsi="Times New Roman" w:cs="Times New Roman"/>
          <w:color w:val="auto"/>
          <w:sz w:val="14"/>
        </w:rPr>
      </w:pPr>
    </w:p>
    <w:p w14:paraId="77211015">
      <w:pPr>
        <w:spacing w:line="165" w:lineRule="exact"/>
        <w:rPr>
          <w:rFonts w:hint="default" w:ascii="Times New Roman" w:hAnsi="Times New Roman" w:cs="Times New Roman"/>
          <w:color w:val="auto"/>
          <w:sz w:val="14"/>
          <w:szCs w:val="14"/>
        </w:rPr>
        <w:sectPr>
          <w:footerReference r:id="rId5" w:type="default"/>
          <w:pgSz w:w="11905" w:h="16839"/>
          <w:pgMar w:top="1440" w:right="1080" w:bottom="1440" w:left="1080" w:header="113" w:footer="907" w:gutter="0"/>
          <w:pgBorders>
            <w:top w:val="none" w:sz="0" w:space="0"/>
            <w:left w:val="none" w:sz="0" w:space="0"/>
            <w:bottom w:val="none" w:sz="0" w:space="0"/>
            <w:right w:val="none" w:sz="0" w:space="0"/>
          </w:pgBorders>
          <w:pgNumType w:fmt="decimal" w:start="1"/>
          <w:cols w:space="720" w:num="1"/>
        </w:sectPr>
      </w:pPr>
    </w:p>
    <w:tbl>
      <w:tblPr>
        <w:tblStyle w:val="21"/>
        <w:tblW w:w="986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65"/>
        <w:gridCol w:w="9399"/>
      </w:tblGrid>
      <w:tr w14:paraId="52C654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656" w:hRule="atLeast"/>
          <w:jc w:val="center"/>
        </w:trPr>
        <w:tc>
          <w:tcPr>
            <w:tcW w:w="465" w:type="dxa"/>
            <w:tcBorders>
              <w:top w:val="single" w:color="000000" w:sz="2" w:space="0"/>
            </w:tcBorders>
            <w:vAlign w:val="center"/>
          </w:tcPr>
          <w:p w14:paraId="7F7DA368">
            <w:pPr>
              <w:bidi w:val="0"/>
              <w:jc w:val="center"/>
              <w:rPr>
                <w:rFonts w:hint="default" w:ascii="Times New Roman" w:hAnsi="Times New Roman" w:cs="Times New Roman"/>
                <w:color w:val="auto"/>
              </w:rPr>
            </w:pPr>
            <w:r>
              <w:rPr>
                <w:rFonts w:hint="default" w:ascii="Times New Roman" w:hAnsi="Times New Roman" w:cs="Times New Roman"/>
                <w:b/>
                <w:bCs/>
                <w:color w:val="auto"/>
                <w:lang w:val="en-US" w:eastAsia="en-US"/>
              </w:rPr>
              <w:t>其他符合性分析</w:t>
            </w:r>
          </w:p>
        </w:tc>
        <w:tc>
          <w:tcPr>
            <w:tcW w:w="9399" w:type="dxa"/>
            <w:tcBorders>
              <w:top w:val="single" w:color="000000" w:sz="2" w:space="0"/>
            </w:tcBorders>
            <w:vAlign w:val="top"/>
          </w:tcPr>
          <w:p w14:paraId="36A89F25">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en-US" w:bidi="ar-SA"/>
              </w:rPr>
            </w:pPr>
            <w:r>
              <w:rPr>
                <w:rFonts w:hint="default" w:ascii="Times New Roman" w:hAnsi="Times New Roman" w:eastAsia="宋体" w:cs="Times New Roman"/>
                <w:b/>
                <w:bCs/>
                <w:snapToGrid w:val="0"/>
                <w:color w:val="auto"/>
                <w:kern w:val="0"/>
                <w:sz w:val="24"/>
                <w:szCs w:val="24"/>
                <w:lang w:val="en-US" w:eastAsia="en-US" w:bidi="ar-SA"/>
              </w:rPr>
              <w:t>一、项目与产业政策符合性分析</w:t>
            </w:r>
          </w:p>
          <w:p w14:paraId="3EA9E8E7">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项目属于</w:t>
            </w:r>
            <w:r>
              <w:rPr>
                <w:rFonts w:hint="default" w:ascii="Times New Roman" w:hAnsi="Times New Roman" w:eastAsia="宋体" w:cs="Times New Roman"/>
                <w:snapToGrid w:val="0"/>
                <w:color w:val="auto"/>
                <w:kern w:val="0"/>
                <w:sz w:val="24"/>
                <w:szCs w:val="24"/>
                <w:lang w:val="en-US" w:eastAsia="zh-CN" w:bidi="ar-SA"/>
              </w:rPr>
              <w:t>《</w:t>
            </w:r>
            <w:r>
              <w:rPr>
                <w:rFonts w:hint="default" w:ascii="Times New Roman" w:hAnsi="Times New Roman" w:eastAsia="宋体" w:cs="Times New Roman"/>
                <w:snapToGrid w:val="0"/>
                <w:color w:val="auto"/>
                <w:kern w:val="0"/>
                <w:sz w:val="24"/>
                <w:szCs w:val="24"/>
                <w:lang w:val="en-US" w:eastAsia="en-US" w:bidi="ar-SA"/>
              </w:rPr>
              <w:t>国民经济行业分类</w:t>
            </w:r>
            <w:r>
              <w:rPr>
                <w:rFonts w:hint="default" w:ascii="Times New Roman" w:hAnsi="Times New Roman" w:eastAsia="宋体" w:cs="Times New Roman"/>
                <w:snapToGrid w:val="0"/>
                <w:color w:val="auto"/>
                <w:kern w:val="0"/>
                <w:sz w:val="24"/>
                <w:szCs w:val="24"/>
                <w:lang w:val="en-US" w:eastAsia="zh-CN" w:bidi="ar-SA"/>
              </w:rPr>
              <w:t>》</w:t>
            </w:r>
            <w:r>
              <w:rPr>
                <w:rFonts w:hint="default" w:ascii="Times New Roman" w:hAnsi="Times New Roman" w:eastAsia="宋体" w:cs="Times New Roman"/>
                <w:snapToGrid w:val="0"/>
                <w:color w:val="auto"/>
                <w:kern w:val="0"/>
                <w:sz w:val="24"/>
                <w:szCs w:val="24"/>
                <w:lang w:val="en-US" w:eastAsia="en-US" w:bidi="ar-SA"/>
              </w:rPr>
              <w:t>（GB/T4754-2017）</w:t>
            </w:r>
            <w:r>
              <w:rPr>
                <w:rFonts w:hint="default" w:ascii="Times New Roman" w:hAnsi="Times New Roman" w:eastAsia="宋体" w:cs="Times New Roman"/>
                <w:snapToGrid w:val="0"/>
                <w:color w:val="auto"/>
                <w:kern w:val="0"/>
                <w:sz w:val="24"/>
                <w:szCs w:val="24"/>
                <w:lang w:val="en-US" w:eastAsia="zh-CN" w:bidi="ar-SA"/>
              </w:rPr>
              <w:t>（2019年修订版）</w:t>
            </w:r>
            <w:r>
              <w:rPr>
                <w:rFonts w:hint="default" w:ascii="Times New Roman" w:hAnsi="Times New Roman" w:eastAsia="宋体" w:cs="Times New Roman"/>
                <w:snapToGrid w:val="0"/>
                <w:color w:val="auto"/>
                <w:kern w:val="0"/>
                <w:sz w:val="24"/>
                <w:szCs w:val="24"/>
                <w:lang w:val="en-US" w:eastAsia="en-US" w:bidi="ar-SA"/>
              </w:rPr>
              <w:t>中</w:t>
            </w:r>
            <w:r>
              <w:rPr>
                <w:rFonts w:hint="default" w:ascii="Times New Roman" w:hAnsi="Times New Roman" w:cs="Times New Roman"/>
                <w:snapToGrid w:val="0"/>
                <w:color w:val="auto"/>
                <w:kern w:val="0"/>
                <w:sz w:val="24"/>
                <w:szCs w:val="24"/>
                <w:lang w:val="en-US" w:eastAsia="zh-CN" w:bidi="ar-SA"/>
              </w:rPr>
              <w:t>的</w:t>
            </w:r>
            <w:r>
              <w:rPr>
                <w:rFonts w:hint="default" w:ascii="Times New Roman" w:hAnsi="Times New Roman" w:eastAsia="宋体" w:cs="Times New Roman"/>
                <w:snapToGrid w:val="0"/>
                <w:color w:val="auto"/>
                <w:kern w:val="0"/>
                <w:sz w:val="24"/>
                <w:szCs w:val="24"/>
                <w:lang w:val="en-US" w:eastAsia="en-US" w:bidi="ar-SA"/>
              </w:rPr>
              <w:t>“</w:t>
            </w:r>
            <w:r>
              <w:rPr>
                <w:rFonts w:hint="default" w:ascii="Times New Roman" w:hAnsi="Times New Roman" w:cs="Times New Roman"/>
                <w:snapToGrid w:val="0"/>
                <w:color w:val="auto"/>
                <w:kern w:val="0"/>
                <w:sz w:val="24"/>
                <w:szCs w:val="24"/>
                <w:lang w:val="en-US" w:eastAsia="zh-CN" w:bidi="ar-SA"/>
              </w:rPr>
              <w:t>C3391黑色金属铸造</w:t>
            </w:r>
            <w:r>
              <w:rPr>
                <w:rFonts w:hint="default" w:ascii="Times New Roman" w:hAnsi="Times New Roman" w:eastAsia="宋体" w:cs="Times New Roman"/>
                <w:snapToGrid w:val="0"/>
                <w:color w:val="auto"/>
                <w:kern w:val="0"/>
                <w:sz w:val="24"/>
                <w:szCs w:val="24"/>
                <w:lang w:val="en-US" w:eastAsia="en-US" w:bidi="ar-SA"/>
              </w:rPr>
              <w:t>”，不属于</w:t>
            </w:r>
            <w:r>
              <w:rPr>
                <w:rFonts w:hint="default" w:ascii="Times New Roman" w:hAnsi="Times New Roman" w:eastAsia="宋体" w:cs="Times New Roman"/>
                <w:snapToGrid w:val="0"/>
                <w:color w:val="auto"/>
                <w:kern w:val="0"/>
                <w:sz w:val="24"/>
                <w:szCs w:val="24"/>
                <w:lang w:val="en-US" w:eastAsia="zh-CN" w:bidi="ar-SA"/>
              </w:rPr>
              <w:t>《产业结构调整指导目录》（2024年）</w:t>
            </w:r>
            <w:r>
              <w:rPr>
                <w:rFonts w:hint="default" w:ascii="Times New Roman" w:hAnsi="Times New Roman" w:eastAsia="宋体" w:cs="Times New Roman"/>
                <w:snapToGrid w:val="0"/>
                <w:color w:val="auto"/>
                <w:kern w:val="0"/>
                <w:sz w:val="24"/>
                <w:szCs w:val="24"/>
                <w:lang w:val="en-US" w:eastAsia="en-US" w:bidi="ar-SA"/>
              </w:rPr>
              <w:t>限制类和淘汰类，故属于允许类</w:t>
            </w:r>
            <w:r>
              <w:rPr>
                <w:rFonts w:hint="default" w:ascii="Times New Roman" w:hAnsi="Times New Roman" w:cs="Times New Roman"/>
                <w:snapToGrid w:val="0"/>
                <w:color w:val="auto"/>
                <w:kern w:val="0"/>
                <w:sz w:val="24"/>
                <w:szCs w:val="24"/>
                <w:lang w:val="en-US" w:eastAsia="zh-CN" w:bidi="ar-SA"/>
              </w:rPr>
              <w:t>建设项目</w:t>
            </w:r>
            <w:r>
              <w:rPr>
                <w:rFonts w:hint="default" w:ascii="Times New Roman" w:hAnsi="Times New Roman" w:eastAsia="宋体" w:cs="Times New Roman"/>
                <w:snapToGrid w:val="0"/>
                <w:color w:val="auto"/>
                <w:kern w:val="0"/>
                <w:sz w:val="24"/>
                <w:szCs w:val="24"/>
                <w:lang w:val="en-US" w:eastAsia="en-US" w:bidi="ar-SA"/>
              </w:rPr>
              <w:t>。</w:t>
            </w:r>
          </w:p>
          <w:p w14:paraId="0BD258DD">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项目所用设备、生产工艺不属于淄博市《全市重点淘汰的落后工艺技术、装备及产 品目录》中落后的工艺技术、装备及产品项目，根据淄博市人民政府办公厅《关于印发淄博市产业结构调整指导意见和指导目录的通知》（淄政办发[2011]35号），不属于限制类和淘汰类，故属于允许类，符合国家及淄博市的产业政策要求。</w:t>
            </w:r>
          </w:p>
          <w:p w14:paraId="1F84B4C8">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所以项目符合当地的产业政策。</w:t>
            </w:r>
          </w:p>
          <w:p w14:paraId="6C941DC6">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en-US" w:bidi="ar-SA"/>
              </w:rPr>
            </w:pPr>
            <w:r>
              <w:rPr>
                <w:rFonts w:hint="default" w:ascii="Times New Roman" w:hAnsi="Times New Roman" w:eastAsia="宋体" w:cs="Times New Roman"/>
                <w:b/>
                <w:bCs/>
                <w:snapToGrid w:val="0"/>
                <w:color w:val="auto"/>
                <w:kern w:val="0"/>
                <w:sz w:val="24"/>
                <w:szCs w:val="24"/>
                <w:lang w:val="en-US" w:eastAsia="en-US" w:bidi="ar-SA"/>
              </w:rPr>
              <w:t>二、用地符合性分析</w:t>
            </w:r>
          </w:p>
          <w:p w14:paraId="1D111B14">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项目位于</w:t>
            </w:r>
            <w:r>
              <w:rPr>
                <w:rFonts w:hint="default" w:ascii="Times New Roman" w:hAnsi="Times New Roman" w:cs="Times New Roman"/>
                <w:snapToGrid w:val="0"/>
                <w:color w:val="auto"/>
                <w:kern w:val="0"/>
                <w:sz w:val="24"/>
                <w:szCs w:val="24"/>
                <w:lang w:val="en-US" w:eastAsia="zh-CN" w:bidi="ar-SA"/>
              </w:rPr>
              <w:t>山东省淄博市淄川区龙泉镇大土屋村西</w:t>
            </w:r>
            <w:r>
              <w:rPr>
                <w:rFonts w:hint="default" w:ascii="Times New Roman" w:hAnsi="Times New Roman" w:eastAsia="宋体" w:cs="Times New Roman"/>
                <w:snapToGrid w:val="0"/>
                <w:color w:val="auto"/>
                <w:kern w:val="0"/>
                <w:sz w:val="24"/>
                <w:szCs w:val="24"/>
                <w:highlight w:val="none"/>
                <w:lang w:val="en-US" w:eastAsia="en-US" w:bidi="ar-SA"/>
              </w:rPr>
              <w:t>，</w:t>
            </w:r>
            <w:r>
              <w:rPr>
                <w:rFonts w:hint="default" w:ascii="Times New Roman" w:hAnsi="Times New Roman" w:cs="Times New Roman"/>
                <w:snapToGrid w:val="0"/>
                <w:color w:val="auto"/>
                <w:kern w:val="0"/>
                <w:sz w:val="24"/>
                <w:szCs w:val="24"/>
                <w:highlight w:val="none"/>
                <w:lang w:val="en-US" w:eastAsia="zh-CN" w:bidi="ar-SA"/>
              </w:rPr>
              <w:t>根据租赁合同及土地变更申请审批书</w:t>
            </w:r>
            <w:r>
              <w:rPr>
                <w:rFonts w:hint="default" w:ascii="Times New Roman" w:hAnsi="Times New Roman" w:eastAsia="宋体" w:cs="Times New Roman"/>
                <w:snapToGrid w:val="0"/>
                <w:color w:val="auto"/>
                <w:kern w:val="0"/>
                <w:sz w:val="24"/>
                <w:szCs w:val="24"/>
                <w:highlight w:val="none"/>
                <w:lang w:val="en-US" w:eastAsia="en-US" w:bidi="ar-SA"/>
              </w:rPr>
              <w:t>可知，项目位置属于工业用地，</w:t>
            </w:r>
            <w:r>
              <w:rPr>
                <w:rFonts w:hint="default" w:ascii="Times New Roman" w:hAnsi="Times New Roman" w:eastAsia="宋体" w:cs="Times New Roman"/>
                <w:snapToGrid w:val="0"/>
                <w:color w:val="auto"/>
                <w:kern w:val="0"/>
                <w:sz w:val="24"/>
                <w:szCs w:val="24"/>
                <w:lang w:val="en-US" w:eastAsia="en-US" w:bidi="ar-SA"/>
              </w:rPr>
              <w:t>项目选址</w:t>
            </w:r>
            <w:r>
              <w:rPr>
                <w:rFonts w:hint="default" w:ascii="Times New Roman" w:hAnsi="Times New Roman" w:cs="Times New Roman"/>
                <w:bCs/>
                <w:color w:val="auto"/>
                <w:sz w:val="24"/>
              </w:rPr>
              <w:t>用地不属于“国土资源部、国家发展和改革委员会关于发布实施《自然资源要素支撑产业高质量发展指导目录（2024年本）》的通知”中的限制类和禁止类</w:t>
            </w:r>
            <w:r>
              <w:rPr>
                <w:rFonts w:hint="default" w:ascii="Times New Roman" w:hAnsi="Times New Roman" w:eastAsia="宋体" w:cs="Times New Roman"/>
                <w:snapToGrid w:val="0"/>
                <w:color w:val="auto"/>
                <w:kern w:val="0"/>
                <w:sz w:val="24"/>
                <w:szCs w:val="24"/>
                <w:lang w:val="en-US" w:eastAsia="en-US" w:bidi="ar-SA"/>
              </w:rPr>
              <w:t>，因此，项目选址符合国家及地方的用地规划。项目地理位</w:t>
            </w:r>
            <w:r>
              <w:rPr>
                <w:rFonts w:hint="default" w:ascii="Times New Roman" w:hAnsi="Times New Roman" w:eastAsia="宋体" w:cs="Times New Roman"/>
                <w:snapToGrid w:val="0"/>
                <w:color w:val="auto"/>
                <w:kern w:val="0"/>
                <w:sz w:val="24"/>
                <w:szCs w:val="24"/>
                <w:highlight w:val="none"/>
                <w:lang w:val="en-US" w:eastAsia="en-US" w:bidi="ar-SA"/>
              </w:rPr>
              <w:t>置图详见附图1。</w:t>
            </w:r>
          </w:p>
          <w:p w14:paraId="6E888706">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both"/>
              <w:textAlignment w:val="baseline"/>
              <w:rPr>
                <w:rFonts w:hint="default" w:ascii="Times New Roman" w:hAnsi="Times New Roman" w:eastAsia="宋体" w:cs="Times New Roman"/>
                <w:b/>
                <w:bCs/>
                <w:snapToGrid w:val="0"/>
                <w:color w:val="auto"/>
                <w:kern w:val="0"/>
                <w:sz w:val="24"/>
                <w:szCs w:val="24"/>
                <w:lang w:val="en-US" w:eastAsia="en-US" w:bidi="ar-SA"/>
              </w:rPr>
            </w:pPr>
            <w:r>
              <w:rPr>
                <w:rFonts w:hint="default" w:ascii="Times New Roman" w:hAnsi="Times New Roman" w:eastAsia="宋体" w:cs="Times New Roman"/>
                <w:b/>
                <w:bCs/>
                <w:snapToGrid w:val="0"/>
                <w:color w:val="auto"/>
                <w:kern w:val="0"/>
                <w:sz w:val="24"/>
                <w:szCs w:val="24"/>
                <w:lang w:val="en-US" w:eastAsia="en-US" w:bidi="ar-SA"/>
              </w:rPr>
              <w:t>三、与《淄博市2023年生态环境分区管控成果动态更新项目生态环境准入清单》符合性分析</w:t>
            </w:r>
          </w:p>
          <w:p w14:paraId="32D50478">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en-US" w:bidi="ar-SA"/>
              </w:rPr>
              <w:t>1、生态保护红线</w:t>
            </w:r>
            <w:r>
              <w:rPr>
                <w:rFonts w:hint="default" w:ascii="Times New Roman" w:hAnsi="Times New Roman" w:cs="Times New Roman"/>
                <w:snapToGrid w:val="0"/>
                <w:color w:val="auto"/>
                <w:kern w:val="0"/>
                <w:sz w:val="24"/>
                <w:szCs w:val="24"/>
                <w:lang w:val="en-US" w:eastAsia="zh-CN" w:bidi="ar-SA"/>
              </w:rPr>
              <w:t>符合性分析</w:t>
            </w:r>
          </w:p>
          <w:p w14:paraId="440298DF">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根据《淄博市国土空间总体规划》（2021-2035年）</w:t>
            </w:r>
            <w:r>
              <w:rPr>
                <w:rFonts w:hint="eastAsia" w:ascii="Times New Roman" w:hAnsi="Times New Roman" w:cs="Times New Roman"/>
                <w:snapToGrid w:val="0"/>
                <w:color w:val="auto"/>
                <w:kern w:val="0"/>
                <w:sz w:val="24"/>
                <w:szCs w:val="24"/>
                <w:lang w:val="en-US" w:eastAsia="zh-CN" w:bidi="ar-SA"/>
              </w:rPr>
              <w:t>(详见附图5）</w:t>
            </w:r>
            <w:r>
              <w:rPr>
                <w:rFonts w:hint="default" w:ascii="Times New Roman" w:hAnsi="Times New Roman" w:eastAsia="宋体" w:cs="Times New Roman"/>
                <w:snapToGrid w:val="0"/>
                <w:color w:val="auto"/>
                <w:kern w:val="0"/>
                <w:sz w:val="24"/>
                <w:szCs w:val="24"/>
                <w:highlight w:val="none"/>
                <w:lang w:val="en-US" w:eastAsia="en-US" w:bidi="ar-SA"/>
              </w:rPr>
              <w:t>，项目</w:t>
            </w:r>
            <w:r>
              <w:rPr>
                <w:rFonts w:hint="default" w:ascii="Times New Roman" w:hAnsi="Times New Roman" w:cs="Times New Roman"/>
                <w:snapToGrid w:val="0"/>
                <w:color w:val="auto"/>
                <w:kern w:val="0"/>
                <w:sz w:val="24"/>
                <w:szCs w:val="24"/>
                <w:highlight w:val="none"/>
                <w:lang w:val="en-US" w:eastAsia="zh-CN" w:bidi="ar-SA"/>
              </w:rPr>
              <w:t>不在</w:t>
            </w:r>
            <w:r>
              <w:rPr>
                <w:rFonts w:hint="default" w:ascii="Times New Roman" w:hAnsi="Times New Roman" w:eastAsia="宋体" w:cs="Times New Roman"/>
                <w:snapToGrid w:val="0"/>
                <w:color w:val="auto"/>
                <w:kern w:val="0"/>
                <w:sz w:val="24"/>
                <w:szCs w:val="24"/>
                <w:highlight w:val="none"/>
                <w:lang w:val="en-US" w:eastAsia="en-US" w:bidi="ar-SA"/>
              </w:rPr>
              <w:t>城镇开发边界内</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en-US" w:bidi="ar-SA"/>
              </w:rPr>
              <w:t>不涉及永久基本农田，</w:t>
            </w:r>
            <w:r>
              <w:rPr>
                <w:rFonts w:hint="default" w:ascii="Times New Roman" w:hAnsi="Times New Roman" w:eastAsia="宋体" w:cs="Times New Roman"/>
                <w:snapToGrid w:val="0"/>
                <w:color w:val="auto"/>
                <w:kern w:val="0"/>
                <w:sz w:val="24"/>
                <w:szCs w:val="24"/>
                <w:lang w:val="en-US" w:eastAsia="en-US" w:bidi="ar-SA"/>
              </w:rPr>
              <w:t>位于生态保护红线之外。因此，项目的建设符合淄博市国土空间总体规划划定成</w:t>
            </w:r>
            <w:r>
              <w:rPr>
                <w:rFonts w:hint="default" w:ascii="Times New Roman" w:hAnsi="Times New Roman" w:eastAsia="宋体" w:cs="Times New Roman"/>
                <w:snapToGrid w:val="0"/>
                <w:color w:val="auto"/>
                <w:kern w:val="0"/>
                <w:sz w:val="24"/>
                <w:szCs w:val="24"/>
                <w:highlight w:val="none"/>
                <w:lang w:val="en-US" w:eastAsia="en-US" w:bidi="ar-SA"/>
              </w:rPr>
              <w:t>果。</w:t>
            </w:r>
          </w:p>
          <w:p w14:paraId="168DA97D">
            <w:pPr>
              <w:pStyle w:val="22"/>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en-US" w:bidi="ar-SA"/>
              </w:rPr>
            </w:pPr>
            <w:r>
              <w:rPr>
                <w:rFonts w:hint="default" w:ascii="Times New Roman" w:hAnsi="Times New Roman" w:eastAsia="宋体" w:cs="Times New Roman"/>
                <w:snapToGrid w:val="0"/>
                <w:color w:val="auto"/>
                <w:kern w:val="0"/>
                <w:sz w:val="24"/>
                <w:szCs w:val="24"/>
                <w:lang w:val="en-US" w:eastAsia="en-US" w:bidi="ar-SA"/>
              </w:rPr>
              <w:t>项目周围没有重点文物保护单位、自然保护区、风景名胜区、自然历史遗迹等。因此，项目选址合理。</w:t>
            </w:r>
          </w:p>
          <w:p w14:paraId="20179D7A">
            <w:pPr>
              <w:pStyle w:val="22"/>
              <w:keepNext w:val="0"/>
              <w:keepLines w:val="0"/>
              <w:pageBreakBefore w:val="0"/>
              <w:widowControl/>
              <w:numPr>
                <w:ilvl w:val="0"/>
                <w:numId w:val="1"/>
              </w:numPr>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en-US" w:bidi="ar-SA"/>
              </w:rPr>
              <w:t>环境质量底线</w:t>
            </w:r>
            <w:r>
              <w:rPr>
                <w:rFonts w:hint="default" w:ascii="Times New Roman" w:hAnsi="Times New Roman" w:cs="Times New Roman"/>
                <w:snapToGrid w:val="0"/>
                <w:color w:val="auto"/>
                <w:kern w:val="0"/>
                <w:sz w:val="24"/>
                <w:szCs w:val="24"/>
                <w:lang w:val="en-US" w:eastAsia="zh-CN" w:bidi="ar-SA"/>
              </w:rPr>
              <w:t>符合性分析</w:t>
            </w:r>
          </w:p>
          <w:p w14:paraId="2F37AD5E">
            <w:pPr>
              <w:keepNext w:val="0"/>
              <w:keepLines w:val="0"/>
              <w:pageBreakBefore w:val="0"/>
              <w:widowControl/>
              <w:kinsoku/>
              <w:wordWrap/>
              <w:overflowPunct/>
              <w:topLinePunct w:val="0"/>
              <w:autoSpaceDE w:val="0"/>
              <w:autoSpaceDN w:val="0"/>
              <w:bidi w:val="0"/>
              <w:adjustRightInd w:val="0"/>
              <w:snapToGrid w:val="0"/>
              <w:spacing w:line="360" w:lineRule="auto"/>
              <w:ind w:left="0" w:firstLine="512" w:firstLineChars="200"/>
              <w:jc w:val="both"/>
              <w:textAlignment w:val="baseline"/>
              <w:rPr>
                <w:rFonts w:hint="default" w:ascii="Times New Roman" w:hAnsi="Times New Roman" w:cs="Times New Roman"/>
                <w:color w:val="auto"/>
                <w:highlight w:val="none"/>
              </w:rPr>
            </w:pPr>
            <w:r>
              <w:rPr>
                <w:rFonts w:hint="default" w:ascii="Times New Roman" w:hAnsi="Times New Roman" w:cs="Times New Roman"/>
                <w:color w:val="auto"/>
                <w:spacing w:val="8"/>
              </w:rPr>
              <w:t>根据</w:t>
            </w:r>
            <w:r>
              <w:rPr>
                <w:rFonts w:hint="default" w:ascii="Times New Roman" w:hAnsi="Times New Roman" w:eastAsia="Times New Roman" w:cs="Times New Roman"/>
                <w:color w:val="auto"/>
                <w:spacing w:val="8"/>
              </w:rPr>
              <w:t>202</w:t>
            </w:r>
            <w:r>
              <w:rPr>
                <w:rFonts w:hint="default" w:ascii="Times New Roman" w:hAnsi="Times New Roman" w:eastAsia="宋体" w:cs="Times New Roman"/>
                <w:color w:val="auto"/>
                <w:spacing w:val="8"/>
                <w:lang w:val="en-US" w:eastAsia="zh-CN"/>
              </w:rPr>
              <w:t>5</w:t>
            </w:r>
            <w:r>
              <w:rPr>
                <w:rFonts w:hint="default" w:ascii="Times New Roman" w:hAnsi="Times New Roman" w:cs="Times New Roman"/>
                <w:color w:val="auto"/>
                <w:spacing w:val="8"/>
              </w:rPr>
              <w:t>年</w:t>
            </w:r>
            <w:r>
              <w:rPr>
                <w:rFonts w:hint="default" w:ascii="Times New Roman" w:hAnsi="Times New Roman" w:eastAsia="宋体" w:cs="Times New Roman"/>
                <w:color w:val="auto"/>
                <w:spacing w:val="8"/>
                <w:lang w:val="en-US" w:eastAsia="zh-CN"/>
              </w:rPr>
              <w:t>1</w:t>
            </w:r>
            <w:r>
              <w:rPr>
                <w:rFonts w:hint="default" w:ascii="Times New Roman" w:hAnsi="Times New Roman" w:cs="Times New Roman"/>
                <w:color w:val="auto"/>
                <w:spacing w:val="8"/>
              </w:rPr>
              <w:t>月</w:t>
            </w:r>
            <w:r>
              <w:rPr>
                <w:rFonts w:hint="default" w:ascii="Times New Roman" w:hAnsi="Times New Roman" w:cs="Times New Roman"/>
                <w:color w:val="auto"/>
                <w:spacing w:val="8"/>
                <w:lang w:val="en-US" w:eastAsia="zh-CN"/>
              </w:rPr>
              <w:t>2</w:t>
            </w:r>
            <w:r>
              <w:rPr>
                <w:rFonts w:hint="default" w:ascii="Times New Roman" w:hAnsi="Times New Roman" w:eastAsia="Times New Roman" w:cs="Times New Roman"/>
                <w:color w:val="auto"/>
                <w:spacing w:val="8"/>
              </w:rPr>
              <w:t>7</w:t>
            </w:r>
            <w:r>
              <w:rPr>
                <w:rFonts w:hint="default" w:ascii="Times New Roman" w:hAnsi="Times New Roman" w:cs="Times New Roman"/>
                <w:color w:val="auto"/>
                <w:spacing w:val="8"/>
              </w:rPr>
              <w:t>日淄博市生态环境局下发的《</w:t>
            </w:r>
            <w:r>
              <w:rPr>
                <w:rFonts w:hint="default" w:ascii="Times New Roman" w:hAnsi="Times New Roman" w:eastAsia="Times New Roman" w:cs="Times New Roman"/>
                <w:color w:val="auto"/>
                <w:spacing w:val="8"/>
              </w:rPr>
              <w:t>2024年12月份及全年环境空气质量情况通报</w:t>
            </w:r>
            <w:r>
              <w:rPr>
                <w:rFonts w:hint="default" w:ascii="Times New Roman" w:hAnsi="Times New Roman" w:cs="Times New Roman"/>
                <w:color w:val="auto"/>
                <w:spacing w:val="9"/>
              </w:rPr>
              <w:t>》</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周边环境空气质量不满足《环境空气质量标准》（GB3095-2012）及修改单的二级标准要求；项目区域环境噪声质量符合《声环境质量标准》（GB3096-2008）2类标准要求；本项目周围地表水体为</w:t>
            </w:r>
            <w:r>
              <w:rPr>
                <w:rFonts w:hint="default" w:ascii="Times New Roman" w:hAnsi="Times New Roman" w:cs="Times New Roman"/>
                <w:color w:val="auto"/>
                <w:highlight w:val="none"/>
                <w:lang w:val="en-US" w:eastAsia="zh-CN"/>
              </w:rPr>
              <w:t>孝妇河</w:t>
            </w:r>
            <w:r>
              <w:rPr>
                <w:rFonts w:hint="default" w:ascii="Times New Roman" w:hAnsi="Times New Roman" w:eastAsia="宋体" w:cs="Times New Roman"/>
                <w:color w:val="auto"/>
                <w:highlight w:val="none"/>
                <w:lang w:val="en-US" w:eastAsia="zh-CN"/>
              </w:rPr>
              <w:t>，能满足《地表水环境质量标准》（GB3838-2002）</w:t>
            </w: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Ⅲ</w:t>
            </w:r>
            <w:r>
              <w:rPr>
                <w:rFonts w:hint="default" w:ascii="Times New Roman" w:hAnsi="Times New Roman" w:eastAsia="宋体" w:cs="Times New Roman"/>
                <w:color w:val="auto"/>
                <w:highlight w:val="none"/>
                <w:lang w:val="en-US" w:eastAsia="zh-CN"/>
              </w:rPr>
              <w:t>类标准；项目区域地下水满足《地下水质量标准》（GB/T14848-2017）Ⅲ类标准的要求。本</w:t>
            </w:r>
            <w:r>
              <w:rPr>
                <w:rFonts w:hint="default" w:ascii="Times New Roman" w:hAnsi="Times New Roman" w:eastAsia="宋体" w:cs="Times New Roman"/>
                <w:color w:val="auto"/>
                <w:lang w:val="en-US" w:eastAsia="zh-CN"/>
              </w:rPr>
              <w:t>项目废气、废水和噪声经治理后对环境污染较小，固废可做到无害化处置。采取本环评提出的相关防治措施后，本项目排放的污染物不会对区域环境质量底线造成冲击</w:t>
            </w:r>
            <w:r>
              <w:rPr>
                <w:rFonts w:hint="default" w:ascii="Times New Roman" w:hAnsi="Times New Roman" w:cs="Times New Roman"/>
                <w:color w:val="auto"/>
                <w:spacing w:val="-1"/>
                <w:highlight w:val="none"/>
              </w:rPr>
              <w:t>。</w:t>
            </w:r>
          </w:p>
          <w:p w14:paraId="1FDA1966">
            <w:pPr>
              <w:keepNext w:val="0"/>
              <w:keepLines w:val="0"/>
              <w:pageBreakBefore w:val="0"/>
              <w:widowControl/>
              <w:kinsoku/>
              <w:wordWrap/>
              <w:overflowPunct/>
              <w:topLinePunct w:val="0"/>
              <w:autoSpaceDE w:val="0"/>
              <w:autoSpaceDN w:val="0"/>
              <w:bidi w:val="0"/>
              <w:adjustRightInd w:val="0"/>
              <w:snapToGrid w:val="0"/>
              <w:spacing w:line="360" w:lineRule="auto"/>
              <w:ind w:firstLine="46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Times New Roman" w:cs="Times New Roman"/>
                <w:color w:val="auto"/>
                <w:spacing w:val="-5"/>
              </w:rPr>
              <w:t>3</w:t>
            </w:r>
            <w:r>
              <w:rPr>
                <w:rFonts w:hint="default" w:ascii="Times New Roman" w:hAnsi="Times New Roman" w:cs="Times New Roman"/>
                <w:color w:val="auto"/>
              </w:rPr>
              <w:t>、资源利用上线</w:t>
            </w:r>
            <w:r>
              <w:rPr>
                <w:rFonts w:hint="default" w:ascii="Times New Roman" w:hAnsi="Times New Roman" w:cs="Times New Roman"/>
                <w:color w:val="auto"/>
                <w:lang w:val="en-US" w:eastAsia="zh-CN"/>
              </w:rPr>
              <w:t>符合性分析</w:t>
            </w:r>
          </w:p>
          <w:p w14:paraId="567482B4">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yellow"/>
              </w:rPr>
            </w:pPr>
            <w:r>
              <w:rPr>
                <w:rFonts w:hint="default" w:ascii="Times New Roman" w:hAnsi="Times New Roman" w:cs="Times New Roman"/>
                <w:color w:val="auto"/>
              </w:rPr>
              <w:t>本项目周围配套设施较为完善，水、电、气等公共设施方便；本项目在运营期间，会消耗一定的电能、水资源及天然气等。项目资源消耗量相对区域资源利用总量较少，符合资源利用上线</w:t>
            </w:r>
            <w:r>
              <w:rPr>
                <w:rFonts w:hint="default" w:ascii="Times New Roman" w:hAnsi="Times New Roman" w:cs="Times New Roman"/>
                <w:color w:val="auto"/>
                <w:spacing w:val="-3"/>
                <w:highlight w:val="none"/>
              </w:rPr>
              <w:t>。</w:t>
            </w:r>
          </w:p>
          <w:p w14:paraId="3801C0B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cs="Times New Roman"/>
                <w:color w:val="auto"/>
              </w:rPr>
              <w:t>4、生态环境</w:t>
            </w:r>
            <w:r>
              <w:rPr>
                <w:rFonts w:hint="default" w:ascii="Times New Roman" w:hAnsi="Times New Roman" w:cs="Times New Roman"/>
                <w:color w:val="auto"/>
                <w:lang w:val="en-US" w:eastAsia="zh-CN"/>
              </w:rPr>
              <w:t>分区管控方案</w:t>
            </w:r>
          </w:p>
          <w:p w14:paraId="0FF734E9">
            <w:pPr>
              <w:keepNext w:val="0"/>
              <w:keepLines w:val="0"/>
              <w:pageBreakBefore w:val="0"/>
              <w:widowControl/>
              <w:kinsoku/>
              <w:wordWrap/>
              <w:overflowPunct/>
              <w:topLinePunct w:val="0"/>
              <w:autoSpaceDE w:val="0"/>
              <w:autoSpaceDN w:val="0"/>
              <w:bidi w:val="0"/>
              <w:adjustRightInd w:val="0"/>
              <w:snapToGrid w:val="0"/>
              <w:ind w:firstLine="472" w:firstLineChars="200"/>
              <w:textAlignment w:val="baseline"/>
              <w:rPr>
                <w:rFonts w:hint="default" w:ascii="Times New Roman" w:hAnsi="Times New Roman" w:cs="Times New Roman"/>
                <w:color w:val="auto"/>
              </w:rPr>
            </w:pPr>
            <w:r>
              <w:rPr>
                <w:rFonts w:hint="default" w:ascii="Times New Roman" w:hAnsi="Times New Roman" w:cs="Times New Roman"/>
                <w:color w:val="auto"/>
                <w:spacing w:val="-2"/>
              </w:rPr>
              <w:t>按照生态环境法律法规和国家、省环境管理政策，结合区域发</w:t>
            </w:r>
            <w:r>
              <w:rPr>
                <w:rFonts w:hint="default" w:ascii="Times New Roman" w:hAnsi="Times New Roman" w:cs="Times New Roman"/>
                <w:color w:val="auto"/>
                <w:spacing w:val="-3"/>
              </w:rPr>
              <w:t>展战略和生</w:t>
            </w:r>
            <w:r>
              <w:rPr>
                <w:rFonts w:hint="default" w:ascii="Times New Roman" w:hAnsi="Times New Roman" w:cs="Times New Roman"/>
                <w:color w:val="auto"/>
              </w:rPr>
              <w:t>态功能定位，全市共划定环境管控单元</w:t>
            </w:r>
            <w:r>
              <w:rPr>
                <w:rFonts w:hint="default" w:ascii="Times New Roman" w:hAnsi="Times New Roman" w:eastAsia="Times New Roman" w:cs="Times New Roman"/>
                <w:color w:val="auto"/>
              </w:rPr>
              <w:t>117</w:t>
            </w:r>
            <w:r>
              <w:rPr>
                <w:rFonts w:hint="default" w:ascii="Times New Roman" w:hAnsi="Times New Roman" w:cs="Times New Roman"/>
                <w:color w:val="auto"/>
              </w:rPr>
              <w:t>个，分为优先保护单元</w:t>
            </w:r>
            <w:r>
              <w:rPr>
                <w:rFonts w:hint="default" w:ascii="Times New Roman" w:hAnsi="Times New Roman" w:cs="Times New Roman"/>
                <w:color w:val="auto"/>
                <w:spacing w:val="-1"/>
              </w:rPr>
              <w:t>、重点管控</w:t>
            </w:r>
            <w:r>
              <w:rPr>
                <w:rFonts w:hint="default" w:ascii="Times New Roman" w:hAnsi="Times New Roman" w:cs="Times New Roman"/>
                <w:color w:val="auto"/>
                <w:spacing w:val="-2"/>
              </w:rPr>
              <w:t>单元和一般管控单元三类。本项目位于</w:t>
            </w:r>
            <w:r>
              <w:rPr>
                <w:rFonts w:hint="default" w:ascii="Times New Roman" w:hAnsi="Times New Roman" w:cs="Times New Roman"/>
                <w:color w:val="auto"/>
                <w:spacing w:val="-2"/>
                <w:lang w:eastAsia="zh-CN"/>
              </w:rPr>
              <w:t>淄川区龙泉镇</w:t>
            </w:r>
            <w:r>
              <w:rPr>
                <w:rFonts w:hint="default" w:ascii="Times New Roman" w:hAnsi="Times New Roman" w:cs="Times New Roman"/>
                <w:color w:val="auto"/>
                <w:spacing w:val="-2"/>
              </w:rPr>
              <w:t>，根据淄博市环境管控单元</w:t>
            </w:r>
            <w:r>
              <w:rPr>
                <w:rFonts w:hint="default" w:ascii="Times New Roman" w:hAnsi="Times New Roman" w:cs="Times New Roman"/>
                <w:color w:val="auto"/>
                <w:spacing w:val="-1"/>
              </w:rPr>
              <w:t>图（附图</w:t>
            </w:r>
            <w:r>
              <w:rPr>
                <w:rFonts w:hint="default" w:ascii="Times New Roman" w:hAnsi="Times New Roman" w:eastAsia="宋体" w:cs="Times New Roman"/>
                <w:color w:val="auto"/>
                <w:spacing w:val="-1"/>
                <w:lang w:val="en-US" w:eastAsia="zh-CN"/>
              </w:rPr>
              <w:t>4</w:t>
            </w:r>
            <w:r>
              <w:rPr>
                <w:rFonts w:hint="default" w:ascii="Times New Roman" w:hAnsi="Times New Roman" w:cs="Times New Roman"/>
                <w:color w:val="auto"/>
                <w:spacing w:val="13"/>
              </w:rPr>
              <w:t>），</w:t>
            </w:r>
            <w:r>
              <w:rPr>
                <w:rFonts w:hint="default" w:ascii="Times New Roman" w:hAnsi="Times New Roman" w:cs="Times New Roman"/>
                <w:color w:val="auto"/>
                <w:spacing w:val="-1"/>
              </w:rPr>
              <w:t>项目所在区域属于</w:t>
            </w:r>
            <w:r>
              <w:rPr>
                <w:rFonts w:hint="default" w:ascii="Times New Roman" w:hAnsi="Times New Roman" w:cs="Times New Roman"/>
                <w:color w:val="auto"/>
                <w:spacing w:val="-1"/>
                <w:lang w:val="en-US" w:eastAsia="zh-CN"/>
              </w:rPr>
              <w:t>一般</w:t>
            </w:r>
            <w:r>
              <w:rPr>
                <w:rFonts w:hint="default" w:ascii="Times New Roman" w:hAnsi="Times New Roman" w:cs="Times New Roman"/>
                <w:color w:val="auto"/>
                <w:spacing w:val="-1"/>
              </w:rPr>
              <w:t>管控单元</w:t>
            </w:r>
            <w:r>
              <w:rPr>
                <w:rFonts w:hint="default" w:ascii="Times New Roman" w:hAnsi="Times New Roman" w:cs="Times New Roman"/>
                <w:color w:val="auto"/>
                <w:spacing w:val="-1"/>
                <w:lang w:eastAsia="zh-CN"/>
              </w:rPr>
              <w:t>，</w:t>
            </w:r>
            <w:r>
              <w:rPr>
                <w:rFonts w:hint="default" w:ascii="Times New Roman" w:hAnsi="Times New Roman" w:cs="Times New Roman"/>
                <w:color w:val="auto"/>
              </w:rPr>
              <w:t>管控单元编码为ZH37030230005。与分区管控要求符合性分析如下表所示：</w:t>
            </w:r>
          </w:p>
          <w:p w14:paraId="1D14FD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spacing w:val="7"/>
              </w:rPr>
            </w:pPr>
            <w:r>
              <w:rPr>
                <w:rFonts w:hint="default" w:ascii="Times New Roman" w:hAnsi="Times New Roman" w:cs="Times New Roman"/>
                <w:b/>
                <w:bCs/>
                <w:color w:val="auto"/>
              </w:rPr>
              <w:t>表1-</w:t>
            </w:r>
            <w:r>
              <w:rPr>
                <w:rFonts w:hint="default" w:ascii="Times New Roman" w:hAnsi="Times New Roman" w:cs="Times New Roman"/>
                <w:b/>
                <w:bCs/>
                <w:color w:val="auto"/>
                <w:lang w:val="en-US" w:eastAsia="zh-CN"/>
              </w:rPr>
              <w:t>2</w:t>
            </w:r>
            <w:r>
              <w:rPr>
                <w:rFonts w:hint="eastAsia" w:ascii="Times New Roman" w:hAnsi="Times New Roman" w:cs="Times New Roman"/>
                <w:b/>
                <w:bCs/>
                <w:color w:val="auto"/>
                <w:lang w:val="en-US" w:eastAsia="zh-CN"/>
              </w:rPr>
              <w:t xml:space="preserve"> </w:t>
            </w:r>
            <w:r>
              <w:rPr>
                <w:rFonts w:hint="default" w:ascii="Times New Roman" w:hAnsi="Times New Roman" w:cs="Times New Roman"/>
                <w:b/>
                <w:bCs/>
                <w:color w:val="auto"/>
                <w:spacing w:val="7"/>
              </w:rPr>
              <w:t>与淄博市2023年生态环境分区管控成果动态更新项目生态环境准入清单</w:t>
            </w:r>
          </w:p>
          <w:p w14:paraId="4D8902C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spacing w:val="6"/>
              </w:rPr>
              <w:t>符合性分析</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591"/>
              <w:gridCol w:w="571"/>
              <w:gridCol w:w="4234"/>
              <w:gridCol w:w="3140"/>
              <w:gridCol w:w="535"/>
            </w:tblGrid>
            <w:tr w14:paraId="6E8197E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687" w:hRule="atLeast"/>
                <w:jc w:val="center"/>
              </w:trPr>
              <w:tc>
                <w:tcPr>
                  <w:tcW w:w="591" w:type="dxa"/>
                  <w:tcBorders>
                    <w:tl2br w:val="nil"/>
                    <w:tr2bl w:val="nil"/>
                  </w:tcBorders>
                  <w:vAlign w:val="center"/>
                </w:tcPr>
                <w:p w14:paraId="45EA114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管控单元</w:t>
                  </w:r>
                </w:p>
              </w:tc>
              <w:tc>
                <w:tcPr>
                  <w:tcW w:w="4805" w:type="dxa"/>
                  <w:gridSpan w:val="2"/>
                  <w:tcBorders>
                    <w:tl2br w:val="nil"/>
                    <w:tr2bl w:val="nil"/>
                  </w:tcBorders>
                  <w:vAlign w:val="center"/>
                </w:tcPr>
                <w:p w14:paraId="240A7C7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管控要求</w:t>
                  </w:r>
                </w:p>
              </w:tc>
              <w:tc>
                <w:tcPr>
                  <w:tcW w:w="3140" w:type="dxa"/>
                  <w:tcBorders>
                    <w:tl2br w:val="nil"/>
                    <w:tr2bl w:val="nil"/>
                  </w:tcBorders>
                  <w:vAlign w:val="center"/>
                </w:tcPr>
                <w:p w14:paraId="636B150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本项目情况</w:t>
                  </w:r>
                </w:p>
              </w:tc>
              <w:tc>
                <w:tcPr>
                  <w:tcW w:w="535" w:type="dxa"/>
                  <w:tcBorders>
                    <w:tl2br w:val="nil"/>
                    <w:tr2bl w:val="nil"/>
                  </w:tcBorders>
                  <w:vAlign w:val="center"/>
                </w:tcPr>
                <w:p w14:paraId="10F5A4FE">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符合性</w:t>
                  </w:r>
                </w:p>
              </w:tc>
            </w:tr>
            <w:tr w14:paraId="07E5AC5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restart"/>
                  <w:tcBorders>
                    <w:tl2br w:val="nil"/>
                    <w:tr2bl w:val="nil"/>
                  </w:tcBorders>
                  <w:vAlign w:val="center"/>
                </w:tcPr>
                <w:p w14:paraId="7962B82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淄川区</w:t>
                  </w:r>
                  <w:r>
                    <w:rPr>
                      <w:rFonts w:hint="default" w:ascii="Times New Roman" w:hAnsi="Times New Roman" w:cs="Times New Roman"/>
                      <w:color w:val="auto"/>
                      <w:sz w:val="21"/>
                      <w:szCs w:val="21"/>
                      <w:highlight w:val="none"/>
                      <w:lang w:val="en-US" w:eastAsia="zh-CN"/>
                    </w:rPr>
                    <w:t>龙泉镇</w:t>
                  </w:r>
                </w:p>
              </w:tc>
              <w:tc>
                <w:tcPr>
                  <w:tcW w:w="571" w:type="dxa"/>
                  <w:vMerge w:val="restart"/>
                  <w:tcBorders>
                    <w:tl2br w:val="nil"/>
                    <w:tr2bl w:val="nil"/>
                  </w:tcBorders>
                  <w:vAlign w:val="center"/>
                </w:tcPr>
                <w:p w14:paraId="11849D1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4234" w:type="dxa"/>
                  <w:tcBorders>
                    <w:tl2br w:val="nil"/>
                    <w:tr2bl w:val="nil"/>
                  </w:tcBorders>
                  <w:shd w:val="clear" w:color="auto" w:fill="auto"/>
                  <w:vAlign w:val="center"/>
                </w:tcPr>
                <w:p w14:paraId="4AE5A791">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3140" w:type="dxa"/>
                  <w:tcBorders>
                    <w:tl2br w:val="nil"/>
                    <w:tr2bl w:val="nil"/>
                  </w:tcBorders>
                  <w:vAlign w:val="center"/>
                </w:tcPr>
                <w:p w14:paraId="08CB3805">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w:t>
                  </w:r>
                  <w:r>
                    <w:rPr>
                      <w:rFonts w:hint="default" w:ascii="Times New Roman" w:hAnsi="Times New Roman" w:cs="Times New Roman"/>
                      <w:color w:val="auto"/>
                      <w:sz w:val="21"/>
                      <w:szCs w:val="21"/>
                      <w:highlight w:val="none"/>
                      <w:lang w:eastAsia="zh-CN"/>
                    </w:rPr>
                    <w:t>C3391黑色金属铸造</w:t>
                  </w:r>
                  <w:r>
                    <w:rPr>
                      <w:rFonts w:hint="default" w:ascii="Times New Roman" w:hAnsi="Times New Roman" w:cs="Times New Roman"/>
                      <w:color w:val="auto"/>
                      <w:sz w:val="21"/>
                      <w:szCs w:val="21"/>
                      <w:highlight w:val="none"/>
                    </w:rPr>
                    <w:t>，不属于《产业结构调整指导目录》（</w:t>
                  </w:r>
                  <w:r>
                    <w:rPr>
                      <w:rFonts w:hint="default" w:ascii="Times New Roman" w:hAnsi="Times New Roman" w:cs="Times New Roman"/>
                      <w:color w:val="auto"/>
                      <w:sz w:val="21"/>
                      <w:szCs w:val="21"/>
                      <w:highlight w:val="none"/>
                      <w:lang w:val="en-US" w:eastAsia="zh-CN"/>
                    </w:rPr>
                    <w:t>2024年版</w:t>
                  </w:r>
                  <w:r>
                    <w:rPr>
                      <w:rFonts w:hint="default" w:ascii="Times New Roman" w:hAnsi="Times New Roman" w:cs="Times New Roman"/>
                      <w:color w:val="auto"/>
                      <w:sz w:val="21"/>
                      <w:szCs w:val="21"/>
                      <w:highlight w:val="none"/>
                    </w:rPr>
                    <w:t>）明确的淘汰类项目和引入《市场准入负面清单》（现行）禁止准入类事项。</w:t>
                  </w:r>
                </w:p>
              </w:tc>
              <w:tc>
                <w:tcPr>
                  <w:tcW w:w="535" w:type="dxa"/>
                  <w:tcBorders>
                    <w:tl2br w:val="nil"/>
                    <w:tr2bl w:val="nil"/>
                  </w:tcBorders>
                  <w:vAlign w:val="center"/>
                </w:tcPr>
                <w:p w14:paraId="5695C17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97FEE7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1" w:type="dxa"/>
                  <w:vMerge w:val="continue"/>
                  <w:tcBorders>
                    <w:tl2br w:val="nil"/>
                    <w:tr2bl w:val="nil"/>
                  </w:tcBorders>
                  <w:vAlign w:val="center"/>
                </w:tcPr>
                <w:p w14:paraId="02680F2E">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2B52C0AE">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1C99E504">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2.按照省市要求，严格控制“两高”项目，新建“两高”项目实行“五个减量替代”。</w:t>
                  </w:r>
                </w:p>
              </w:tc>
              <w:tc>
                <w:tcPr>
                  <w:tcW w:w="3140" w:type="dxa"/>
                  <w:tcBorders>
                    <w:tl2br w:val="nil"/>
                    <w:tr2bl w:val="nil"/>
                  </w:tcBorders>
                  <w:vAlign w:val="center"/>
                </w:tcPr>
                <w:p w14:paraId="50EB11C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本项目不属于“两高”项目</w:t>
                  </w:r>
                </w:p>
              </w:tc>
              <w:tc>
                <w:tcPr>
                  <w:tcW w:w="535" w:type="dxa"/>
                  <w:tcBorders>
                    <w:tl2br w:val="nil"/>
                    <w:tr2bl w:val="nil"/>
                  </w:tcBorders>
                  <w:vAlign w:val="center"/>
                </w:tcPr>
                <w:p w14:paraId="224BA28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B6BFB2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6EEAE9E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146C7A89">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260CFFEE">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3.生态保护红线外的生态空间，依法依规以保护为主，严格限制大规模、高强度的区域开发，并根据其主导生态功能进行分类管控。</w:t>
                  </w:r>
                </w:p>
              </w:tc>
              <w:tc>
                <w:tcPr>
                  <w:tcW w:w="3140" w:type="dxa"/>
                  <w:tcBorders>
                    <w:tl2br w:val="nil"/>
                    <w:tr2bl w:val="nil"/>
                  </w:tcBorders>
                  <w:vAlign w:val="center"/>
                </w:tcPr>
                <w:p w14:paraId="6B548673">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本项目依托现有厂房进行生产，不涉及大规模、高强度的区域开发</w:t>
                  </w:r>
                </w:p>
              </w:tc>
              <w:tc>
                <w:tcPr>
                  <w:tcW w:w="535" w:type="dxa"/>
                  <w:tcBorders>
                    <w:tl2br w:val="nil"/>
                    <w:tr2bl w:val="nil"/>
                  </w:tcBorders>
                  <w:vAlign w:val="center"/>
                </w:tcPr>
                <w:p w14:paraId="0BF1BFF1">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1F3A32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4816114C">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372EB9F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347925A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4.按照《土壤污染防治行动计划》要求，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3140" w:type="dxa"/>
                  <w:tcBorders>
                    <w:tl2br w:val="nil"/>
                    <w:tr2bl w:val="nil"/>
                  </w:tcBorders>
                  <w:vAlign w:val="center"/>
                </w:tcPr>
                <w:p w14:paraId="6E57ED43">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本项目依托现有厂房进行生产，不占用基本农田。</w:t>
                  </w:r>
                </w:p>
              </w:tc>
              <w:tc>
                <w:tcPr>
                  <w:tcW w:w="535" w:type="dxa"/>
                  <w:tcBorders>
                    <w:tl2br w:val="nil"/>
                    <w:tr2bl w:val="nil"/>
                  </w:tcBorders>
                  <w:vAlign w:val="center"/>
                </w:tcPr>
                <w:p w14:paraId="402797B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4B504E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040D4BB9">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23698E31">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13136E6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5.污水处理设施不健全、未正常运行或污水管网未覆盖的地区，未配套污水处理设施的项目不得建设。</w:t>
                  </w:r>
                </w:p>
              </w:tc>
              <w:tc>
                <w:tcPr>
                  <w:tcW w:w="3140" w:type="dxa"/>
                  <w:tcBorders>
                    <w:tl2br w:val="nil"/>
                    <w:tr2bl w:val="nil"/>
                  </w:tcBorders>
                  <w:vAlign w:val="center"/>
                </w:tcPr>
                <w:p w14:paraId="51BE5C33">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本项目无废水产生及排放</w:t>
                  </w:r>
                </w:p>
              </w:tc>
              <w:tc>
                <w:tcPr>
                  <w:tcW w:w="535" w:type="dxa"/>
                  <w:tcBorders>
                    <w:tl2br w:val="nil"/>
                    <w:tr2bl w:val="nil"/>
                  </w:tcBorders>
                  <w:vAlign w:val="center"/>
                </w:tcPr>
                <w:p w14:paraId="2D6C08B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FA15A3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093BEC3E">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2EF6B2C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0815CCE6">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6.新建有污染物排放的工业项目，除在安全生产等方面有特殊要求的以外，应当进入工业园区或工业聚集区。</w:t>
                  </w:r>
                </w:p>
              </w:tc>
              <w:tc>
                <w:tcPr>
                  <w:tcW w:w="3140" w:type="dxa"/>
                  <w:tcBorders>
                    <w:tl2br w:val="nil"/>
                    <w:tr2bl w:val="nil"/>
                  </w:tcBorders>
                  <w:vAlign w:val="center"/>
                </w:tcPr>
                <w:p w14:paraId="4ECA0A35">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属于技改项目</w:t>
                  </w:r>
                  <w:r>
                    <w:rPr>
                      <w:rFonts w:hint="default" w:ascii="Times New Roman" w:hAnsi="Times New Roman" w:cs="Times New Roman"/>
                      <w:color w:val="auto"/>
                      <w:sz w:val="21"/>
                      <w:szCs w:val="21"/>
                      <w:highlight w:val="none"/>
                    </w:rPr>
                    <w:t>。</w:t>
                  </w:r>
                </w:p>
              </w:tc>
              <w:tc>
                <w:tcPr>
                  <w:tcW w:w="535" w:type="dxa"/>
                  <w:tcBorders>
                    <w:tl2br w:val="nil"/>
                    <w:tr2bl w:val="nil"/>
                  </w:tcBorders>
                  <w:vAlign w:val="center"/>
                </w:tcPr>
                <w:p w14:paraId="26D2868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46C5CF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1" w:type="dxa"/>
                  <w:vMerge w:val="continue"/>
                  <w:tcBorders>
                    <w:tl2br w:val="nil"/>
                    <w:tr2bl w:val="nil"/>
                  </w:tcBorders>
                  <w:vAlign w:val="center"/>
                </w:tcPr>
                <w:p w14:paraId="5212ABF6">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restart"/>
                  <w:tcBorders>
                    <w:tl2br w:val="nil"/>
                    <w:tr2bl w:val="nil"/>
                  </w:tcBorders>
                  <w:vAlign w:val="center"/>
                </w:tcPr>
                <w:p w14:paraId="7891D95E">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4234" w:type="dxa"/>
                  <w:tcBorders>
                    <w:tl2br w:val="nil"/>
                    <w:tr2bl w:val="nil"/>
                  </w:tcBorders>
                  <w:shd w:val="clear" w:color="auto" w:fill="auto"/>
                  <w:vAlign w:val="center"/>
                </w:tcPr>
                <w:p w14:paraId="7C55E3B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1.涉“两高”项目企业应当积极实施节能改造提升，提高能源使用效率，推进节能减排。</w:t>
                  </w:r>
                </w:p>
              </w:tc>
              <w:tc>
                <w:tcPr>
                  <w:tcW w:w="3140" w:type="dxa"/>
                  <w:tcBorders>
                    <w:tl2br w:val="nil"/>
                    <w:tr2bl w:val="nil"/>
                  </w:tcBorders>
                  <w:vAlign w:val="center"/>
                </w:tcPr>
                <w:p w14:paraId="1060398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本项目不属于“两高”项目。</w:t>
                  </w:r>
                </w:p>
              </w:tc>
              <w:tc>
                <w:tcPr>
                  <w:tcW w:w="535" w:type="dxa"/>
                  <w:tcBorders>
                    <w:tl2br w:val="nil"/>
                    <w:tr2bl w:val="nil"/>
                  </w:tcBorders>
                  <w:vAlign w:val="center"/>
                </w:tcPr>
                <w:p w14:paraId="0CD3EB60">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821043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2D2772A9">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2D32B8B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773F7947">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2.落实主要污染物总量替代要求，按照山东省生态环境厅《关于印发山东省建设项目主要大气污染物排放总量替代指标核算及管理办法的通知》，实施动态管控替代。</w:t>
                  </w:r>
                </w:p>
              </w:tc>
              <w:tc>
                <w:tcPr>
                  <w:tcW w:w="3140" w:type="dxa"/>
                  <w:tcBorders>
                    <w:tl2br w:val="nil"/>
                    <w:tr2bl w:val="nil"/>
                  </w:tcBorders>
                  <w:vAlign w:val="center"/>
                </w:tcPr>
                <w:p w14:paraId="1CEB359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本项目建成后严格落实主要污染物总量控制。</w:t>
                  </w:r>
                </w:p>
              </w:tc>
              <w:tc>
                <w:tcPr>
                  <w:tcW w:w="535" w:type="dxa"/>
                  <w:tcBorders>
                    <w:tl2br w:val="nil"/>
                    <w:tr2bl w:val="nil"/>
                  </w:tcBorders>
                  <w:vAlign w:val="center"/>
                </w:tcPr>
                <w:p w14:paraId="3B18CF63">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6B8F2A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0FAEF1E9">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7B338557">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10E215BC">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3.废水应当按照要求进行预处理，达到行业排放标准或是综合排放标准后方可排放。</w:t>
                  </w:r>
                </w:p>
              </w:tc>
              <w:tc>
                <w:tcPr>
                  <w:tcW w:w="3140" w:type="dxa"/>
                  <w:tcBorders>
                    <w:tl2br w:val="nil"/>
                    <w:tr2bl w:val="nil"/>
                  </w:tcBorders>
                  <w:vAlign w:val="center"/>
                </w:tcPr>
                <w:p w14:paraId="30EDEF0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本项目无废水产生及排放</w:t>
                  </w:r>
                </w:p>
              </w:tc>
              <w:tc>
                <w:tcPr>
                  <w:tcW w:w="535" w:type="dxa"/>
                  <w:tcBorders>
                    <w:tl2br w:val="nil"/>
                    <w:tr2bl w:val="nil"/>
                  </w:tcBorders>
                  <w:vAlign w:val="center"/>
                </w:tcPr>
                <w:p w14:paraId="41AE7D65">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6D429B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5F4103C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6FD03974">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6EB09FB4">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4.禁止工业废水和生活污水未经处理直排环境；原则上除工业污水集中处理设施、城镇污水处理厂外不得新建入河排污口。</w:t>
                  </w:r>
                </w:p>
              </w:tc>
              <w:tc>
                <w:tcPr>
                  <w:tcW w:w="3140" w:type="dxa"/>
                  <w:tcBorders>
                    <w:tl2br w:val="nil"/>
                    <w:tr2bl w:val="nil"/>
                  </w:tcBorders>
                  <w:vAlign w:val="center"/>
                </w:tcPr>
                <w:p w14:paraId="05203D96">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本项目废水不直排环境。</w:t>
                  </w:r>
                </w:p>
              </w:tc>
              <w:tc>
                <w:tcPr>
                  <w:tcW w:w="535" w:type="dxa"/>
                  <w:tcBorders>
                    <w:tl2br w:val="nil"/>
                    <w:tr2bl w:val="nil"/>
                  </w:tcBorders>
                  <w:vAlign w:val="center"/>
                </w:tcPr>
                <w:p w14:paraId="7D277B0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D84A7B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7ABBF3B3">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64356F0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2E87448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5.涉VOCs排放的行业，严格按照淄博市行业环境管控要求，实施源头替代，建立健全治理设施，确保污染物稳定达标排放，做到持证排污。</w:t>
                  </w:r>
                </w:p>
              </w:tc>
              <w:tc>
                <w:tcPr>
                  <w:tcW w:w="3140" w:type="dxa"/>
                  <w:tcBorders>
                    <w:tl2br w:val="nil"/>
                    <w:tr2bl w:val="nil"/>
                  </w:tcBorders>
                  <w:vAlign w:val="center"/>
                </w:tcPr>
                <w:p w14:paraId="076F9D2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VOCs排放执行倍量替代原则</w:t>
                  </w:r>
                  <w:r>
                    <w:rPr>
                      <w:rFonts w:hint="default" w:ascii="Times New Roman" w:hAnsi="Times New Roman" w:cs="Times New Roman"/>
                      <w:color w:val="auto"/>
                      <w:sz w:val="21"/>
                      <w:szCs w:val="21"/>
                      <w:highlight w:val="none"/>
                    </w:rPr>
                    <w:t>。</w:t>
                  </w:r>
                </w:p>
              </w:tc>
              <w:tc>
                <w:tcPr>
                  <w:tcW w:w="535" w:type="dxa"/>
                  <w:tcBorders>
                    <w:tl2br w:val="nil"/>
                    <w:tr2bl w:val="nil"/>
                  </w:tcBorders>
                  <w:vAlign w:val="center"/>
                </w:tcPr>
                <w:p w14:paraId="7963BC6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5CC4E3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5192DDF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51F1DC9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63809B0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6.进一步加强对建设工程施工、建筑物拆除、交通运输、道路保洁、物料运输与堆存、采石取土、养护绿化等活动的扬尘管理。</w:t>
                  </w:r>
                </w:p>
              </w:tc>
              <w:tc>
                <w:tcPr>
                  <w:tcW w:w="3140" w:type="dxa"/>
                  <w:tcBorders>
                    <w:tl2br w:val="nil"/>
                    <w:tr2bl w:val="nil"/>
                  </w:tcBorders>
                  <w:vAlign w:val="center"/>
                </w:tcPr>
                <w:p w14:paraId="30078CC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本项目不涉及建设工程施工、建筑物拆除、交通运输、道路保洁、物料运输与堆存、采石取土、养护绿化</w:t>
                  </w:r>
                  <w:r>
                    <w:rPr>
                      <w:rFonts w:hint="default" w:ascii="Times New Roman" w:hAnsi="Times New Roman" w:cs="Times New Roman"/>
                      <w:color w:val="auto"/>
                      <w:sz w:val="21"/>
                      <w:szCs w:val="21"/>
                      <w:highlight w:val="none"/>
                      <w:lang w:val="en-US" w:eastAsia="zh-CN"/>
                    </w:rPr>
                    <w:t>等活动</w:t>
                  </w:r>
                </w:p>
              </w:tc>
              <w:tc>
                <w:tcPr>
                  <w:tcW w:w="535" w:type="dxa"/>
                  <w:tcBorders>
                    <w:tl2br w:val="nil"/>
                    <w:tr2bl w:val="nil"/>
                  </w:tcBorders>
                  <w:vAlign w:val="center"/>
                </w:tcPr>
                <w:p w14:paraId="0F8775B3">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61B0C8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55" w:hRule="atLeast"/>
                <w:jc w:val="center"/>
              </w:trPr>
              <w:tc>
                <w:tcPr>
                  <w:tcW w:w="591" w:type="dxa"/>
                  <w:vMerge w:val="continue"/>
                  <w:tcBorders>
                    <w:tl2br w:val="nil"/>
                    <w:tr2bl w:val="nil"/>
                  </w:tcBorders>
                  <w:vAlign w:val="center"/>
                </w:tcPr>
                <w:p w14:paraId="1154A786">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restart"/>
                  <w:tcBorders>
                    <w:tl2br w:val="nil"/>
                    <w:tr2bl w:val="nil"/>
                  </w:tcBorders>
                  <w:vAlign w:val="center"/>
                </w:tcPr>
                <w:p w14:paraId="6CE92274">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4234" w:type="dxa"/>
                  <w:tcBorders>
                    <w:tl2br w:val="nil"/>
                    <w:tr2bl w:val="nil"/>
                  </w:tcBorders>
                  <w:shd w:val="clear" w:color="auto" w:fill="auto"/>
                  <w:vAlign w:val="center"/>
                </w:tcPr>
                <w:p w14:paraId="4B932400">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1.严格规范自然保护区范围和功能区调整，遏制不合理调整和非法“瘦身”。</w:t>
                  </w:r>
                </w:p>
              </w:tc>
              <w:tc>
                <w:tcPr>
                  <w:tcW w:w="3140" w:type="dxa"/>
                  <w:tcBorders>
                    <w:tl2br w:val="nil"/>
                    <w:tr2bl w:val="nil"/>
                  </w:tcBorders>
                  <w:vAlign w:val="center"/>
                </w:tcPr>
                <w:p w14:paraId="60609A9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本项目不涉及自然保护区范围和功能区调整</w:t>
                  </w:r>
                </w:p>
              </w:tc>
              <w:tc>
                <w:tcPr>
                  <w:tcW w:w="535" w:type="dxa"/>
                  <w:tcBorders>
                    <w:tl2br w:val="nil"/>
                    <w:tr2bl w:val="nil"/>
                  </w:tcBorders>
                  <w:vAlign w:val="center"/>
                </w:tcPr>
                <w:p w14:paraId="187F2DE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602A63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0FD2DE3E">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4B53AB1C">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3DC19BC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2.加强农田土壤、灌溉水的监测，对周边区域环境风险源进行评估。</w:t>
                  </w:r>
                </w:p>
              </w:tc>
              <w:tc>
                <w:tcPr>
                  <w:tcW w:w="3140" w:type="dxa"/>
                  <w:tcBorders>
                    <w:tl2br w:val="nil"/>
                    <w:tr2bl w:val="nil"/>
                  </w:tcBorders>
                  <w:vAlign w:val="center"/>
                </w:tcPr>
                <w:p w14:paraId="5D7DABA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本项目不涉及农田土壤、灌溉水的监测</w:t>
                  </w:r>
                </w:p>
              </w:tc>
              <w:tc>
                <w:tcPr>
                  <w:tcW w:w="535" w:type="dxa"/>
                  <w:tcBorders>
                    <w:tl2br w:val="nil"/>
                    <w:tr2bl w:val="nil"/>
                  </w:tcBorders>
                  <w:vAlign w:val="center"/>
                </w:tcPr>
                <w:p w14:paraId="4BD0E997">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8D02FF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2F03BB71">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08CA02A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17C8788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3.企业事业单位根据法律法规、管理部门要求和《企业事业单位突发环境事件应急预案备案管理办法（试行）》等规定，依法依规编制环境应急预案并定期开展演练。</w:t>
                  </w:r>
                </w:p>
              </w:tc>
              <w:tc>
                <w:tcPr>
                  <w:tcW w:w="3140" w:type="dxa"/>
                  <w:tcBorders>
                    <w:tl2br w:val="nil"/>
                    <w:tr2bl w:val="nil"/>
                  </w:tcBorders>
                  <w:vAlign w:val="center"/>
                </w:tcPr>
                <w:p w14:paraId="6D6DA0F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本项目建成后将依法依规编制环境应急预案并定期开展演练。</w:t>
                  </w:r>
                </w:p>
              </w:tc>
              <w:tc>
                <w:tcPr>
                  <w:tcW w:w="535" w:type="dxa"/>
                  <w:tcBorders>
                    <w:tl2br w:val="nil"/>
                    <w:tr2bl w:val="nil"/>
                  </w:tcBorders>
                  <w:vAlign w:val="center"/>
                </w:tcPr>
                <w:p w14:paraId="5E25FB1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D9FA38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5AB5E0F5">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79C6CCD0">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7462E9B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4.建立各企业危险废物的贮存、申报、经营许可（无废城市建设豁免的除外）、转移及处置管理制度，并负责对危废相应活动的全程监管和环境安全保障。</w:t>
                  </w:r>
                </w:p>
              </w:tc>
              <w:tc>
                <w:tcPr>
                  <w:tcW w:w="3140" w:type="dxa"/>
                  <w:tcBorders>
                    <w:tl2br w:val="nil"/>
                    <w:tr2bl w:val="nil"/>
                  </w:tcBorders>
                  <w:vAlign w:val="center"/>
                </w:tcPr>
                <w:p w14:paraId="614AC9C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本项目已建立危险废物管理制度，并负责对危废相应活动的全程监管和环境安全保障。</w:t>
                  </w:r>
                </w:p>
              </w:tc>
              <w:tc>
                <w:tcPr>
                  <w:tcW w:w="535" w:type="dxa"/>
                  <w:tcBorders>
                    <w:tl2br w:val="nil"/>
                    <w:tr2bl w:val="nil"/>
                  </w:tcBorders>
                  <w:vAlign w:val="center"/>
                </w:tcPr>
                <w:p w14:paraId="071D6AC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1A3324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1DC0232F">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2AA3684B">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2CFDA97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5.按照省市要求，做好清洁取暖改造工作。</w:t>
                  </w:r>
                </w:p>
              </w:tc>
              <w:tc>
                <w:tcPr>
                  <w:tcW w:w="3140" w:type="dxa"/>
                  <w:tcBorders>
                    <w:tl2br w:val="nil"/>
                    <w:tr2bl w:val="nil"/>
                  </w:tcBorders>
                  <w:vAlign w:val="center"/>
                </w:tcPr>
                <w:p w14:paraId="6347F28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本项目不涉及清洁取暖改造工作。</w:t>
                  </w:r>
                </w:p>
              </w:tc>
              <w:tc>
                <w:tcPr>
                  <w:tcW w:w="535" w:type="dxa"/>
                  <w:tcBorders>
                    <w:tl2br w:val="nil"/>
                    <w:tr2bl w:val="nil"/>
                  </w:tcBorders>
                  <w:vAlign w:val="center"/>
                </w:tcPr>
                <w:p w14:paraId="5F26170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989382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49EF2FC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restart"/>
                  <w:tcBorders>
                    <w:tl2br w:val="nil"/>
                    <w:tr2bl w:val="nil"/>
                  </w:tcBorders>
                  <w:vAlign w:val="center"/>
                </w:tcPr>
                <w:p w14:paraId="30E8BFD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资源开放效率要求</w:t>
                  </w:r>
                </w:p>
              </w:tc>
              <w:tc>
                <w:tcPr>
                  <w:tcW w:w="4234" w:type="dxa"/>
                  <w:tcBorders>
                    <w:tl2br w:val="nil"/>
                    <w:tr2bl w:val="nil"/>
                  </w:tcBorders>
                  <w:shd w:val="clear" w:color="auto" w:fill="auto"/>
                  <w:vAlign w:val="center"/>
                </w:tcPr>
                <w:p w14:paraId="2095DF7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eastAsiaTheme="majorEastAsia"/>
                      <w:i w:val="0"/>
                      <w:iCs w:val="0"/>
                      <w:color w:val="auto"/>
                      <w:kern w:val="0"/>
                      <w:sz w:val="21"/>
                      <w:szCs w:val="21"/>
                      <w:u w:val="none"/>
                      <w:lang w:val="en-US" w:eastAsia="zh-CN" w:bidi="ar"/>
                    </w:rPr>
                    <w:t>1.高污染燃料禁燃区内执行淄博市高污染燃料禁燃区划定文件的管控要求。</w:t>
                  </w:r>
                </w:p>
              </w:tc>
              <w:tc>
                <w:tcPr>
                  <w:tcW w:w="3140" w:type="dxa"/>
                  <w:tcBorders>
                    <w:tl2br w:val="nil"/>
                    <w:tr2bl w:val="nil"/>
                  </w:tcBorders>
                  <w:vAlign w:val="center"/>
                </w:tcPr>
                <w:p w14:paraId="19509B9C">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本项目不涉及高污染燃料。</w:t>
                  </w:r>
                </w:p>
              </w:tc>
              <w:tc>
                <w:tcPr>
                  <w:tcW w:w="535" w:type="dxa"/>
                  <w:tcBorders>
                    <w:tl2br w:val="nil"/>
                    <w:tr2bl w:val="nil"/>
                  </w:tcBorders>
                  <w:vAlign w:val="center"/>
                </w:tcPr>
                <w:p w14:paraId="77473546">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79AD83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6FA781A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7BD80360">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7E5607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eastAsiaTheme="majorEastAsia"/>
                      <w:i w:val="0"/>
                      <w:iCs w:val="0"/>
                      <w:color w:val="auto"/>
                      <w:kern w:val="0"/>
                      <w:sz w:val="21"/>
                      <w:szCs w:val="21"/>
                      <w:u w:val="none"/>
                      <w:lang w:val="en-US" w:eastAsia="zh-CN" w:bidi="ar"/>
                    </w:rPr>
                    <w:t>2.强化节水措施，提高水资源使用效率。</w:t>
                  </w:r>
                </w:p>
              </w:tc>
              <w:tc>
                <w:tcPr>
                  <w:tcW w:w="3140" w:type="dxa"/>
                  <w:tcBorders>
                    <w:tl2br w:val="nil"/>
                    <w:tr2bl w:val="nil"/>
                  </w:tcBorders>
                  <w:vAlign w:val="center"/>
                </w:tcPr>
                <w:p w14:paraId="7FF82F89">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本项目不开采地下水</w:t>
                  </w:r>
                  <w:r>
                    <w:rPr>
                      <w:rFonts w:hint="default" w:ascii="Times New Roman" w:hAnsi="Times New Roman" w:cs="Times New Roman"/>
                      <w:color w:val="auto"/>
                      <w:sz w:val="21"/>
                      <w:szCs w:val="21"/>
                      <w:highlight w:val="none"/>
                      <w:lang w:eastAsia="zh-CN"/>
                    </w:rPr>
                    <w:t>。</w:t>
                  </w:r>
                </w:p>
              </w:tc>
              <w:tc>
                <w:tcPr>
                  <w:tcW w:w="535" w:type="dxa"/>
                  <w:tcBorders>
                    <w:tl2br w:val="nil"/>
                    <w:tr2bl w:val="nil"/>
                  </w:tcBorders>
                  <w:vAlign w:val="center"/>
                </w:tcPr>
                <w:p w14:paraId="6335CA5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141B30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39" w:hRule="atLeast"/>
                <w:jc w:val="center"/>
              </w:trPr>
              <w:tc>
                <w:tcPr>
                  <w:tcW w:w="591" w:type="dxa"/>
                  <w:vMerge w:val="continue"/>
                  <w:tcBorders>
                    <w:tl2br w:val="nil"/>
                    <w:tr2bl w:val="nil"/>
                  </w:tcBorders>
                  <w:vAlign w:val="center"/>
                </w:tcPr>
                <w:p w14:paraId="5B2552A7">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66C25248">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450A1A3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eastAsiaTheme="majorEastAsia"/>
                      <w:i w:val="0"/>
                      <w:iCs w:val="0"/>
                      <w:color w:val="auto"/>
                      <w:kern w:val="0"/>
                      <w:sz w:val="21"/>
                      <w:szCs w:val="21"/>
                      <w:u w:val="none"/>
                      <w:lang w:val="en-US" w:eastAsia="zh-CN" w:bidi="ar"/>
                    </w:rPr>
                    <w:t>3.提升土地集约化水平。</w:t>
                  </w:r>
                </w:p>
              </w:tc>
              <w:tc>
                <w:tcPr>
                  <w:tcW w:w="3140" w:type="dxa"/>
                  <w:tcBorders>
                    <w:tl2br w:val="nil"/>
                    <w:tr2bl w:val="nil"/>
                  </w:tcBorders>
                  <w:vAlign w:val="center"/>
                </w:tcPr>
                <w:p w14:paraId="3FB4F6E4">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本项目依托现有厂房进行生产。</w:t>
                  </w:r>
                </w:p>
              </w:tc>
              <w:tc>
                <w:tcPr>
                  <w:tcW w:w="535" w:type="dxa"/>
                  <w:tcBorders>
                    <w:tl2br w:val="nil"/>
                    <w:tr2bl w:val="nil"/>
                  </w:tcBorders>
                  <w:vAlign w:val="center"/>
                </w:tcPr>
                <w:p w14:paraId="700779F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F8C449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1" w:type="dxa"/>
                  <w:vMerge w:val="continue"/>
                  <w:tcBorders>
                    <w:tl2br w:val="nil"/>
                    <w:tr2bl w:val="nil"/>
                  </w:tcBorders>
                  <w:vAlign w:val="center"/>
                </w:tcPr>
                <w:p w14:paraId="1C8EE947">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571" w:type="dxa"/>
                  <w:vMerge w:val="continue"/>
                  <w:tcBorders>
                    <w:tl2br w:val="nil"/>
                    <w:tr2bl w:val="nil"/>
                  </w:tcBorders>
                  <w:vAlign w:val="center"/>
                </w:tcPr>
                <w:p w14:paraId="552935BC">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c>
                <w:tcPr>
                  <w:tcW w:w="4234" w:type="dxa"/>
                  <w:tcBorders>
                    <w:tl2br w:val="nil"/>
                    <w:tr2bl w:val="nil"/>
                  </w:tcBorders>
                  <w:shd w:val="clear" w:color="auto" w:fill="auto"/>
                  <w:vAlign w:val="center"/>
                </w:tcPr>
                <w:p w14:paraId="0AD5D91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eastAsiaTheme="majorEastAsia"/>
                      <w:i w:val="0"/>
                      <w:iCs w:val="0"/>
                      <w:color w:val="auto"/>
                      <w:kern w:val="0"/>
                      <w:sz w:val="21"/>
                      <w:szCs w:val="21"/>
                      <w:u w:val="none"/>
                      <w:lang w:val="en-US" w:eastAsia="zh-CN" w:bidi="ar"/>
                    </w:rPr>
                    <w:t>4.优化调整能源利用结构，控制煤炭消费量，实现减量化，鼓励使用清洁能源、新能源和可再生能源。</w:t>
                  </w:r>
                </w:p>
              </w:tc>
              <w:tc>
                <w:tcPr>
                  <w:tcW w:w="3140" w:type="dxa"/>
                  <w:tcBorders>
                    <w:tl2br w:val="nil"/>
                    <w:tr2bl w:val="nil"/>
                  </w:tcBorders>
                  <w:vAlign w:val="center"/>
                </w:tcPr>
                <w:p w14:paraId="46B8ED7A">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本项目不使用煤炭等资源。</w:t>
                  </w:r>
                </w:p>
              </w:tc>
              <w:tc>
                <w:tcPr>
                  <w:tcW w:w="535" w:type="dxa"/>
                  <w:tcBorders>
                    <w:tl2br w:val="nil"/>
                    <w:tr2bl w:val="nil"/>
                  </w:tcBorders>
                  <w:vAlign w:val="center"/>
                </w:tcPr>
                <w:p w14:paraId="246DE2ED">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519C77C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综上所述，项目满足《淄博市2023年生态环境分区管控成果动态更新项目生态环境准入清单》要求。</w:t>
            </w:r>
          </w:p>
          <w:p w14:paraId="0AAC2749">
            <w:pPr>
              <w:keepNext w:val="0"/>
              <w:keepLines w:val="0"/>
              <w:pageBreakBefore w:val="0"/>
              <w:widowControl/>
              <w:kinsoku w:val="0"/>
              <w:wordWrap/>
              <w:overflowPunct/>
              <w:topLinePunct w:val="0"/>
              <w:autoSpaceDE w:val="0"/>
              <w:autoSpaceDN w:val="0"/>
              <w:bidi w:val="0"/>
              <w:adjustRightInd w:val="0"/>
              <w:snapToGrid w:val="0"/>
              <w:ind w:firstLine="482" w:firstLineChars="200"/>
              <w:jc w:val="both"/>
              <w:textAlignment w:val="baseline"/>
              <w:rPr>
                <w:rFonts w:hint="default" w:ascii="Times New Roman" w:hAnsi="Times New Roman" w:cs="Times New Roman"/>
                <w:b/>
                <w:bCs/>
                <w:color w:val="auto"/>
              </w:rPr>
            </w:pPr>
            <w:r>
              <w:rPr>
                <w:rFonts w:hint="default" w:ascii="Times New Roman" w:hAnsi="Times New Roman" w:cs="Times New Roman"/>
                <w:b/>
                <w:bCs/>
                <w:color w:val="auto"/>
              </w:rPr>
              <w:t>四、与《山东省环境保护条例》符合性分析</w:t>
            </w:r>
          </w:p>
          <w:p w14:paraId="09E0616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default" w:ascii="Times New Roman" w:hAnsi="Times New Roman" w:cs="Times New Roman"/>
                <w:b/>
                <w:bCs/>
                <w:color w:val="auto"/>
                <w:lang w:val="en-US" w:eastAsia="zh-CN"/>
              </w:rPr>
              <w:t>3</w:t>
            </w:r>
            <w:r>
              <w:rPr>
                <w:rFonts w:hint="eastAsia" w:ascii="Times New Roman" w:hAnsi="Times New Roman" w:cs="Times New Roman"/>
                <w:b/>
                <w:bCs/>
                <w:color w:val="auto"/>
                <w:lang w:val="en-US" w:eastAsia="zh-CN"/>
              </w:rPr>
              <w:t xml:space="preserve"> </w:t>
            </w:r>
            <w:r>
              <w:rPr>
                <w:rFonts w:hint="default" w:ascii="Times New Roman" w:hAnsi="Times New Roman" w:cs="Times New Roman"/>
                <w:b/>
                <w:bCs/>
                <w:color w:val="auto"/>
              </w:rPr>
              <w:t>与《山东省环境保护条例》符合性分析</w:t>
            </w:r>
          </w:p>
          <w:tbl>
            <w:tblPr>
              <w:tblStyle w:val="21"/>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63"/>
              <w:gridCol w:w="1307"/>
              <w:gridCol w:w="801"/>
            </w:tblGrid>
            <w:tr w14:paraId="5A5D7D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63" w:hRule="atLeast"/>
                <w:jc w:val="center"/>
              </w:trPr>
              <w:tc>
                <w:tcPr>
                  <w:tcW w:w="6963" w:type="dxa"/>
                  <w:vAlign w:val="center"/>
                </w:tcPr>
                <w:p w14:paraId="6A55B54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规范要求</w:t>
                  </w:r>
                </w:p>
              </w:tc>
              <w:tc>
                <w:tcPr>
                  <w:tcW w:w="1307" w:type="dxa"/>
                  <w:vAlign w:val="center"/>
                </w:tcPr>
                <w:p w14:paraId="0A1217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项目情况</w:t>
                  </w:r>
                </w:p>
              </w:tc>
              <w:tc>
                <w:tcPr>
                  <w:tcW w:w="801" w:type="dxa"/>
                  <w:vAlign w:val="center"/>
                </w:tcPr>
                <w:p w14:paraId="12E878D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符合性</w:t>
                  </w:r>
                </w:p>
              </w:tc>
            </w:tr>
            <w:tr w14:paraId="7346ED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4" w:hRule="atLeast"/>
                <w:jc w:val="center"/>
              </w:trPr>
              <w:tc>
                <w:tcPr>
                  <w:tcW w:w="6963" w:type="dxa"/>
                  <w:vAlign w:val="center"/>
                </w:tcPr>
                <w:p w14:paraId="7239B72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新建、改建、</w:t>
                  </w:r>
                  <w:r>
                    <w:rPr>
                      <w:rFonts w:hint="default" w:ascii="Times New Roman" w:hAnsi="Times New Roman" w:cs="Times New Roman"/>
                      <w:color w:val="auto"/>
                      <w:sz w:val="21"/>
                      <w:szCs w:val="21"/>
                      <w:lang w:val="en-US" w:eastAsia="zh-CN"/>
                    </w:rPr>
                    <w:t>扩建</w:t>
                  </w:r>
                  <w:r>
                    <w:rPr>
                      <w:rFonts w:hint="default" w:ascii="Times New Roman" w:hAnsi="Times New Roman" w:cs="Times New Roman"/>
                      <w:color w:val="auto"/>
                      <w:sz w:val="21"/>
                      <w:szCs w:val="21"/>
                    </w:rPr>
                    <w:t>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307" w:type="dxa"/>
                  <w:vAlign w:val="center"/>
                </w:tcPr>
                <w:p w14:paraId="35AF377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项目依法进行环境影响评价</w:t>
                  </w:r>
                </w:p>
              </w:tc>
              <w:tc>
                <w:tcPr>
                  <w:tcW w:w="801" w:type="dxa"/>
                  <w:vAlign w:val="center"/>
                </w:tcPr>
                <w:p w14:paraId="71D5BFC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1524C3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71" w:hRule="atLeast"/>
                <w:jc w:val="center"/>
              </w:trPr>
              <w:tc>
                <w:tcPr>
                  <w:tcW w:w="6963" w:type="dxa"/>
                  <w:vAlign w:val="center"/>
                </w:tcPr>
                <w:p w14:paraId="2ED88AA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下列情形之一的，省、设区的市人民政府生态环境主管部门应当暂停审批该区域新增重点污染物排放总量的建设项目的环境影响评价文件：(一)重点污染物排放量超过总量控制指标，或者未完成国家确定的重点重金属污染物排放量控制目标的；(二)未完成淘汰严重污染环境的生产工艺、设备和产品任务的；(三)生态破坏严重，未完成污染治理任务或者生态恢复任务的；(四)未完成环境质量改善目标的；(五)产业园区配套的环境基础设施不完备的；(六)法律、法规和国家规定的其他情形。符合生态环境保护规划且涉及民生的重大基础设施项目和环境污染治理项目，不受前款规定的限制。</w:t>
                  </w:r>
                </w:p>
              </w:tc>
              <w:tc>
                <w:tcPr>
                  <w:tcW w:w="1307" w:type="dxa"/>
                  <w:vAlign w:val="center"/>
                </w:tcPr>
                <w:p w14:paraId="2B81B07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c>
                <w:tcPr>
                  <w:tcW w:w="801" w:type="dxa"/>
                  <w:vAlign w:val="center"/>
                </w:tcPr>
                <w:p w14:paraId="2CE400D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147854C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综上所述，项目建设符合《山东省环境保护条例》的要求。</w:t>
            </w:r>
          </w:p>
          <w:p w14:paraId="2413098E">
            <w:pPr>
              <w:keepNext w:val="0"/>
              <w:keepLines w:val="0"/>
              <w:pageBreakBefore w:val="0"/>
              <w:widowControl/>
              <w:kinsoku w:val="0"/>
              <w:wordWrap/>
              <w:overflowPunct/>
              <w:topLinePunct w:val="0"/>
              <w:autoSpaceDE w:val="0"/>
              <w:autoSpaceDN w:val="0"/>
              <w:bidi w:val="0"/>
              <w:adjustRightInd w:val="0"/>
              <w:snapToGrid w:val="0"/>
              <w:ind w:firstLine="482" w:firstLineChars="200"/>
              <w:jc w:val="left"/>
              <w:textAlignment w:val="baseline"/>
              <w:rPr>
                <w:rFonts w:hint="default" w:ascii="Times New Roman" w:hAnsi="Times New Roman" w:cs="Times New Roman"/>
                <w:b/>
                <w:bCs/>
                <w:color w:val="auto"/>
              </w:rPr>
            </w:pPr>
            <w:r>
              <w:rPr>
                <w:rFonts w:hint="default" w:ascii="Times New Roman" w:hAnsi="Times New Roman" w:cs="Times New Roman"/>
                <w:b/>
                <w:bCs/>
                <w:color w:val="auto"/>
              </w:rPr>
              <w:t>五、与《关于严格项目审批工作坚决防止新上“散乱污”项目的通知》（鲁环字[2021]58号）符合性分析</w:t>
            </w:r>
          </w:p>
          <w:p w14:paraId="2312012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default" w:ascii="Times New Roman" w:hAnsi="Times New Roman" w:cs="Times New Roman"/>
                <w:b/>
                <w:bCs/>
                <w:color w:val="auto"/>
                <w:lang w:val="en-US" w:eastAsia="zh-CN"/>
              </w:rPr>
              <w:t>4</w:t>
            </w:r>
            <w:r>
              <w:rPr>
                <w:rFonts w:hint="eastAsia" w:ascii="Times New Roman" w:hAnsi="Times New Roman" w:cs="Times New Roman"/>
                <w:b/>
                <w:bCs/>
                <w:color w:val="auto"/>
                <w:lang w:val="en-US" w:eastAsia="zh-CN"/>
              </w:rPr>
              <w:t xml:space="preserve"> </w:t>
            </w:r>
            <w:r>
              <w:rPr>
                <w:rFonts w:hint="default" w:ascii="Times New Roman" w:hAnsi="Times New Roman" w:cs="Times New Roman"/>
                <w:b/>
                <w:bCs/>
                <w:color w:val="auto"/>
              </w:rPr>
              <w:t>与（鲁环字[2021]58号）符合性分析一览表</w:t>
            </w:r>
          </w:p>
          <w:tbl>
            <w:tblPr>
              <w:tblStyle w:val="21"/>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034"/>
              <w:gridCol w:w="3037"/>
            </w:tblGrid>
            <w:tr w14:paraId="0DD91A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65" w:hRule="atLeast"/>
                <w:jc w:val="center"/>
              </w:trPr>
              <w:tc>
                <w:tcPr>
                  <w:tcW w:w="6034" w:type="dxa"/>
                  <w:vAlign w:val="top"/>
                </w:tcPr>
                <w:p w14:paraId="1F08FA6F">
                  <w:pPr>
                    <w:pStyle w:val="22"/>
                    <w:spacing w:before="125" w:line="221" w:lineRule="auto"/>
                    <w:ind w:left="2640"/>
                    <w:rPr>
                      <w:rFonts w:hint="default" w:ascii="Times New Roman" w:hAnsi="Times New Roman" w:cs="Times New Roman"/>
                      <w:b/>
                      <w:bCs/>
                      <w:color w:val="auto"/>
                      <w:sz w:val="21"/>
                      <w:szCs w:val="21"/>
                    </w:rPr>
                  </w:pPr>
                  <w:r>
                    <w:rPr>
                      <w:rFonts w:hint="default" w:ascii="Times New Roman" w:hAnsi="Times New Roman" w:cs="Times New Roman"/>
                      <w:b/>
                      <w:bCs/>
                      <w:color w:val="auto"/>
                      <w:spacing w:val="-2"/>
                      <w:sz w:val="21"/>
                      <w:szCs w:val="21"/>
                    </w:rPr>
                    <w:t>文件要求</w:t>
                  </w:r>
                </w:p>
              </w:tc>
              <w:tc>
                <w:tcPr>
                  <w:tcW w:w="3037" w:type="dxa"/>
                  <w:vAlign w:val="top"/>
                </w:tcPr>
                <w:p w14:paraId="6A70F8DB">
                  <w:pPr>
                    <w:pStyle w:val="22"/>
                    <w:spacing w:before="125" w:line="221" w:lineRule="auto"/>
                    <w:ind w:left="1016"/>
                    <w:rPr>
                      <w:rFonts w:hint="default" w:ascii="Times New Roman" w:hAnsi="Times New Roman" w:cs="Times New Roman"/>
                      <w:b/>
                      <w:bCs/>
                      <w:color w:val="auto"/>
                      <w:sz w:val="21"/>
                      <w:szCs w:val="21"/>
                    </w:rPr>
                  </w:pPr>
                  <w:r>
                    <w:rPr>
                      <w:rFonts w:hint="default" w:ascii="Times New Roman" w:hAnsi="Times New Roman" w:cs="Times New Roman"/>
                      <w:b/>
                      <w:bCs/>
                      <w:color w:val="auto"/>
                      <w:spacing w:val="-2"/>
                      <w:sz w:val="21"/>
                      <w:szCs w:val="21"/>
                    </w:rPr>
                    <w:t>符合性分析</w:t>
                  </w:r>
                </w:p>
              </w:tc>
            </w:tr>
            <w:tr w14:paraId="5694E8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3" w:hRule="atLeast"/>
                <w:jc w:val="center"/>
              </w:trPr>
              <w:tc>
                <w:tcPr>
                  <w:tcW w:w="6034" w:type="dxa"/>
                  <w:vAlign w:val="top"/>
                </w:tcPr>
                <w:p w14:paraId="6AFE2CAC">
                  <w:pPr>
                    <w:pStyle w:val="22"/>
                    <w:keepNext w:val="0"/>
                    <w:keepLines w:val="0"/>
                    <w:pageBreakBefore w:val="0"/>
                    <w:widowControl/>
                    <w:kinsoku/>
                    <w:wordWrap/>
                    <w:overflowPunct/>
                    <w:topLinePunct w:val="0"/>
                    <w:autoSpaceDE w:val="0"/>
                    <w:autoSpaceDN w:val="0"/>
                    <w:bidi w:val="0"/>
                    <w:adjustRightInd w:val="0"/>
                    <w:snapToGrid w:val="0"/>
                    <w:spacing w:before="34" w:line="235" w:lineRule="auto"/>
                    <w:ind w:left="116" w:right="102"/>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认真贯彻执行产业政策。新上项目必须符合国家产业政策</w:t>
                  </w:r>
                  <w:r>
                    <w:rPr>
                      <w:rFonts w:hint="default" w:ascii="Times New Roman" w:hAnsi="Times New Roman" w:cs="Times New Roman"/>
                      <w:color w:val="auto"/>
                      <w:spacing w:val="-1"/>
                      <w:sz w:val="21"/>
                      <w:szCs w:val="21"/>
                    </w:rPr>
                    <w:t>要求，</w:t>
                  </w:r>
                  <w:r>
                    <w:rPr>
                      <w:rFonts w:hint="default" w:ascii="Times New Roman" w:hAnsi="Times New Roman" w:cs="Times New Roman"/>
                      <w:color w:val="auto"/>
                      <w:sz w:val="21"/>
                      <w:szCs w:val="21"/>
                    </w:rPr>
                    <w:t>禁止采用国家公布的淘汰工艺和落后设备，不得引进耗</w:t>
                  </w:r>
                  <w:r>
                    <w:rPr>
                      <w:rFonts w:hint="default" w:ascii="Times New Roman" w:hAnsi="Times New Roman" w:cs="Times New Roman"/>
                      <w:color w:val="auto"/>
                      <w:spacing w:val="-1"/>
                      <w:sz w:val="21"/>
                      <w:szCs w:val="21"/>
                    </w:rPr>
                    <w:t>能高、污</w:t>
                  </w:r>
                  <w:r>
                    <w:rPr>
                      <w:rFonts w:hint="default" w:ascii="Times New Roman" w:hAnsi="Times New Roman" w:cs="Times New Roman"/>
                      <w:color w:val="auto"/>
                      <w:sz w:val="21"/>
                      <w:szCs w:val="21"/>
                    </w:rPr>
                    <w:t>染大、生产粗放、不符合国家产业政策的项目。各级立</w:t>
                  </w:r>
                  <w:r>
                    <w:rPr>
                      <w:rFonts w:hint="default" w:ascii="Times New Roman" w:hAnsi="Times New Roman" w:cs="Times New Roman"/>
                      <w:color w:val="auto"/>
                      <w:spacing w:val="-1"/>
                      <w:sz w:val="21"/>
                      <w:szCs w:val="21"/>
                    </w:rPr>
                    <w:t>项部门在</w:t>
                  </w:r>
                  <w:r>
                    <w:rPr>
                      <w:rFonts w:hint="default" w:ascii="Times New Roman" w:hAnsi="Times New Roman" w:cs="Times New Roman"/>
                      <w:color w:val="auto"/>
                      <w:spacing w:val="-5"/>
                      <w:sz w:val="21"/>
                      <w:szCs w:val="21"/>
                    </w:rPr>
                    <w:t>为企业办理手续时，要认真对照《产业结构调整指导目录（</w:t>
                  </w:r>
                  <w:r>
                    <w:rPr>
                      <w:rFonts w:hint="default" w:ascii="Times New Roman" w:hAnsi="Times New Roman" w:eastAsia="Times New Roman" w:cs="Times New Roman"/>
                      <w:color w:val="auto"/>
                      <w:spacing w:val="-5"/>
                      <w:sz w:val="21"/>
                      <w:szCs w:val="21"/>
                    </w:rPr>
                    <w:t>2019</w:t>
                  </w:r>
                  <w:r>
                    <w:rPr>
                      <w:rFonts w:hint="default" w:ascii="Times New Roman" w:hAnsi="Times New Roman" w:cs="Times New Roman"/>
                      <w:color w:val="auto"/>
                      <w:spacing w:val="-8"/>
                      <w:sz w:val="21"/>
                      <w:szCs w:val="21"/>
                    </w:rPr>
                    <w:t>年本）》（如有更新，以更新后文件为准</w:t>
                  </w:r>
                  <w:r>
                    <w:rPr>
                      <w:rFonts w:hint="default" w:ascii="Times New Roman" w:hAnsi="Times New Roman" w:cs="Times New Roman"/>
                      <w:color w:val="auto"/>
                      <w:spacing w:val="-29"/>
                      <w:sz w:val="21"/>
                      <w:szCs w:val="21"/>
                    </w:rPr>
                    <w:t>），</w:t>
                  </w:r>
                  <w:r>
                    <w:rPr>
                      <w:rFonts w:hint="default" w:ascii="Times New Roman" w:hAnsi="Times New Roman" w:cs="Times New Roman"/>
                      <w:color w:val="auto"/>
                      <w:spacing w:val="-8"/>
                      <w:sz w:val="21"/>
                      <w:szCs w:val="21"/>
                    </w:rPr>
                    <w:t>对鼓励类项目，按</w:t>
                  </w:r>
                  <w:r>
                    <w:rPr>
                      <w:rFonts w:hint="default" w:ascii="Times New Roman" w:hAnsi="Times New Roman" w:cs="Times New Roman"/>
                      <w:color w:val="auto"/>
                      <w:spacing w:val="-4"/>
                      <w:sz w:val="21"/>
                      <w:szCs w:val="21"/>
                    </w:rPr>
                    <w:t>照有关规定审批、核准或备案；对限制类项目，禁止新建，现有生产能力允许在一定期限内改造升级；对淘汰类项目，市场主体</w:t>
                  </w:r>
                  <w:r>
                    <w:rPr>
                      <w:rFonts w:hint="default" w:ascii="Times New Roman" w:hAnsi="Times New Roman" w:cs="Times New Roman"/>
                      <w:color w:val="auto"/>
                      <w:spacing w:val="-8"/>
                      <w:sz w:val="21"/>
                      <w:szCs w:val="21"/>
                    </w:rPr>
                    <w:t>不得进入，行政机关不予审批</w:t>
                  </w:r>
                </w:p>
              </w:tc>
              <w:tc>
                <w:tcPr>
                  <w:tcW w:w="3037" w:type="dxa"/>
                  <w:vAlign w:val="top"/>
                </w:tcPr>
                <w:p w14:paraId="7E1376AF">
                  <w:pPr>
                    <w:pStyle w:val="22"/>
                    <w:keepNext w:val="0"/>
                    <w:keepLines w:val="0"/>
                    <w:pageBreakBefore w:val="0"/>
                    <w:widowControl/>
                    <w:kinsoku/>
                    <w:wordWrap/>
                    <w:overflowPunct/>
                    <w:topLinePunct w:val="0"/>
                    <w:autoSpaceDE w:val="0"/>
                    <w:autoSpaceDN w:val="0"/>
                    <w:bidi w:val="0"/>
                    <w:adjustRightInd w:val="0"/>
                    <w:snapToGrid w:val="0"/>
                    <w:spacing w:before="30" w:line="234" w:lineRule="auto"/>
                    <w:ind w:left="115" w:right="101" w:firstLine="5"/>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项目符合国家产业政策要求，所用工艺及设备均不属于国家公布的淘汰工艺和落后设备。根据《产业结构调整指导目录（202</w:t>
                  </w:r>
                  <w:r>
                    <w:rPr>
                      <w:rFonts w:hint="default"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年本）》项目不属于其中“限制类”、“淘汰类”和“鼓励类”，属允许建设项目。符合文件要求</w:t>
                  </w:r>
                </w:p>
              </w:tc>
            </w:tr>
            <w:tr w14:paraId="67CDDC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8" w:hRule="atLeast"/>
                <w:jc w:val="center"/>
              </w:trPr>
              <w:tc>
                <w:tcPr>
                  <w:tcW w:w="6034" w:type="dxa"/>
                  <w:vAlign w:val="top"/>
                </w:tcPr>
                <w:p w14:paraId="2C62B492">
                  <w:pPr>
                    <w:pStyle w:val="22"/>
                    <w:keepNext w:val="0"/>
                    <w:keepLines w:val="0"/>
                    <w:pageBreakBefore w:val="0"/>
                    <w:widowControl/>
                    <w:kinsoku/>
                    <w:wordWrap/>
                    <w:overflowPunct/>
                    <w:topLinePunct w:val="0"/>
                    <w:autoSpaceDE w:val="0"/>
                    <w:autoSpaceDN w:val="0"/>
                    <w:bidi w:val="0"/>
                    <w:adjustRightInd w:val="0"/>
                    <w:snapToGrid w:val="0"/>
                    <w:spacing w:before="30" w:line="234" w:lineRule="auto"/>
                    <w:ind w:left="115" w:right="101" w:firstLine="5"/>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强化规划刚性约束。新上项目必须符合国土</w:t>
                  </w:r>
                  <w:r>
                    <w:rPr>
                      <w:rFonts w:hint="default" w:ascii="Times New Roman" w:hAnsi="Times New Roman" w:cs="Times New Roman"/>
                      <w:color w:val="auto"/>
                      <w:spacing w:val="-1"/>
                      <w:sz w:val="21"/>
                      <w:szCs w:val="21"/>
                    </w:rPr>
                    <w:t>空间规划、产业发展</w:t>
                  </w:r>
                  <w:r>
                    <w:rPr>
                      <w:rFonts w:hint="default" w:ascii="Times New Roman" w:hAnsi="Times New Roman" w:cs="Times New Roman"/>
                      <w:color w:val="auto"/>
                      <w:spacing w:val="-3"/>
                      <w:sz w:val="21"/>
                      <w:szCs w:val="21"/>
                    </w:rPr>
                    <w:t>规划等要求，积极引导产业园区外</w:t>
                  </w:r>
                  <w:r>
                    <w:rPr>
                      <w:rFonts w:hint="default" w:ascii="Times New Roman" w:hAnsi="Times New Roman" w:eastAsia="Times New Roman" w:cs="Times New Roman"/>
                      <w:color w:val="auto"/>
                      <w:spacing w:val="-3"/>
                      <w:sz w:val="21"/>
                      <w:szCs w:val="21"/>
                    </w:rPr>
                    <w:t>“</w:t>
                  </w:r>
                  <w:r>
                    <w:rPr>
                      <w:rFonts w:hint="default" w:ascii="Times New Roman" w:hAnsi="Times New Roman" w:cs="Times New Roman"/>
                      <w:color w:val="auto"/>
                      <w:spacing w:val="-3"/>
                      <w:sz w:val="21"/>
                      <w:szCs w:val="21"/>
                    </w:rPr>
                    <w:t>散乱污</w:t>
                  </w:r>
                  <w:r>
                    <w:rPr>
                      <w:rFonts w:hint="default" w:ascii="Times New Roman" w:hAnsi="Times New Roman" w:eastAsia="Times New Roman" w:cs="Times New Roman"/>
                      <w:color w:val="auto"/>
                      <w:spacing w:val="-3"/>
                      <w:sz w:val="21"/>
                      <w:szCs w:val="21"/>
                    </w:rPr>
                    <w:t>”</w:t>
                  </w:r>
                  <w:r>
                    <w:rPr>
                      <w:rFonts w:hint="default" w:ascii="Times New Roman" w:hAnsi="Times New Roman" w:cs="Times New Roman"/>
                      <w:color w:val="auto"/>
                      <w:spacing w:val="-3"/>
                      <w:sz w:val="21"/>
                      <w:szCs w:val="21"/>
                    </w:rPr>
                    <w:t>整治搬迁改造企业进</w:t>
                  </w:r>
                  <w:r>
                    <w:rPr>
                      <w:rFonts w:hint="default" w:ascii="Times New Roman" w:hAnsi="Times New Roman" w:cs="Times New Roman"/>
                      <w:color w:val="auto"/>
                      <w:sz w:val="21"/>
                      <w:szCs w:val="21"/>
                    </w:rPr>
                    <w:t>入产业园区或工业集聚区，并鼓励租赁标准厂房。按照</w:t>
                  </w:r>
                  <w:r>
                    <w:rPr>
                      <w:rFonts w:hint="default" w:ascii="Times New Roman" w:hAnsi="Times New Roman" w:eastAsia="Times New Roman" w:cs="Times New Roman"/>
                      <w:color w:val="auto"/>
                      <w:sz w:val="21"/>
                      <w:szCs w:val="21"/>
                    </w:rPr>
                    <w:t>“</w:t>
                  </w:r>
                  <w:r>
                    <w:rPr>
                      <w:rFonts w:hint="default" w:ascii="Times New Roman" w:hAnsi="Times New Roman" w:cs="Times New Roman"/>
                      <w:color w:val="auto"/>
                      <w:spacing w:val="-1"/>
                      <w:sz w:val="21"/>
                      <w:szCs w:val="21"/>
                    </w:rPr>
                    <w:t>布局集中、用地集约、产业集聚、空间优化</w:t>
                  </w:r>
                  <w:r>
                    <w:rPr>
                      <w:rFonts w:hint="default" w:ascii="Times New Roman" w:hAnsi="Times New Roman" w:eastAsia="Times New Roman" w:cs="Times New Roman"/>
                      <w:color w:val="auto"/>
                      <w:spacing w:val="-1"/>
                      <w:sz w:val="21"/>
                      <w:szCs w:val="21"/>
                    </w:rPr>
                    <w:t>”</w:t>
                  </w:r>
                  <w:r>
                    <w:rPr>
                      <w:rFonts w:hint="default" w:ascii="Times New Roman" w:hAnsi="Times New Roman" w:cs="Times New Roman"/>
                      <w:color w:val="auto"/>
                      <w:spacing w:val="-1"/>
                      <w:sz w:val="21"/>
                      <w:szCs w:val="21"/>
                    </w:rPr>
                    <w:t>的原则，高标准制定产业</w:t>
                  </w:r>
                  <w:r>
                    <w:rPr>
                      <w:rFonts w:hint="default" w:ascii="Times New Roman" w:hAnsi="Times New Roman" w:cs="Times New Roman"/>
                      <w:color w:val="auto"/>
                      <w:spacing w:val="-7"/>
                      <w:sz w:val="21"/>
                      <w:szCs w:val="21"/>
                    </w:rPr>
                    <w:t>发展规划，明确主导产业、布局和产业发展方向，引导企</w:t>
                  </w:r>
                  <w:r>
                    <w:rPr>
                      <w:rFonts w:hint="default" w:ascii="Times New Roman" w:hAnsi="Times New Roman" w:cs="Times New Roman"/>
                      <w:color w:val="auto"/>
                      <w:spacing w:val="-8"/>
                      <w:sz w:val="21"/>
                      <w:szCs w:val="21"/>
                    </w:rPr>
                    <w:t>业规范</w:t>
                  </w:r>
                  <w:r>
                    <w:rPr>
                      <w:rFonts w:hint="default" w:ascii="Times New Roman" w:hAnsi="Times New Roman" w:cs="Times New Roman"/>
                      <w:color w:val="auto"/>
                      <w:spacing w:val="-1"/>
                      <w:sz w:val="21"/>
                      <w:szCs w:val="21"/>
                    </w:rPr>
                    <w:t>化、规模化、集约化发展</w:t>
                  </w:r>
                </w:p>
              </w:tc>
              <w:tc>
                <w:tcPr>
                  <w:tcW w:w="3037" w:type="dxa"/>
                  <w:vAlign w:val="top"/>
                </w:tcPr>
                <w:p w14:paraId="4AB61A7C">
                  <w:pPr>
                    <w:pStyle w:val="22"/>
                    <w:keepNext w:val="0"/>
                    <w:keepLines w:val="0"/>
                    <w:pageBreakBefore w:val="0"/>
                    <w:widowControl/>
                    <w:kinsoku/>
                    <w:wordWrap/>
                    <w:overflowPunct/>
                    <w:topLinePunct w:val="0"/>
                    <w:autoSpaceDE w:val="0"/>
                    <w:autoSpaceDN w:val="0"/>
                    <w:bidi w:val="0"/>
                    <w:adjustRightInd w:val="0"/>
                    <w:snapToGrid w:val="0"/>
                    <w:spacing w:before="30" w:line="234" w:lineRule="auto"/>
                    <w:ind w:left="115" w:right="101" w:firstLine="5"/>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项目位于</w:t>
                  </w:r>
                  <w:r>
                    <w:rPr>
                      <w:rFonts w:hint="default" w:ascii="Times New Roman" w:hAnsi="Times New Roman" w:cs="Times New Roman"/>
                      <w:color w:val="auto"/>
                      <w:sz w:val="21"/>
                      <w:szCs w:val="21"/>
                      <w:lang w:eastAsia="zh-CN"/>
                    </w:rPr>
                    <w:t>山东省淄博市淄川区龙泉镇大土屋村西</w:t>
                  </w:r>
                  <w:r>
                    <w:rPr>
                      <w:rFonts w:hint="default" w:ascii="Times New Roman" w:hAnsi="Times New Roman" w:cs="Times New Roman"/>
                      <w:color w:val="auto"/>
                      <w:sz w:val="21"/>
                      <w:szCs w:val="21"/>
                    </w:rPr>
                    <w:t>，利用现有厂房进行建设，符合国土空间规划、产业发展规划等要求，企业不属于“散乱污”企业。符合文件要求</w:t>
                  </w:r>
                </w:p>
              </w:tc>
            </w:tr>
            <w:tr w14:paraId="4D4C5F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5" w:hRule="atLeast"/>
                <w:jc w:val="center"/>
              </w:trPr>
              <w:tc>
                <w:tcPr>
                  <w:tcW w:w="6034" w:type="dxa"/>
                  <w:vAlign w:val="top"/>
                </w:tcPr>
                <w:p w14:paraId="7E1CFC5E">
                  <w:pPr>
                    <w:pStyle w:val="22"/>
                    <w:keepNext w:val="0"/>
                    <w:keepLines w:val="0"/>
                    <w:pageBreakBefore w:val="0"/>
                    <w:widowControl/>
                    <w:kinsoku/>
                    <w:wordWrap/>
                    <w:overflowPunct/>
                    <w:topLinePunct w:val="0"/>
                    <w:autoSpaceDE w:val="0"/>
                    <w:autoSpaceDN w:val="0"/>
                    <w:bidi w:val="0"/>
                    <w:adjustRightInd w:val="0"/>
                    <w:snapToGrid w:val="0"/>
                    <w:spacing w:before="29" w:line="233" w:lineRule="auto"/>
                    <w:ind w:left="116" w:right="27"/>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科学把好项目选址关。新建有污染物排放的工业项目，除在安全</w:t>
                  </w:r>
                  <w:r>
                    <w:rPr>
                      <w:rFonts w:hint="default" w:ascii="Times New Roman" w:hAnsi="Times New Roman" w:cs="Times New Roman"/>
                      <w:color w:val="auto"/>
                      <w:spacing w:val="-5"/>
                      <w:sz w:val="21"/>
                      <w:szCs w:val="21"/>
                    </w:rPr>
                    <w:t>生产等方面有特殊要求的以外，应当进入工业园区或工业集聚区。</w:t>
                  </w:r>
                  <w:r>
                    <w:rPr>
                      <w:rFonts w:hint="default" w:ascii="Times New Roman" w:hAnsi="Times New Roman" w:cs="Times New Roman"/>
                      <w:color w:val="auto"/>
                      <w:spacing w:val="-1"/>
                      <w:sz w:val="21"/>
                      <w:szCs w:val="21"/>
                    </w:rPr>
                    <w:t>各市要本着节约利用土地的原则，充分考虑项目周边环境、资金</w:t>
                  </w:r>
                  <w:r>
                    <w:rPr>
                      <w:rFonts w:hint="default" w:ascii="Times New Roman" w:hAnsi="Times New Roman" w:cs="Times New Roman"/>
                      <w:color w:val="auto"/>
                      <w:spacing w:val="-3"/>
                      <w:sz w:val="21"/>
                      <w:szCs w:val="21"/>
                    </w:rPr>
                    <w:t>投入、推进速度等关键要素，合理选址，科学布</w:t>
                  </w:r>
                  <w:r>
                    <w:rPr>
                      <w:rFonts w:hint="default" w:ascii="Times New Roman" w:hAnsi="Times New Roman" w:cs="Times New Roman"/>
                      <w:color w:val="auto"/>
                      <w:spacing w:val="-4"/>
                      <w:sz w:val="21"/>
                      <w:szCs w:val="21"/>
                    </w:rPr>
                    <w:t>局，切实做到符</w:t>
                  </w:r>
                  <w:r>
                    <w:rPr>
                      <w:rFonts w:hint="default" w:ascii="Times New Roman" w:hAnsi="Times New Roman" w:cs="Times New Roman"/>
                      <w:color w:val="auto"/>
                      <w:spacing w:val="-1"/>
                      <w:sz w:val="21"/>
                      <w:szCs w:val="21"/>
                    </w:rPr>
                    <w:t>合用地政策，确保规划建设的项目有利于长远发展</w:t>
                  </w:r>
                </w:p>
              </w:tc>
              <w:tc>
                <w:tcPr>
                  <w:tcW w:w="3037" w:type="dxa"/>
                  <w:vAlign w:val="top"/>
                </w:tcPr>
                <w:p w14:paraId="78141EB7">
                  <w:pPr>
                    <w:pStyle w:val="22"/>
                    <w:keepNext w:val="0"/>
                    <w:keepLines w:val="0"/>
                    <w:pageBreakBefore w:val="0"/>
                    <w:widowControl/>
                    <w:kinsoku/>
                    <w:wordWrap/>
                    <w:overflowPunct/>
                    <w:topLinePunct w:val="0"/>
                    <w:autoSpaceDE w:val="0"/>
                    <w:autoSpaceDN w:val="0"/>
                    <w:bidi w:val="0"/>
                    <w:adjustRightInd w:val="0"/>
                    <w:snapToGrid w:val="0"/>
                    <w:spacing w:before="30" w:line="234" w:lineRule="auto"/>
                    <w:ind w:left="115" w:right="101" w:firstLine="5"/>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项目位于</w:t>
                  </w:r>
                  <w:r>
                    <w:rPr>
                      <w:rFonts w:hint="default" w:ascii="Times New Roman" w:hAnsi="Times New Roman" w:cs="Times New Roman"/>
                      <w:color w:val="auto"/>
                      <w:sz w:val="21"/>
                      <w:szCs w:val="21"/>
                      <w:lang w:eastAsia="zh-CN"/>
                    </w:rPr>
                    <w:t>山东省淄博市淄川区龙泉镇大土屋村西</w:t>
                  </w:r>
                  <w:r>
                    <w:rPr>
                      <w:rFonts w:hint="default" w:ascii="Times New Roman" w:hAnsi="Times New Roman" w:cs="Times New Roman"/>
                      <w:color w:val="auto"/>
                      <w:sz w:val="21"/>
                      <w:szCs w:val="21"/>
                    </w:rPr>
                    <w:t>，项目污染物经处理后可达标排放，对区域环境影响小。符合文件要求</w:t>
                  </w:r>
                </w:p>
              </w:tc>
            </w:tr>
          </w:tbl>
          <w:p w14:paraId="7862E4C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由上表可知，项目符合《关于严格项目审批工作坚决防止新上“散乱污”项目的通知》（鲁环字[2021]58号）的要求。</w:t>
            </w:r>
          </w:p>
          <w:p w14:paraId="69DCF46A">
            <w:pPr>
              <w:keepNext w:val="0"/>
              <w:keepLines w:val="0"/>
              <w:pageBreakBefore w:val="0"/>
              <w:widowControl/>
              <w:kinsoku w:val="0"/>
              <w:wordWrap/>
              <w:overflowPunct/>
              <w:topLinePunct w:val="0"/>
              <w:autoSpaceDE w:val="0"/>
              <w:autoSpaceDN w:val="0"/>
              <w:bidi w:val="0"/>
              <w:adjustRightInd w:val="0"/>
              <w:snapToGrid w:val="0"/>
              <w:ind w:firstLine="482" w:firstLineChars="200"/>
              <w:jc w:val="both"/>
              <w:textAlignment w:val="baseline"/>
              <w:rPr>
                <w:rFonts w:hint="default" w:ascii="Times New Roman" w:hAnsi="Times New Roman" w:cs="Times New Roman"/>
                <w:b/>
                <w:bCs/>
                <w:color w:val="auto"/>
              </w:rPr>
            </w:pPr>
            <w:r>
              <w:rPr>
                <w:rFonts w:hint="default" w:ascii="Times New Roman" w:hAnsi="Times New Roman" w:cs="Times New Roman"/>
                <w:b/>
                <w:bCs/>
                <w:color w:val="auto"/>
              </w:rPr>
              <w:t>六、与《关于印发&lt;重点行业挥发性有机物综合治理方案&gt;的通知》(环大气[2019]53号)符合性分析</w:t>
            </w:r>
          </w:p>
          <w:p w14:paraId="4ED03A0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default" w:ascii="Times New Roman" w:hAnsi="Times New Roman" w:cs="Times New Roman"/>
                <w:b/>
                <w:bCs/>
                <w:color w:val="auto"/>
                <w:lang w:val="en-US" w:eastAsia="zh-CN"/>
              </w:rPr>
              <w:t>5</w:t>
            </w:r>
            <w:r>
              <w:rPr>
                <w:rFonts w:hint="eastAsia" w:ascii="Times New Roman" w:hAnsi="Times New Roman" w:cs="Times New Roman"/>
                <w:b/>
                <w:bCs/>
                <w:color w:val="auto"/>
                <w:lang w:val="en-US" w:eastAsia="zh-CN"/>
              </w:rPr>
              <w:t xml:space="preserve"> </w:t>
            </w:r>
            <w:r>
              <w:rPr>
                <w:rFonts w:hint="default" w:ascii="Times New Roman" w:hAnsi="Times New Roman" w:cs="Times New Roman"/>
                <w:b/>
                <w:bCs/>
                <w:color w:val="auto"/>
              </w:rPr>
              <w:t>与《关于印发&lt;重点行业挥发性有机物综合治理方案&gt;的通知》符合性分析</w:t>
            </w:r>
          </w:p>
          <w:tbl>
            <w:tblPr>
              <w:tblStyle w:val="21"/>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4"/>
              <w:gridCol w:w="4658"/>
              <w:gridCol w:w="2302"/>
              <w:gridCol w:w="927"/>
            </w:tblGrid>
            <w:tr w14:paraId="1EAC94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1184" w:type="dxa"/>
                  <w:tcBorders>
                    <w:top w:val="single" w:color="000000" w:sz="2" w:space="0"/>
                    <w:bottom w:val="single" w:color="000000" w:sz="2" w:space="0"/>
                  </w:tcBorders>
                  <w:vAlign w:val="center"/>
                </w:tcPr>
                <w:p w14:paraId="5CA7FD8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控制思路与要求</w:t>
                  </w:r>
                </w:p>
              </w:tc>
              <w:tc>
                <w:tcPr>
                  <w:tcW w:w="4658" w:type="dxa"/>
                  <w:tcBorders>
                    <w:top w:val="single" w:color="000000" w:sz="2" w:space="0"/>
                    <w:bottom w:val="single" w:color="000000" w:sz="2" w:space="0"/>
                  </w:tcBorders>
                  <w:vAlign w:val="center"/>
                </w:tcPr>
                <w:p w14:paraId="4523E39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规定</w:t>
                  </w:r>
                </w:p>
              </w:tc>
              <w:tc>
                <w:tcPr>
                  <w:tcW w:w="2302" w:type="dxa"/>
                  <w:tcBorders>
                    <w:top w:val="single" w:color="000000" w:sz="2" w:space="0"/>
                    <w:bottom w:val="single" w:color="000000" w:sz="2" w:space="0"/>
                  </w:tcBorders>
                  <w:vAlign w:val="center"/>
                </w:tcPr>
                <w:p w14:paraId="798D570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本项目情况</w:t>
                  </w:r>
                </w:p>
              </w:tc>
              <w:tc>
                <w:tcPr>
                  <w:tcW w:w="927" w:type="dxa"/>
                  <w:tcBorders>
                    <w:top w:val="single" w:color="000000" w:sz="2" w:space="0"/>
                    <w:bottom w:val="single" w:color="000000" w:sz="2" w:space="0"/>
                  </w:tcBorders>
                  <w:vAlign w:val="center"/>
                </w:tcPr>
                <w:p w14:paraId="2C93C08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符合情况</w:t>
                  </w:r>
                </w:p>
              </w:tc>
            </w:tr>
            <w:tr w14:paraId="67D1A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20" w:hRule="atLeast"/>
                <w:jc w:val="center"/>
              </w:trPr>
              <w:tc>
                <w:tcPr>
                  <w:tcW w:w="1184" w:type="dxa"/>
                  <w:tcBorders>
                    <w:top w:val="single" w:color="000000" w:sz="2" w:space="0"/>
                    <w:bottom w:val="single" w:color="000000" w:sz="2" w:space="0"/>
                  </w:tcBorders>
                  <w:vAlign w:val="center"/>
                </w:tcPr>
                <w:p w14:paraId="1DF02EF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大力推进源头替代</w:t>
                  </w:r>
                </w:p>
              </w:tc>
              <w:tc>
                <w:tcPr>
                  <w:tcW w:w="4658" w:type="dxa"/>
                  <w:tcBorders>
                    <w:top w:val="single" w:color="000000" w:sz="2" w:space="0"/>
                    <w:bottom w:val="single" w:color="000000" w:sz="2" w:space="0"/>
                  </w:tcBorders>
                  <w:vAlign w:val="center"/>
                </w:tcPr>
                <w:p w14:paraId="01A31F9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2302" w:type="dxa"/>
                  <w:tcBorders>
                    <w:top w:val="single" w:color="000000" w:sz="2" w:space="0"/>
                    <w:bottom w:val="single" w:color="000000" w:sz="2" w:space="0"/>
                  </w:tcBorders>
                  <w:vAlign w:val="center"/>
                </w:tcPr>
                <w:p w14:paraId="4DD5BBB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本项目均采用低VOCs原料，废气经收集后通过二级活性炭吸附装置处理后经15米高排气筒排放。</w:t>
                  </w:r>
                </w:p>
              </w:tc>
              <w:tc>
                <w:tcPr>
                  <w:tcW w:w="927" w:type="dxa"/>
                  <w:tcBorders>
                    <w:top w:val="single" w:color="000000" w:sz="2" w:space="0"/>
                    <w:bottom w:val="single" w:color="000000" w:sz="2" w:space="0"/>
                  </w:tcBorders>
                  <w:vAlign w:val="center"/>
                </w:tcPr>
                <w:p w14:paraId="01D9A33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4BFE8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3" w:hRule="atLeast"/>
                <w:jc w:val="center"/>
              </w:trPr>
              <w:tc>
                <w:tcPr>
                  <w:tcW w:w="1184" w:type="dxa"/>
                  <w:tcBorders>
                    <w:top w:val="single" w:color="000000" w:sz="2" w:space="0"/>
                    <w:bottom w:val="single" w:color="000000" w:sz="2" w:space="0"/>
                  </w:tcBorders>
                  <w:vAlign w:val="center"/>
                </w:tcPr>
                <w:p w14:paraId="7694E55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加强设备与场所密闭管理</w:t>
                  </w:r>
                </w:p>
              </w:tc>
              <w:tc>
                <w:tcPr>
                  <w:tcW w:w="4658" w:type="dxa"/>
                  <w:tcBorders>
                    <w:top w:val="single" w:color="000000" w:sz="2" w:space="0"/>
                    <w:bottom w:val="single" w:color="000000" w:sz="2" w:space="0"/>
                  </w:tcBorders>
                  <w:vAlign w:val="center"/>
                </w:tcPr>
                <w:p w14:paraId="755827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含VOCs物料应储存于密闭容器、包装袋，高效密封储罐，封闭式储库、料仓等。含VOCs物料转移和输送，应采用密闭管道或密闭容器、罐车等。</w:t>
                  </w:r>
                </w:p>
              </w:tc>
              <w:tc>
                <w:tcPr>
                  <w:tcW w:w="2302" w:type="dxa"/>
                  <w:tcBorders>
                    <w:top w:val="single" w:color="000000" w:sz="2" w:space="0"/>
                    <w:bottom w:val="single" w:color="000000" w:sz="2" w:space="0"/>
                  </w:tcBorders>
                  <w:vAlign w:val="center"/>
                </w:tcPr>
                <w:p w14:paraId="2E122AA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项目所使用含VOCs物料存放于仓库内，使用时取出。</w:t>
                  </w:r>
                </w:p>
              </w:tc>
              <w:tc>
                <w:tcPr>
                  <w:tcW w:w="927" w:type="dxa"/>
                  <w:tcBorders>
                    <w:top w:val="single" w:color="000000" w:sz="2" w:space="0"/>
                    <w:bottom w:val="single" w:color="000000" w:sz="2" w:space="0"/>
                  </w:tcBorders>
                  <w:vAlign w:val="center"/>
                </w:tcPr>
                <w:p w14:paraId="01331C3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72C62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1" w:hRule="atLeast"/>
                <w:jc w:val="center"/>
              </w:trPr>
              <w:tc>
                <w:tcPr>
                  <w:tcW w:w="1184" w:type="dxa"/>
                  <w:tcBorders>
                    <w:top w:val="single" w:color="000000" w:sz="2" w:space="0"/>
                    <w:bottom w:val="single" w:color="000000" w:sz="2" w:space="0"/>
                  </w:tcBorders>
                  <w:vAlign w:val="center"/>
                </w:tcPr>
                <w:p w14:paraId="121BA46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推进使用先进生产工艺</w:t>
                  </w:r>
                </w:p>
              </w:tc>
              <w:tc>
                <w:tcPr>
                  <w:tcW w:w="4658" w:type="dxa"/>
                  <w:tcBorders>
                    <w:top w:val="single" w:color="000000" w:sz="2" w:space="0"/>
                    <w:bottom w:val="single" w:color="000000" w:sz="2" w:space="0"/>
                  </w:tcBorders>
                  <w:vAlign w:val="center"/>
                </w:tcPr>
                <w:p w14:paraId="0FE3B27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工业涂装行业重点推进使用紧凑式涂装工艺，推广采用辊涂、静电喷涂、高压无气喷涂、空气辅助无气喷涂、热喷涂等涂装技术，鼓励企业采用自动化、智能化喷涂设备替代人工喷涂，减少使用空气喷涂技术。</w:t>
                  </w:r>
                </w:p>
              </w:tc>
              <w:tc>
                <w:tcPr>
                  <w:tcW w:w="2302" w:type="dxa"/>
                  <w:tcBorders>
                    <w:top w:val="single" w:color="000000" w:sz="2" w:space="0"/>
                    <w:bottom w:val="single" w:color="000000" w:sz="2" w:space="0"/>
                  </w:tcBorders>
                  <w:vAlign w:val="center"/>
                </w:tcPr>
                <w:p w14:paraId="088434D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不涉及涂装工序。</w:t>
                  </w:r>
                </w:p>
              </w:tc>
              <w:tc>
                <w:tcPr>
                  <w:tcW w:w="927" w:type="dxa"/>
                  <w:tcBorders>
                    <w:top w:val="single" w:color="000000" w:sz="2" w:space="0"/>
                    <w:bottom w:val="single" w:color="000000" w:sz="2" w:space="0"/>
                  </w:tcBorders>
                  <w:vAlign w:val="center"/>
                </w:tcPr>
                <w:p w14:paraId="0614A9E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D4374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7" w:hRule="atLeast"/>
                <w:jc w:val="center"/>
              </w:trPr>
              <w:tc>
                <w:tcPr>
                  <w:tcW w:w="1184" w:type="dxa"/>
                  <w:tcBorders>
                    <w:top w:val="single" w:color="000000" w:sz="2" w:space="0"/>
                    <w:bottom w:val="single" w:color="000000" w:sz="2" w:space="0"/>
                  </w:tcBorders>
                  <w:vAlign w:val="center"/>
                </w:tcPr>
                <w:p w14:paraId="5387CE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推进建设适宜高效的治污设施</w:t>
                  </w:r>
                </w:p>
              </w:tc>
              <w:tc>
                <w:tcPr>
                  <w:tcW w:w="4658" w:type="dxa"/>
                  <w:tcBorders>
                    <w:top w:val="single" w:color="000000" w:sz="2" w:space="0"/>
                    <w:bottom w:val="single" w:color="000000" w:sz="2" w:space="0"/>
                  </w:tcBorders>
                  <w:vAlign w:val="center"/>
                </w:tcPr>
                <w:p w14:paraId="3D0F3BC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低浓度、大风量废气，宜采用沸石转轮吸附、活性炭吸附、减风增浓等浓缩技术，提高VOCs浓度后净化处理；高浓度废气，优先进行溶剂回收，难以回收的，宜采用高温焚烧、催化燃烧等技术。</w:t>
                  </w:r>
                </w:p>
              </w:tc>
              <w:tc>
                <w:tcPr>
                  <w:tcW w:w="2302" w:type="dxa"/>
                  <w:tcBorders>
                    <w:top w:val="single" w:color="000000" w:sz="2" w:space="0"/>
                    <w:bottom w:val="single" w:color="000000" w:sz="2" w:space="0"/>
                  </w:tcBorders>
                  <w:vAlign w:val="center"/>
                </w:tcPr>
                <w:p w14:paraId="1AAB7AF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本项目废气主要为低浓度有机废气，废气经收集后通过二级活性炭吸附装置处理后经15米高</w:t>
                  </w:r>
                  <w:r>
                    <w:rPr>
                      <w:rFonts w:hint="default" w:ascii="Times New Roman" w:hAnsi="Times New Roman" w:cs="Times New Roman"/>
                      <w:color w:val="auto"/>
                      <w:sz w:val="21"/>
                      <w:szCs w:val="21"/>
                      <w:highlight w:val="none"/>
                      <w:lang w:val="en-US" w:eastAsia="zh-CN"/>
                    </w:rPr>
                    <w:t>排气筒高空</w:t>
                  </w:r>
                  <w:r>
                    <w:rPr>
                      <w:rFonts w:hint="default" w:ascii="Times New Roman" w:hAnsi="Times New Roman" w:eastAsia="宋体" w:cs="Times New Roman"/>
                      <w:color w:val="auto"/>
                      <w:sz w:val="21"/>
                      <w:szCs w:val="21"/>
                      <w:highlight w:val="none"/>
                    </w:rPr>
                    <w:t>排放。</w:t>
                  </w:r>
                </w:p>
              </w:tc>
              <w:tc>
                <w:tcPr>
                  <w:tcW w:w="927" w:type="dxa"/>
                  <w:tcBorders>
                    <w:top w:val="single" w:color="000000" w:sz="2" w:space="0"/>
                    <w:bottom w:val="single" w:color="000000" w:sz="2" w:space="0"/>
                  </w:tcBorders>
                  <w:vAlign w:val="center"/>
                </w:tcPr>
                <w:p w14:paraId="01444A6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1C0FA4E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由上表可知，项目符合《关于印发&lt;重点行业挥发性有机物综合治理方案&gt;的通知》的要求。</w:t>
            </w:r>
          </w:p>
          <w:p w14:paraId="20F86353">
            <w:pPr>
              <w:keepNext w:val="0"/>
              <w:keepLines w:val="0"/>
              <w:pageBreakBefore w:val="0"/>
              <w:widowControl/>
              <w:kinsoku/>
              <w:wordWrap/>
              <w:overflowPunct/>
              <w:topLinePunct w:val="0"/>
              <w:autoSpaceDE w:val="0"/>
              <w:autoSpaceDN w:val="0"/>
              <w:bidi w:val="0"/>
              <w:adjustRightInd w:val="0"/>
              <w:snapToGrid w:val="0"/>
              <w:ind w:firstLine="482" w:firstLineChars="200"/>
              <w:jc w:val="both"/>
              <w:textAlignment w:val="baseline"/>
              <w:rPr>
                <w:rFonts w:hint="default" w:ascii="Times New Roman" w:hAnsi="Times New Roman" w:cs="Times New Roman"/>
                <w:b/>
                <w:bCs/>
                <w:color w:val="auto"/>
              </w:rPr>
            </w:pPr>
            <w:r>
              <w:rPr>
                <w:rFonts w:hint="default" w:ascii="Times New Roman" w:hAnsi="Times New Roman" w:cs="Times New Roman"/>
                <w:b/>
                <w:bCs/>
                <w:color w:val="auto"/>
              </w:rPr>
              <w:t>七、与《关于印发&lt;2022年度淄博市挥发性有机物治理和臭氧污染管控方案&gt;的通知》（淄环委办〔2022〕12号）符合性分析</w:t>
            </w:r>
          </w:p>
          <w:p w14:paraId="17BAB0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eastAsia" w:ascii="Times New Roman" w:hAnsi="Times New Roman" w:cs="Times New Roman"/>
                <w:b/>
                <w:bCs/>
                <w:color w:val="auto"/>
                <w:lang w:val="en-US" w:eastAsia="zh-CN"/>
              </w:rPr>
              <w:t xml:space="preserve">6 </w:t>
            </w:r>
            <w:r>
              <w:rPr>
                <w:rFonts w:hint="default" w:ascii="Times New Roman" w:hAnsi="Times New Roman" w:cs="Times New Roman"/>
                <w:b/>
                <w:bCs/>
                <w:color w:val="auto"/>
              </w:rPr>
              <w:t>与《关于印发&lt;2022年度淄博市挥发性有机物治理和臭氧污染管控方案&gt;的通知》（淄环委办〔2022〕12号）符合性分析</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6186"/>
              <w:gridCol w:w="1911"/>
              <w:gridCol w:w="974"/>
            </w:tblGrid>
            <w:tr w14:paraId="5C35ED0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86" w:type="dxa"/>
                  <w:tcBorders>
                    <w:tl2br w:val="nil"/>
                    <w:tr2bl w:val="nil"/>
                  </w:tcBorders>
                  <w:vAlign w:val="center"/>
                </w:tcPr>
                <w:p w14:paraId="6A68C7A4">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文件要求</w:t>
                  </w:r>
                </w:p>
              </w:tc>
              <w:tc>
                <w:tcPr>
                  <w:tcW w:w="1911" w:type="dxa"/>
                  <w:tcBorders>
                    <w:tl2br w:val="nil"/>
                    <w:tr2bl w:val="nil"/>
                  </w:tcBorders>
                  <w:vAlign w:val="center"/>
                </w:tcPr>
                <w:p w14:paraId="4008933C">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本项目情况</w:t>
                  </w:r>
                </w:p>
              </w:tc>
              <w:tc>
                <w:tcPr>
                  <w:tcW w:w="974" w:type="dxa"/>
                  <w:tcBorders>
                    <w:tl2br w:val="nil"/>
                    <w:tr2bl w:val="nil"/>
                  </w:tcBorders>
                  <w:vAlign w:val="center"/>
                </w:tcPr>
                <w:p w14:paraId="505242F4">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符合性</w:t>
                  </w:r>
                </w:p>
              </w:tc>
            </w:tr>
            <w:tr w14:paraId="3069DF7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86" w:type="dxa"/>
                  <w:tcBorders>
                    <w:tl2br w:val="nil"/>
                    <w:tr2bl w:val="nil"/>
                  </w:tcBorders>
                  <w:vAlign w:val="center"/>
                </w:tcPr>
                <w:p w14:paraId="16923572">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加快低挥发性原辅材料替代。要加大低（无）挥发性原辅材料替代政策宣传力度，引导企业优先使用低（无）挥发性涂料、油墨、胶粘剂、涂层剂（油脂）、清洗剂等原辅材料，进一步提高低（无）挥发性原辅材料使用率。以机械加工、家具制造、包装印刷等行业为重点，鼓励企业开展低（无）挥发性原辅材料生产工艺的升级改造，建设源头替代示范项目，形成示范带动效应。企业应建立规范的原辅材料使用台账，各级监督检查须将企业原辅材料台账及挥发性有机物含量检测报告纳入检查内容。</w:t>
                  </w:r>
                </w:p>
              </w:tc>
              <w:tc>
                <w:tcPr>
                  <w:tcW w:w="1911" w:type="dxa"/>
                  <w:tcBorders>
                    <w:tl2br w:val="nil"/>
                    <w:tr2bl w:val="nil"/>
                  </w:tcBorders>
                  <w:vAlign w:val="center"/>
                </w:tcPr>
                <w:p w14:paraId="11A92646">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本项目使用原辅材料为低（无）挥发性原辅材料。项目投产后，企业将建立规范的原辅材料使用台账。</w:t>
                  </w:r>
                </w:p>
              </w:tc>
              <w:tc>
                <w:tcPr>
                  <w:tcW w:w="974" w:type="dxa"/>
                  <w:tcBorders>
                    <w:tl2br w:val="nil"/>
                    <w:tr2bl w:val="nil"/>
                  </w:tcBorders>
                  <w:vAlign w:val="center"/>
                </w:tcPr>
                <w:p w14:paraId="60BE9F39">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48057C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86" w:type="dxa"/>
                  <w:tcBorders>
                    <w:tl2br w:val="nil"/>
                    <w:tr2bl w:val="nil"/>
                  </w:tcBorders>
                  <w:vAlign w:val="center"/>
                </w:tcPr>
                <w:p w14:paraId="69EE4C9B">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提升综合治理效率。推进使用先进生产工艺，通过采用全密闭、连续化、自动化等生产技术，以及高效工艺设备等，减少工艺过程无组织排放。按照“适宜高效”和“降风增浓”原则，优先对车间内涉挥发性有机物的设备、工序进行密闭，或进行局部废气收集。加强生产车间密闭管理，在符合安全生产、职业卫生等要求前提下，采用自动感应门、密闭性好的塑钢门窗等，在非必要时保持关闭。高浓度挥发性有机物废气不宜直接与大风量、低浓度挥发性有机物废气混合。按照适宜高效的原则提高治理设施去除率，高浓度挥发性有机物废气（＞30000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），宜采用吸收、冷凝、吸附、膜分离等组合技术回收处理，不能达标时再辅以其他技术实现达标排放；中高浓度废气（3000mg/m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—30000mg/m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），有回收价值时宜采用吸收技术回收处理，无回收价值时宜采用燃烧技术。中低浓度挥发性有机物废气（＜3000mg/m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宜采用生物技术、燃烧技术、吸附浓缩－燃烧技术等。鼓励使用液氮的企业，统筹考虑液氮气化和挥发性有机物废气冷凝的热交换，实现废气治理和节能相结合。严禁大风量、高浓度有机废气的有机化工、医药制药、石油化工等行业企业使用UV光解、低温等离子、光氧催化等低效治污设施。其他行业在保证异味治理的前提下，原则上全面淘汰以上低效治污设施。杜绝仅采用水或水溶液洗涤吸收方式处理含非水溶性组分的挥发性有机物废气。挥发性有机物废气不得与含颗粒物等其他污染物的废气混合。</w:t>
                  </w:r>
                </w:p>
              </w:tc>
              <w:tc>
                <w:tcPr>
                  <w:tcW w:w="1911" w:type="dxa"/>
                  <w:tcBorders>
                    <w:tl2br w:val="nil"/>
                    <w:tr2bl w:val="nil"/>
                  </w:tcBorders>
                  <w:vAlign w:val="center"/>
                </w:tcPr>
                <w:p w14:paraId="1878EF1C">
                  <w:pPr>
                    <w:keepNext w:val="0"/>
                    <w:keepLines w:val="0"/>
                    <w:pageBreakBefore w:val="0"/>
                    <w:widowControl/>
                    <w:kinsoku/>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项目中产生的VOCs废气经集气罩收集后经二级活性炭处理后经15m高排气筒</w:t>
                  </w:r>
                  <w:r>
                    <w:rPr>
                      <w:rFonts w:hint="default" w:ascii="Times New Roman" w:hAnsi="Times New Roman" w:cs="Times New Roman"/>
                      <w:color w:val="auto"/>
                      <w:sz w:val="21"/>
                      <w:szCs w:val="21"/>
                      <w:highlight w:val="none"/>
                      <w:lang w:val="en-US" w:eastAsia="zh-CN"/>
                    </w:rPr>
                    <w:t>高空</w:t>
                  </w:r>
                  <w:r>
                    <w:rPr>
                      <w:rFonts w:hint="default" w:ascii="Times New Roman" w:hAnsi="Times New Roman" w:eastAsia="宋体" w:cs="Times New Roman"/>
                      <w:color w:val="auto"/>
                      <w:sz w:val="21"/>
                      <w:szCs w:val="21"/>
                      <w:highlight w:val="none"/>
                    </w:rPr>
                    <w:t>排放。</w:t>
                  </w:r>
                </w:p>
              </w:tc>
              <w:tc>
                <w:tcPr>
                  <w:tcW w:w="974" w:type="dxa"/>
                  <w:tcBorders>
                    <w:tl2br w:val="nil"/>
                    <w:tr2bl w:val="nil"/>
                  </w:tcBorders>
                  <w:vAlign w:val="center"/>
                </w:tcPr>
                <w:p w14:paraId="5D0B6F76">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589E70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86" w:type="dxa"/>
                  <w:tcBorders>
                    <w:tl2br w:val="nil"/>
                    <w:tr2bl w:val="nil"/>
                  </w:tcBorders>
                  <w:vAlign w:val="center"/>
                </w:tcPr>
                <w:p w14:paraId="6D99135A">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8.提高精细化管控水平。加强治理设施运行管理，按照治理设施的工艺设计和污染物排放标准，制定治理设施运行规范或操作规程，并明确异常情况的处理方案。对新建或改建的治理设施，企业应组织相关岗位人员进行培训，培训内容和考核结果要存档。企业应建立台账，记录废气治理设施的主要运行和维护信息，包括但不限于运行时间、废气处理量、操作温度、停留时间、吸附剂再生/更换周期和更换量、催化剂更换周期和更换量、吸收液pH值等关键参数。台账保存期限不少于五年</w:t>
                  </w:r>
                  <w:r>
                    <w:rPr>
                      <w:rFonts w:hint="default" w:ascii="Times New Roman" w:hAnsi="Times New Roman" w:cs="Times New Roman"/>
                      <w:color w:val="auto"/>
                      <w:sz w:val="21"/>
                      <w:szCs w:val="21"/>
                      <w:lang w:eastAsia="zh-CN"/>
                    </w:rPr>
                    <w:t>。</w:t>
                  </w:r>
                </w:p>
              </w:tc>
              <w:tc>
                <w:tcPr>
                  <w:tcW w:w="1911" w:type="dxa"/>
                  <w:tcBorders>
                    <w:tl2br w:val="nil"/>
                    <w:tr2bl w:val="nil"/>
                  </w:tcBorders>
                  <w:vAlign w:val="center"/>
                </w:tcPr>
                <w:p w14:paraId="48DAB66E">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企业加强对岗位人员进行技术培训，提高精细化管控水平；并按照相关规定建立台账，并保存期限不少于五年。本项目使用活性炭等</w:t>
                  </w:r>
                </w:p>
              </w:tc>
              <w:tc>
                <w:tcPr>
                  <w:tcW w:w="974" w:type="dxa"/>
                  <w:tcBorders>
                    <w:tl2br w:val="nil"/>
                    <w:tr2bl w:val="nil"/>
                  </w:tcBorders>
                  <w:vAlign w:val="center"/>
                </w:tcPr>
                <w:p w14:paraId="2932C793">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762DCAE9">
            <w:pPr>
              <w:keepNext w:val="0"/>
              <w:keepLines w:val="0"/>
              <w:pageBreakBefore w:val="0"/>
              <w:widowControl/>
              <w:kinsoku w:val="0"/>
              <w:wordWrap/>
              <w:overflowPunct/>
              <w:topLinePunct w:val="0"/>
              <w:autoSpaceDE w:val="0"/>
              <w:autoSpaceDN w:val="0"/>
              <w:bidi w:val="0"/>
              <w:adjustRightInd w:val="0"/>
              <w:snapToGrid w:val="0"/>
              <w:ind w:firstLine="482" w:firstLineChars="200"/>
              <w:jc w:val="left"/>
              <w:textAlignment w:val="baseline"/>
              <w:rPr>
                <w:rFonts w:hint="default" w:ascii="Times New Roman" w:hAnsi="Times New Roman" w:cs="Times New Roman"/>
                <w:b/>
                <w:bCs/>
                <w:color w:val="auto"/>
              </w:rPr>
            </w:pPr>
            <w:r>
              <w:rPr>
                <w:rFonts w:hint="default" w:ascii="Times New Roman" w:hAnsi="Times New Roman" w:cs="Times New Roman"/>
                <w:b/>
                <w:bCs/>
                <w:color w:val="auto"/>
                <w:lang w:val="en-US" w:eastAsia="zh-CN"/>
              </w:rPr>
              <w:t>八</w:t>
            </w:r>
            <w:r>
              <w:rPr>
                <w:rFonts w:hint="default" w:ascii="Times New Roman" w:hAnsi="Times New Roman" w:cs="Times New Roman"/>
                <w:b/>
                <w:bCs/>
                <w:color w:val="auto"/>
              </w:rPr>
              <w:t>、与《山东省空气质量持续改善暨第三轮“四减四增”行动实施方案》(鲁政字(2024)102号)符合性分析</w:t>
            </w:r>
          </w:p>
          <w:p w14:paraId="115CE93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eastAsia" w:ascii="Times New Roman" w:hAnsi="Times New Roman" w:cs="Times New Roman"/>
                <w:b/>
                <w:bCs/>
                <w:color w:val="auto"/>
                <w:lang w:val="en-US" w:eastAsia="zh-CN"/>
              </w:rPr>
              <w:t xml:space="preserve">7 </w:t>
            </w:r>
            <w:r>
              <w:rPr>
                <w:rFonts w:hint="default" w:ascii="Times New Roman" w:hAnsi="Times New Roman" w:cs="Times New Roman"/>
                <w:b/>
                <w:bCs/>
                <w:color w:val="auto"/>
              </w:rPr>
              <w:t>项目与《山东省空气质量持续改善暨第三轮“四减四增”行动实施方案》</w:t>
            </w:r>
          </w:p>
          <w:p w14:paraId="2E1D55D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符合性分析一览表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695"/>
              <w:gridCol w:w="3"/>
              <w:gridCol w:w="986"/>
              <w:gridCol w:w="4797"/>
              <w:gridCol w:w="1400"/>
              <w:gridCol w:w="4"/>
              <w:gridCol w:w="1186"/>
            </w:tblGrid>
            <w:tr w14:paraId="4217198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481" w:type="dxa"/>
                  <w:gridSpan w:val="4"/>
                  <w:tcBorders>
                    <w:tl2br w:val="nil"/>
                    <w:tr2bl w:val="nil"/>
                  </w:tcBorders>
                  <w:vAlign w:val="center"/>
                </w:tcPr>
                <w:p w14:paraId="0F027934">
                  <w:pPr>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政策要求</w:t>
                  </w:r>
                </w:p>
              </w:tc>
              <w:tc>
                <w:tcPr>
                  <w:tcW w:w="1404" w:type="dxa"/>
                  <w:gridSpan w:val="2"/>
                  <w:tcBorders>
                    <w:tl2br w:val="nil"/>
                    <w:tr2bl w:val="nil"/>
                  </w:tcBorders>
                  <w:vAlign w:val="center"/>
                </w:tcPr>
                <w:p w14:paraId="608E680D">
                  <w:pPr>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项目情况</w:t>
                  </w:r>
                </w:p>
              </w:tc>
              <w:tc>
                <w:tcPr>
                  <w:tcW w:w="1186" w:type="dxa"/>
                  <w:tcBorders>
                    <w:tl2br w:val="nil"/>
                    <w:tr2bl w:val="nil"/>
                  </w:tcBorders>
                  <w:vAlign w:val="center"/>
                </w:tcPr>
                <w:p w14:paraId="2B4E9613">
                  <w:pPr>
                    <w:bidi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符合性</w:t>
                  </w:r>
                </w:p>
              </w:tc>
            </w:tr>
            <w:tr w14:paraId="3BA2D2F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95" w:type="dxa"/>
                  <w:vMerge w:val="restart"/>
                  <w:tcBorders>
                    <w:tl2br w:val="nil"/>
                    <w:tr2bl w:val="nil"/>
                  </w:tcBorders>
                  <w:vAlign w:val="center"/>
                </w:tcPr>
                <w:p w14:paraId="17319A2A">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产业结构绿色升级行动 </w:t>
                  </w:r>
                </w:p>
              </w:tc>
              <w:tc>
                <w:tcPr>
                  <w:tcW w:w="989" w:type="dxa"/>
                  <w:gridSpan w:val="2"/>
                  <w:tcBorders>
                    <w:tl2br w:val="nil"/>
                    <w:tr2bl w:val="nil"/>
                  </w:tcBorders>
                  <w:vAlign w:val="center"/>
                </w:tcPr>
                <w:p w14:paraId="450EB5E7">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（一）严格环境准入</w:t>
                  </w:r>
                </w:p>
              </w:tc>
              <w:tc>
                <w:tcPr>
                  <w:tcW w:w="4797" w:type="dxa"/>
                  <w:tcBorders>
                    <w:tl2br w:val="nil"/>
                    <w:tr2bl w:val="nil"/>
                  </w:tcBorders>
                  <w:vAlign w:val="center"/>
                </w:tcPr>
                <w:p w14:paraId="532A2E97">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省生态环境厅、省发展改革委、省工业和信息化厅、省能源局、省水利厅按职责分工负责）严格落实国家粗钢产量调控目标。推行钢铁、焦化、烧结一体化布局，有序引导高炉—转炉长流程炼钢转型为电炉短流程炼钢，到2025年，电炉钢占比达到7%左右。（省工业和信息化厅牵头）多措并举治理环保领域低价低质中标乱象，营造公平竞争环境，推动产业健康有序发展。（省生态环境厅牵头） </w:t>
                  </w:r>
                </w:p>
              </w:tc>
              <w:tc>
                <w:tcPr>
                  <w:tcW w:w="1404" w:type="dxa"/>
                  <w:gridSpan w:val="2"/>
                  <w:tcBorders>
                    <w:tl2br w:val="nil"/>
                    <w:tr2bl w:val="nil"/>
                  </w:tcBorders>
                  <w:vAlign w:val="center"/>
                </w:tcPr>
                <w:p w14:paraId="3F1F49B2">
                  <w:pPr>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本项目不属于</w:t>
                  </w:r>
                  <w:r>
                    <w:rPr>
                      <w:rFonts w:hint="default" w:ascii="Times New Roman" w:hAnsi="Times New Roman" w:eastAsia="宋体" w:cs="Times New Roman"/>
                      <w:color w:val="auto"/>
                      <w:sz w:val="21"/>
                      <w:szCs w:val="21"/>
                    </w:rPr>
                    <w:t>高耗能、高排放、低水平项目</w:t>
                  </w:r>
                  <w:r>
                    <w:rPr>
                      <w:rFonts w:hint="default" w:ascii="Times New Roman" w:hAnsi="Times New Roman" w:eastAsia="宋体" w:cs="Times New Roman"/>
                      <w:color w:val="auto"/>
                      <w:sz w:val="21"/>
                      <w:szCs w:val="21"/>
                      <w:lang w:eastAsia="zh-CN"/>
                    </w:rPr>
                    <w:t>。</w:t>
                  </w:r>
                </w:p>
              </w:tc>
              <w:tc>
                <w:tcPr>
                  <w:tcW w:w="1186" w:type="dxa"/>
                  <w:tcBorders>
                    <w:tl2br w:val="nil"/>
                    <w:tr2bl w:val="nil"/>
                  </w:tcBorders>
                  <w:vAlign w:val="center"/>
                </w:tcPr>
                <w:p w14:paraId="789222B7">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E36B98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567" w:hRule="atLeast"/>
                <w:jc w:val="center"/>
              </w:trPr>
              <w:tc>
                <w:tcPr>
                  <w:tcW w:w="698" w:type="dxa"/>
                  <w:gridSpan w:val="2"/>
                  <w:vMerge w:val="continue"/>
                  <w:tcBorders>
                    <w:tl2br w:val="nil"/>
                    <w:tr2bl w:val="nil"/>
                  </w:tcBorders>
                  <w:vAlign w:val="center"/>
                </w:tcPr>
                <w:p w14:paraId="2F4FBABC">
                  <w:pPr>
                    <w:bidi w:val="0"/>
                    <w:spacing w:line="240" w:lineRule="auto"/>
                    <w:jc w:val="center"/>
                    <w:rPr>
                      <w:rFonts w:hint="default" w:ascii="Times New Roman" w:hAnsi="Times New Roman" w:eastAsia="宋体" w:cs="Times New Roman"/>
                      <w:color w:val="auto"/>
                      <w:sz w:val="21"/>
                      <w:szCs w:val="21"/>
                    </w:rPr>
                  </w:pPr>
                </w:p>
              </w:tc>
              <w:tc>
                <w:tcPr>
                  <w:tcW w:w="986" w:type="dxa"/>
                  <w:tcBorders>
                    <w:tl2br w:val="nil"/>
                    <w:tr2bl w:val="nil"/>
                  </w:tcBorders>
                  <w:vAlign w:val="center"/>
                </w:tcPr>
                <w:p w14:paraId="64B93EF1">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（二）优化调整重点行业结构。</w:t>
                  </w:r>
                </w:p>
              </w:tc>
              <w:tc>
                <w:tcPr>
                  <w:tcW w:w="4797" w:type="dxa"/>
                  <w:tcBorders>
                    <w:tl2br w:val="nil"/>
                    <w:tr2bl w:val="nil"/>
                  </w:tcBorders>
                  <w:vAlign w:val="center"/>
                </w:tcPr>
                <w:p w14:paraId="06CBBC54">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 重点区域进一步提高落后产能能耗、环保、质量、安全、技术等要求，逐步退出限制类涉气行业工艺和装备；逐步淘汰步进式烧结机和球团竖炉以及半封闭式硅锰合金、镍铁、高碳铬铁、高碳锰铁电炉。（省发展改革委、省工业和信息化厅、省生态环境厅、省应急厅按职责分工负责，省市场监管局配合）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万吨左右。（省工业和信息化厅牵头）</w:t>
                  </w:r>
                </w:p>
              </w:tc>
              <w:tc>
                <w:tcPr>
                  <w:tcW w:w="1400" w:type="dxa"/>
                  <w:tcBorders>
                    <w:tl2br w:val="nil"/>
                    <w:tr2bl w:val="nil"/>
                  </w:tcBorders>
                  <w:vAlign w:val="center"/>
                </w:tcPr>
                <w:p w14:paraId="1DF5A7C4">
                  <w:pPr>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本项目不涉及</w:t>
                  </w:r>
                </w:p>
              </w:tc>
              <w:tc>
                <w:tcPr>
                  <w:tcW w:w="1190" w:type="dxa"/>
                  <w:gridSpan w:val="2"/>
                  <w:tcBorders>
                    <w:tl2br w:val="nil"/>
                    <w:tr2bl w:val="nil"/>
                  </w:tcBorders>
                  <w:vAlign w:val="center"/>
                </w:tcPr>
                <w:p w14:paraId="29938A90">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64E356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98" w:type="dxa"/>
                  <w:gridSpan w:val="2"/>
                  <w:vMerge w:val="continue"/>
                  <w:tcBorders>
                    <w:tl2br w:val="nil"/>
                    <w:tr2bl w:val="nil"/>
                  </w:tcBorders>
                  <w:vAlign w:val="center"/>
                </w:tcPr>
                <w:p w14:paraId="355C73B3">
                  <w:pPr>
                    <w:bidi w:val="0"/>
                    <w:spacing w:line="240" w:lineRule="auto"/>
                    <w:jc w:val="center"/>
                    <w:rPr>
                      <w:rFonts w:hint="default" w:ascii="Times New Roman" w:hAnsi="Times New Roman" w:eastAsia="宋体" w:cs="Times New Roman"/>
                      <w:color w:val="auto"/>
                      <w:sz w:val="21"/>
                      <w:szCs w:val="21"/>
                    </w:rPr>
                  </w:pPr>
                </w:p>
              </w:tc>
              <w:tc>
                <w:tcPr>
                  <w:tcW w:w="986" w:type="dxa"/>
                  <w:tcBorders>
                    <w:tl2br w:val="nil"/>
                    <w:tr2bl w:val="nil"/>
                  </w:tcBorders>
                  <w:vAlign w:val="center"/>
                </w:tcPr>
                <w:p w14:paraId="6D7F8DF0">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（三）开展传统产业集群升级改造。</w:t>
                  </w:r>
                </w:p>
              </w:tc>
              <w:tc>
                <w:tcPr>
                  <w:tcW w:w="4797" w:type="dxa"/>
                  <w:tcBorders>
                    <w:tl2br w:val="nil"/>
                    <w:tr2bl w:val="nil"/>
                  </w:tcBorders>
                  <w:vAlign w:val="center"/>
                </w:tcPr>
                <w:p w14:paraId="2AB3F189">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小型传统制造企业集中的市要制定涉气产业集群发展规划，严格项目审批，严防污染下乡。针对现有产业集群制定专项整治方案，依法淘汰关停一批、搬迁入园一批、就地改造一批、做优做强一批。各市要结合产业集群特点，因地制宜建设集中供热中心、集中喷涂中心、有机溶剂集中回收处置中心、活性炭集中再生中心。（省发展改革委、省工业和信息化厅、省生态环境厅、省能源局等按职责分工负责））</w:t>
                  </w:r>
                </w:p>
              </w:tc>
              <w:tc>
                <w:tcPr>
                  <w:tcW w:w="1400" w:type="dxa"/>
                  <w:tcBorders>
                    <w:tl2br w:val="nil"/>
                    <w:tr2bl w:val="nil"/>
                  </w:tcBorders>
                  <w:shd w:val="clear" w:color="auto" w:fill="auto"/>
                  <w:vAlign w:val="center"/>
                </w:tcPr>
                <w:p w14:paraId="155FC41C">
                  <w:pPr>
                    <w:bidi w:val="0"/>
                    <w:spacing w:line="240" w:lineRule="auto"/>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本项目不涉及</w:t>
                  </w:r>
                </w:p>
              </w:tc>
              <w:tc>
                <w:tcPr>
                  <w:tcW w:w="1190" w:type="dxa"/>
                  <w:gridSpan w:val="2"/>
                  <w:tcBorders>
                    <w:tl2br w:val="nil"/>
                    <w:tr2bl w:val="nil"/>
                  </w:tcBorders>
                  <w:shd w:val="clear" w:color="auto" w:fill="auto"/>
                  <w:vAlign w:val="center"/>
                </w:tcPr>
                <w:p w14:paraId="0D05799D">
                  <w:pPr>
                    <w:bidi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符合</w:t>
                  </w:r>
                </w:p>
              </w:tc>
            </w:tr>
            <w:tr w14:paraId="0CBA09D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98" w:type="dxa"/>
                  <w:gridSpan w:val="2"/>
                  <w:vMerge w:val="continue"/>
                  <w:tcBorders>
                    <w:tl2br w:val="nil"/>
                    <w:tr2bl w:val="nil"/>
                  </w:tcBorders>
                  <w:vAlign w:val="center"/>
                </w:tcPr>
                <w:p w14:paraId="47BA3CC4">
                  <w:pPr>
                    <w:bidi w:val="0"/>
                    <w:spacing w:line="240" w:lineRule="auto"/>
                    <w:jc w:val="center"/>
                    <w:rPr>
                      <w:rFonts w:hint="default" w:ascii="Times New Roman" w:hAnsi="Times New Roman" w:eastAsia="宋体" w:cs="Times New Roman"/>
                      <w:color w:val="auto"/>
                      <w:sz w:val="21"/>
                      <w:szCs w:val="21"/>
                    </w:rPr>
                  </w:pPr>
                </w:p>
              </w:tc>
              <w:tc>
                <w:tcPr>
                  <w:tcW w:w="986" w:type="dxa"/>
                  <w:tcBorders>
                    <w:tl2br w:val="nil"/>
                    <w:tr2bl w:val="nil"/>
                  </w:tcBorders>
                  <w:vAlign w:val="center"/>
                </w:tcPr>
                <w:p w14:paraId="2C98D894">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（四）优化含VOCs原辅材料和产品结构。</w:t>
                  </w:r>
                </w:p>
              </w:tc>
              <w:tc>
                <w:tcPr>
                  <w:tcW w:w="4797" w:type="dxa"/>
                  <w:tcBorders>
                    <w:tl2br w:val="nil"/>
                    <w:tr2bl w:val="nil"/>
                  </w:tcBorders>
                  <w:vAlign w:val="center"/>
                </w:tcPr>
                <w:p w14:paraId="19D19205">
                  <w:pPr>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 严格控制生产和使用高VOCs含量涂料、油墨、胶粘剂、清洗剂等建设项目，提高低（无）VOCs含量产品比重。实施源头替代工程，加大工业涂装、包装印刷和电子行业低（无）VOCs含量原辅材料替代力度。指导企业积极申报VOCs末端治理豁免。（省生态环境厅牵头）在生产、销售、进口、使用等环节严格执行VOCs含量限值标准。（省市场监管局、青岛海关、济南海关牵头，省生态环境厅配合</w:t>
                  </w:r>
                </w:p>
              </w:tc>
              <w:tc>
                <w:tcPr>
                  <w:tcW w:w="1400" w:type="dxa"/>
                  <w:tcBorders>
                    <w:tl2br w:val="nil"/>
                    <w:tr2bl w:val="nil"/>
                  </w:tcBorders>
                  <w:shd w:val="clear" w:color="auto" w:fill="auto"/>
                  <w:vAlign w:val="center"/>
                </w:tcPr>
                <w:p w14:paraId="756717C8">
                  <w:pPr>
                    <w:bidi w:val="0"/>
                    <w:spacing w:line="240" w:lineRule="auto"/>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本项目不涉及</w:t>
                  </w:r>
                </w:p>
              </w:tc>
              <w:tc>
                <w:tcPr>
                  <w:tcW w:w="1190" w:type="dxa"/>
                  <w:gridSpan w:val="2"/>
                  <w:tcBorders>
                    <w:tl2br w:val="nil"/>
                    <w:tr2bl w:val="nil"/>
                  </w:tcBorders>
                  <w:shd w:val="clear" w:color="auto" w:fill="auto"/>
                  <w:vAlign w:val="center"/>
                </w:tcPr>
                <w:p w14:paraId="7ACA2D7E">
                  <w:pPr>
                    <w:bidi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符合</w:t>
                  </w:r>
                </w:p>
              </w:tc>
            </w:tr>
          </w:tbl>
          <w:p w14:paraId="10F0F32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综上所述，本项目符合《山东省空气质量持续改善暨第三轮“四减四增”行动实施方案》(鲁政字(2024)102号)的各项要求。</w:t>
            </w:r>
          </w:p>
          <w:p w14:paraId="3C5C5A3A">
            <w:pPr>
              <w:keepNext w:val="0"/>
              <w:keepLines w:val="0"/>
              <w:pageBreakBefore w:val="0"/>
              <w:widowControl/>
              <w:kinsoku w:val="0"/>
              <w:wordWrap/>
              <w:overflowPunct/>
              <w:topLinePunct w:val="0"/>
              <w:autoSpaceDE w:val="0"/>
              <w:autoSpaceDN w:val="0"/>
              <w:bidi w:val="0"/>
              <w:adjustRightInd w:val="0"/>
              <w:snapToGrid w:val="0"/>
              <w:ind w:firstLine="482" w:firstLineChars="200"/>
              <w:jc w:val="left"/>
              <w:textAlignment w:val="baseline"/>
              <w:rPr>
                <w:rFonts w:hint="default" w:ascii="Times New Roman" w:hAnsi="Times New Roman" w:cs="Times New Roman"/>
                <w:b/>
                <w:bCs/>
                <w:color w:val="auto"/>
              </w:rPr>
            </w:pPr>
            <w:r>
              <w:rPr>
                <w:rFonts w:hint="default" w:ascii="Times New Roman" w:hAnsi="Times New Roman" w:cs="Times New Roman"/>
                <w:b/>
                <w:bCs/>
                <w:color w:val="auto"/>
                <w:lang w:val="en-US" w:eastAsia="zh-CN"/>
              </w:rPr>
              <w:t>九</w:t>
            </w:r>
            <w:r>
              <w:rPr>
                <w:rFonts w:hint="default" w:ascii="Times New Roman" w:hAnsi="Times New Roman" w:cs="Times New Roman"/>
                <w:b/>
                <w:bCs/>
                <w:color w:val="auto"/>
              </w:rPr>
              <w:t>、与《关于“两高”项目管理有关事项的通知》(鲁发改工业[2023]34 号)</w:t>
            </w:r>
            <w:r>
              <w:rPr>
                <w:rFonts w:hint="eastAsia" w:ascii="Times New Roman" w:hAnsi="Times New Roman" w:cs="Times New Roman"/>
                <w:b/>
                <w:bCs/>
                <w:color w:val="auto"/>
                <w:lang w:val="en-US" w:eastAsia="zh-CN"/>
              </w:rPr>
              <w:t>和</w:t>
            </w:r>
            <w:r>
              <w:rPr>
                <w:rFonts w:hint="default" w:ascii="Times New Roman" w:hAnsi="Times New Roman" w:cs="Times New Roman"/>
                <w:b/>
                <w:bCs/>
                <w:color w:val="auto"/>
              </w:rPr>
              <w:t>《关于促进轮胎铸造行业转型升级调整优化项目管理的通知》(鲁发改工业[2024</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487号)符合性分析</w:t>
            </w:r>
          </w:p>
          <w:p w14:paraId="58A851E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eastAsia" w:ascii="Times New Roman" w:hAnsi="Times New Roman" w:cs="Times New Roman"/>
                <w:b/>
                <w:bCs/>
                <w:color w:val="auto"/>
                <w:lang w:val="en-US" w:eastAsia="zh-CN"/>
              </w:rPr>
              <w:t xml:space="preserve">8 </w:t>
            </w:r>
            <w:r>
              <w:rPr>
                <w:rFonts w:hint="default" w:ascii="Times New Roman" w:hAnsi="Times New Roman" w:cs="Times New Roman"/>
                <w:b/>
                <w:bCs/>
                <w:color w:val="auto"/>
              </w:rPr>
              <w:t>与鲁发改工业[2023]34 号</w:t>
            </w:r>
            <w:r>
              <w:rPr>
                <w:rFonts w:hint="default" w:ascii="Times New Roman" w:hAnsi="Times New Roman" w:cs="Times New Roman"/>
                <w:b/>
                <w:bCs/>
                <w:color w:val="auto"/>
                <w:lang w:val="en-US" w:eastAsia="zh-CN"/>
              </w:rPr>
              <w:t>及</w:t>
            </w:r>
            <w:r>
              <w:rPr>
                <w:rFonts w:hint="default" w:ascii="Times New Roman" w:hAnsi="Times New Roman" w:cs="Times New Roman"/>
                <w:b/>
                <w:bCs/>
                <w:color w:val="auto"/>
              </w:rPr>
              <w:t>鲁发改工业[2024</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487号符合性分析一览表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494"/>
              <w:gridCol w:w="1010"/>
              <w:gridCol w:w="3253"/>
              <w:gridCol w:w="2440"/>
              <w:gridCol w:w="1874"/>
            </w:tblGrid>
            <w:tr w14:paraId="6797186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tcBorders>
                    <w:tl2br w:val="nil"/>
                    <w:tr2bl w:val="nil"/>
                  </w:tcBorders>
                  <w:vAlign w:val="center"/>
                </w:tcPr>
                <w:p w14:paraId="77E8B1C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4"/>
                      <w:sz w:val="21"/>
                      <w:szCs w:val="21"/>
                    </w:rPr>
                    <w:t>序号</w:t>
                  </w:r>
                </w:p>
              </w:tc>
              <w:tc>
                <w:tcPr>
                  <w:tcW w:w="1010" w:type="dxa"/>
                  <w:tcBorders>
                    <w:tl2br w:val="nil"/>
                    <w:tr2bl w:val="nil"/>
                  </w:tcBorders>
                  <w:vAlign w:val="center"/>
                </w:tcPr>
                <w:p w14:paraId="6015952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6"/>
                      <w:sz w:val="21"/>
                      <w:szCs w:val="21"/>
                    </w:rPr>
                    <w:t>产业分类</w:t>
                  </w:r>
                </w:p>
              </w:tc>
              <w:tc>
                <w:tcPr>
                  <w:tcW w:w="3253" w:type="dxa"/>
                  <w:tcBorders>
                    <w:tl2br w:val="nil"/>
                    <w:tr2bl w:val="nil"/>
                  </w:tcBorders>
                  <w:vAlign w:val="center"/>
                </w:tcPr>
                <w:p w14:paraId="31B425C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3"/>
                      <w:sz w:val="21"/>
                      <w:szCs w:val="21"/>
                    </w:rPr>
                    <w:t>产品</w:t>
                  </w:r>
                </w:p>
              </w:tc>
              <w:tc>
                <w:tcPr>
                  <w:tcW w:w="2440" w:type="dxa"/>
                  <w:tcBorders>
                    <w:tl2br w:val="nil"/>
                    <w:tr2bl w:val="nil"/>
                  </w:tcBorders>
                  <w:vAlign w:val="center"/>
                </w:tcPr>
                <w:p w14:paraId="14DE31D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5"/>
                      <w:sz w:val="21"/>
                      <w:szCs w:val="21"/>
                    </w:rPr>
                    <w:t>核心装置</w:t>
                  </w:r>
                </w:p>
              </w:tc>
              <w:tc>
                <w:tcPr>
                  <w:tcW w:w="1874" w:type="dxa"/>
                  <w:tcBorders>
                    <w:tl2br w:val="nil"/>
                    <w:tr2bl w:val="nil"/>
                  </w:tcBorders>
                  <w:vAlign w:val="center"/>
                </w:tcPr>
                <w:p w14:paraId="20A65EC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7"/>
                      <w:sz w:val="21"/>
                      <w:szCs w:val="21"/>
                    </w:rPr>
                    <w:t>对应国民经济行业</w:t>
                  </w:r>
                  <w:r>
                    <w:rPr>
                      <w:b/>
                      <w:bCs/>
                      <w:color w:val="auto"/>
                      <w:spacing w:val="1"/>
                      <w:sz w:val="21"/>
                      <w:szCs w:val="21"/>
                    </w:rPr>
                    <w:t>小类</w:t>
                  </w:r>
                </w:p>
              </w:tc>
            </w:tr>
            <w:tr w14:paraId="37E6BD0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077B6B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w:t>
                  </w:r>
                </w:p>
              </w:tc>
              <w:tc>
                <w:tcPr>
                  <w:tcW w:w="1010" w:type="dxa"/>
                  <w:vMerge w:val="restart"/>
                  <w:tcBorders>
                    <w:tl2br w:val="nil"/>
                    <w:tr2bl w:val="nil"/>
                  </w:tcBorders>
                  <w:vAlign w:val="center"/>
                </w:tcPr>
                <w:p w14:paraId="3C40C75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炼化</w:t>
                  </w:r>
                </w:p>
              </w:tc>
              <w:tc>
                <w:tcPr>
                  <w:tcW w:w="3253" w:type="dxa"/>
                  <w:tcBorders>
                    <w:tl2br w:val="nil"/>
                    <w:tr2bl w:val="nil"/>
                  </w:tcBorders>
                  <w:vAlign w:val="center"/>
                </w:tcPr>
                <w:p w14:paraId="5FADB9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汽油、煤油、柴油、燃料油、石脑油、溶剂油、石油气、沥青及其他相关产品，不含一二次炼油之外的</w:t>
                  </w:r>
                  <w:r>
                    <w:rPr>
                      <w:color w:val="auto"/>
                      <w:spacing w:val="8"/>
                      <w:sz w:val="21"/>
                      <w:szCs w:val="21"/>
                    </w:rPr>
                    <w:t>质量升级油品</w:t>
                  </w:r>
                </w:p>
              </w:tc>
              <w:tc>
                <w:tcPr>
                  <w:tcW w:w="2440" w:type="dxa"/>
                  <w:tcBorders>
                    <w:tl2br w:val="nil"/>
                    <w:tr2bl w:val="nil"/>
                  </w:tcBorders>
                  <w:vAlign w:val="center"/>
                </w:tcPr>
                <w:p w14:paraId="72191B9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一次炼油（常减压）、二</w:t>
                  </w:r>
                  <w:r>
                    <w:rPr>
                      <w:color w:val="auto"/>
                      <w:spacing w:val="9"/>
                      <w:sz w:val="21"/>
                      <w:szCs w:val="21"/>
                    </w:rPr>
                    <w:t>次炼油（催化裂化、加氢裂化、催化重整、延迟焦</w:t>
                  </w:r>
                  <w:r>
                    <w:rPr>
                      <w:color w:val="auto"/>
                      <w:sz w:val="21"/>
                      <w:szCs w:val="21"/>
                    </w:rPr>
                    <w:t>化）</w:t>
                  </w:r>
                </w:p>
              </w:tc>
              <w:tc>
                <w:tcPr>
                  <w:tcW w:w="1874" w:type="dxa"/>
                  <w:tcBorders>
                    <w:tl2br w:val="nil"/>
                    <w:tr2bl w:val="nil"/>
                  </w:tcBorders>
                  <w:vAlign w:val="center"/>
                </w:tcPr>
                <w:p w14:paraId="034C972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0"/>
                      <w:sz w:val="21"/>
                      <w:szCs w:val="21"/>
                    </w:rPr>
                    <w:t>原油加工及石油制</w:t>
                  </w:r>
                  <w:r>
                    <w:rPr>
                      <w:color w:val="auto"/>
                      <w:spacing w:val="3"/>
                      <w:sz w:val="21"/>
                      <w:szCs w:val="21"/>
                    </w:rPr>
                    <w:t>品制造（</w:t>
                  </w:r>
                  <w:r>
                    <w:rPr>
                      <w:rFonts w:ascii="Times New Roman" w:hAnsi="Times New Roman" w:eastAsia="Times New Roman" w:cs="Times New Roman"/>
                      <w:color w:val="auto"/>
                      <w:spacing w:val="3"/>
                      <w:sz w:val="21"/>
                      <w:szCs w:val="21"/>
                    </w:rPr>
                    <w:t>2511</w:t>
                  </w:r>
                  <w:r>
                    <w:rPr>
                      <w:color w:val="auto"/>
                      <w:spacing w:val="3"/>
                      <w:sz w:val="21"/>
                      <w:szCs w:val="21"/>
                    </w:rPr>
                    <w:t>）</w:t>
                  </w:r>
                </w:p>
              </w:tc>
            </w:tr>
            <w:tr w14:paraId="7BCDE62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0BC63D3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6A019A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05B3C10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乙烯、对二甲苯（</w:t>
                  </w:r>
                  <w:r>
                    <w:rPr>
                      <w:rFonts w:ascii="Times New Roman" w:hAnsi="Times New Roman" w:eastAsia="Times New Roman" w:cs="Times New Roman"/>
                      <w:color w:val="auto"/>
                      <w:sz w:val="21"/>
                      <w:szCs w:val="21"/>
                    </w:rPr>
                    <w:t>PX</w:t>
                  </w:r>
                  <w:r>
                    <w:rPr>
                      <w:color w:val="auto"/>
                      <w:spacing w:val="6"/>
                      <w:sz w:val="21"/>
                      <w:szCs w:val="21"/>
                    </w:rPr>
                    <w:t>）</w:t>
                  </w:r>
                </w:p>
              </w:tc>
              <w:tc>
                <w:tcPr>
                  <w:tcW w:w="2440" w:type="dxa"/>
                  <w:tcBorders>
                    <w:tl2br w:val="nil"/>
                    <w:tr2bl w:val="nil"/>
                  </w:tcBorders>
                  <w:vAlign w:val="center"/>
                </w:tcPr>
                <w:p w14:paraId="6BB5AB2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乙烯装置、</w:t>
                  </w:r>
                  <w:r>
                    <w:rPr>
                      <w:rFonts w:ascii="Times New Roman" w:hAnsi="Times New Roman" w:eastAsia="Times New Roman" w:cs="Times New Roman"/>
                      <w:color w:val="auto"/>
                      <w:sz w:val="21"/>
                      <w:szCs w:val="21"/>
                    </w:rPr>
                    <w:t>PX</w:t>
                  </w:r>
                  <w:r>
                    <w:rPr>
                      <w:color w:val="auto"/>
                      <w:spacing w:val="6"/>
                      <w:sz w:val="21"/>
                      <w:szCs w:val="21"/>
                    </w:rPr>
                    <w:t>装置</w:t>
                  </w:r>
                </w:p>
              </w:tc>
              <w:tc>
                <w:tcPr>
                  <w:tcW w:w="1874" w:type="dxa"/>
                  <w:tcBorders>
                    <w:tl2br w:val="nil"/>
                    <w:tr2bl w:val="nil"/>
                  </w:tcBorders>
                  <w:vAlign w:val="center"/>
                </w:tcPr>
                <w:p w14:paraId="174FD1A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1"/>
                      <w:sz w:val="21"/>
                      <w:szCs w:val="21"/>
                    </w:rPr>
                    <w:t>有机化学原料制造</w:t>
                  </w:r>
                  <w:r>
                    <w:rPr>
                      <w:color w:val="auto"/>
                      <w:spacing w:val="1"/>
                      <w:sz w:val="21"/>
                      <w:szCs w:val="21"/>
                    </w:rPr>
                    <w:t>（</w:t>
                  </w:r>
                  <w:r>
                    <w:rPr>
                      <w:rFonts w:ascii="Times New Roman" w:hAnsi="Times New Roman" w:eastAsia="Times New Roman" w:cs="Times New Roman"/>
                      <w:color w:val="auto"/>
                      <w:spacing w:val="1"/>
                      <w:sz w:val="21"/>
                      <w:szCs w:val="21"/>
                    </w:rPr>
                    <w:t>2614</w:t>
                  </w:r>
                  <w:r>
                    <w:rPr>
                      <w:color w:val="auto"/>
                      <w:spacing w:val="1"/>
                      <w:sz w:val="21"/>
                      <w:szCs w:val="21"/>
                    </w:rPr>
                    <w:t>）</w:t>
                  </w:r>
                </w:p>
              </w:tc>
            </w:tr>
            <w:tr w14:paraId="2B651D4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tcBorders>
                    <w:tl2br w:val="nil"/>
                    <w:tr2bl w:val="nil"/>
                  </w:tcBorders>
                  <w:vAlign w:val="center"/>
                </w:tcPr>
                <w:p w14:paraId="3EC934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2</w:t>
                  </w:r>
                </w:p>
              </w:tc>
              <w:tc>
                <w:tcPr>
                  <w:tcW w:w="1010" w:type="dxa"/>
                  <w:tcBorders>
                    <w:tl2br w:val="nil"/>
                    <w:tr2bl w:val="nil"/>
                  </w:tcBorders>
                  <w:vAlign w:val="center"/>
                </w:tcPr>
                <w:p w14:paraId="5FCA54F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焦化</w:t>
                  </w:r>
                </w:p>
              </w:tc>
              <w:tc>
                <w:tcPr>
                  <w:tcW w:w="3253" w:type="dxa"/>
                  <w:tcBorders>
                    <w:tl2br w:val="nil"/>
                    <w:tr2bl w:val="nil"/>
                  </w:tcBorders>
                  <w:vAlign w:val="center"/>
                </w:tcPr>
                <w:p w14:paraId="3033BAD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焦炭</w:t>
                  </w:r>
                </w:p>
              </w:tc>
              <w:tc>
                <w:tcPr>
                  <w:tcW w:w="2440" w:type="dxa"/>
                  <w:tcBorders>
                    <w:tl2br w:val="nil"/>
                    <w:tr2bl w:val="nil"/>
                  </w:tcBorders>
                  <w:vAlign w:val="center"/>
                </w:tcPr>
                <w:p w14:paraId="44E15A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焦炉</w:t>
                  </w:r>
                </w:p>
              </w:tc>
              <w:tc>
                <w:tcPr>
                  <w:tcW w:w="1874" w:type="dxa"/>
                  <w:tcBorders>
                    <w:tl2br w:val="nil"/>
                    <w:tr2bl w:val="nil"/>
                  </w:tcBorders>
                  <w:vAlign w:val="center"/>
                </w:tcPr>
                <w:p w14:paraId="2435989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炼焦（</w:t>
                  </w:r>
                  <w:r>
                    <w:rPr>
                      <w:rFonts w:ascii="Times New Roman" w:hAnsi="Times New Roman" w:eastAsia="Times New Roman" w:cs="Times New Roman"/>
                      <w:color w:val="auto"/>
                      <w:spacing w:val="5"/>
                      <w:sz w:val="21"/>
                      <w:szCs w:val="21"/>
                    </w:rPr>
                    <w:t>2521</w:t>
                  </w:r>
                  <w:r>
                    <w:rPr>
                      <w:color w:val="auto"/>
                      <w:spacing w:val="5"/>
                      <w:sz w:val="21"/>
                      <w:szCs w:val="21"/>
                    </w:rPr>
                    <w:t>）</w:t>
                  </w:r>
                </w:p>
              </w:tc>
            </w:tr>
            <w:tr w14:paraId="5B91AC0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1C3462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w:t>
                  </w:r>
                </w:p>
              </w:tc>
              <w:tc>
                <w:tcPr>
                  <w:tcW w:w="1010" w:type="dxa"/>
                  <w:vMerge w:val="restart"/>
                  <w:tcBorders>
                    <w:tl2br w:val="nil"/>
                    <w:tr2bl w:val="nil"/>
                  </w:tcBorders>
                  <w:vAlign w:val="center"/>
                </w:tcPr>
                <w:p w14:paraId="55CECBE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煤制液体</w:t>
                  </w:r>
                  <w:r>
                    <w:rPr>
                      <w:color w:val="auto"/>
                      <w:spacing w:val="4"/>
                      <w:sz w:val="21"/>
                      <w:szCs w:val="21"/>
                    </w:rPr>
                    <w:t>燃料</w:t>
                  </w:r>
                </w:p>
              </w:tc>
              <w:tc>
                <w:tcPr>
                  <w:tcW w:w="3253" w:type="dxa"/>
                  <w:tcBorders>
                    <w:tl2br w:val="nil"/>
                    <w:tr2bl w:val="nil"/>
                  </w:tcBorders>
                  <w:vAlign w:val="center"/>
                </w:tcPr>
                <w:p w14:paraId="6B7B522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煤制甲醇</w:t>
                  </w:r>
                </w:p>
              </w:tc>
              <w:tc>
                <w:tcPr>
                  <w:tcW w:w="2440" w:type="dxa"/>
                  <w:vMerge w:val="restart"/>
                  <w:tcBorders>
                    <w:tl2br w:val="nil"/>
                    <w:tr2bl w:val="nil"/>
                  </w:tcBorders>
                  <w:vAlign w:val="center"/>
                </w:tcPr>
                <w:p w14:paraId="3F0317C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煤气化炉、合成塔</w:t>
                  </w:r>
                </w:p>
              </w:tc>
              <w:tc>
                <w:tcPr>
                  <w:tcW w:w="1874" w:type="dxa"/>
                  <w:vMerge w:val="restart"/>
                  <w:tcBorders>
                    <w:tl2br w:val="nil"/>
                    <w:tr2bl w:val="nil"/>
                  </w:tcBorders>
                  <w:vAlign w:val="center"/>
                </w:tcPr>
                <w:p w14:paraId="45EABF9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1"/>
                      <w:sz w:val="21"/>
                      <w:szCs w:val="21"/>
                    </w:rPr>
                    <w:t>煤制液体燃料生产</w:t>
                  </w:r>
                  <w:r>
                    <w:rPr>
                      <w:color w:val="auto"/>
                      <w:spacing w:val="1"/>
                      <w:sz w:val="21"/>
                      <w:szCs w:val="21"/>
                    </w:rPr>
                    <w:t>（</w:t>
                  </w:r>
                  <w:r>
                    <w:rPr>
                      <w:rFonts w:ascii="Times New Roman" w:hAnsi="Times New Roman" w:eastAsia="Times New Roman" w:cs="Times New Roman"/>
                      <w:color w:val="auto"/>
                      <w:spacing w:val="1"/>
                      <w:sz w:val="21"/>
                      <w:szCs w:val="21"/>
                    </w:rPr>
                    <w:t>2523</w:t>
                  </w:r>
                  <w:r>
                    <w:rPr>
                      <w:color w:val="auto"/>
                      <w:spacing w:val="1"/>
                      <w:sz w:val="21"/>
                      <w:szCs w:val="21"/>
                    </w:rPr>
                    <w:t>）</w:t>
                  </w:r>
                </w:p>
              </w:tc>
            </w:tr>
            <w:tr w14:paraId="1529047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630B47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3A63B7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2FCE90D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煤制烯烃（乙烯、丙烯）</w:t>
                  </w:r>
                </w:p>
              </w:tc>
              <w:tc>
                <w:tcPr>
                  <w:tcW w:w="2440" w:type="dxa"/>
                  <w:vMerge w:val="continue"/>
                  <w:tcBorders>
                    <w:tl2br w:val="nil"/>
                    <w:tr2bl w:val="nil"/>
                  </w:tcBorders>
                  <w:vAlign w:val="center"/>
                </w:tcPr>
                <w:p w14:paraId="3E3C3C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874" w:type="dxa"/>
                  <w:vMerge w:val="continue"/>
                  <w:tcBorders>
                    <w:tl2br w:val="nil"/>
                    <w:tr2bl w:val="nil"/>
                  </w:tcBorders>
                  <w:vAlign w:val="center"/>
                </w:tcPr>
                <w:p w14:paraId="4A9EE3A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r>
            <w:tr w14:paraId="25874B3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16C4D33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7BF206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6BB32B1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煤制乙二醇</w:t>
                  </w:r>
                </w:p>
              </w:tc>
              <w:tc>
                <w:tcPr>
                  <w:tcW w:w="2440" w:type="dxa"/>
                  <w:vMerge w:val="continue"/>
                  <w:tcBorders>
                    <w:tl2br w:val="nil"/>
                    <w:tr2bl w:val="nil"/>
                  </w:tcBorders>
                  <w:vAlign w:val="center"/>
                </w:tcPr>
                <w:p w14:paraId="51C557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874" w:type="dxa"/>
                  <w:vMerge w:val="continue"/>
                  <w:tcBorders>
                    <w:tl2br w:val="nil"/>
                    <w:tr2bl w:val="nil"/>
                  </w:tcBorders>
                  <w:vAlign w:val="center"/>
                </w:tcPr>
                <w:p w14:paraId="3DCECB7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r>
            <w:tr w14:paraId="5C72BB7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21F894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w:t>
                  </w:r>
                </w:p>
              </w:tc>
              <w:tc>
                <w:tcPr>
                  <w:tcW w:w="1010" w:type="dxa"/>
                  <w:vMerge w:val="restart"/>
                  <w:tcBorders>
                    <w:tl2br w:val="nil"/>
                    <w:tr2bl w:val="nil"/>
                  </w:tcBorders>
                  <w:vAlign w:val="center"/>
                </w:tcPr>
                <w:p w14:paraId="5B32CFD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基础化学</w:t>
                  </w:r>
                  <w:r>
                    <w:rPr>
                      <w:color w:val="auto"/>
                      <w:spacing w:val="2"/>
                      <w:sz w:val="21"/>
                      <w:szCs w:val="21"/>
                    </w:rPr>
                    <w:t>原料</w:t>
                  </w:r>
                </w:p>
              </w:tc>
              <w:tc>
                <w:tcPr>
                  <w:tcW w:w="3253" w:type="dxa"/>
                  <w:tcBorders>
                    <w:tl2br w:val="nil"/>
                    <w:tr2bl w:val="nil"/>
                  </w:tcBorders>
                  <w:vAlign w:val="center"/>
                </w:tcPr>
                <w:p w14:paraId="2AEEA9F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氯碱（烧碱）</w:t>
                  </w:r>
                </w:p>
              </w:tc>
              <w:tc>
                <w:tcPr>
                  <w:tcW w:w="2440" w:type="dxa"/>
                  <w:tcBorders>
                    <w:tl2br w:val="nil"/>
                    <w:tr2bl w:val="nil"/>
                  </w:tcBorders>
                  <w:vAlign w:val="center"/>
                </w:tcPr>
                <w:p w14:paraId="6D8E138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2"/>
                      <w:sz w:val="21"/>
                      <w:szCs w:val="21"/>
                    </w:rPr>
                    <w:t>电解槽</w:t>
                  </w:r>
                </w:p>
              </w:tc>
              <w:tc>
                <w:tcPr>
                  <w:tcW w:w="1874" w:type="dxa"/>
                  <w:tcBorders>
                    <w:tl2br w:val="nil"/>
                    <w:tr2bl w:val="nil"/>
                  </w:tcBorders>
                  <w:vAlign w:val="center"/>
                </w:tcPr>
                <w:p w14:paraId="5561FAC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无机碱制造（</w:t>
                  </w:r>
                  <w:r>
                    <w:rPr>
                      <w:rFonts w:ascii="Times New Roman" w:hAnsi="Times New Roman" w:eastAsia="Times New Roman" w:cs="Times New Roman"/>
                      <w:color w:val="auto"/>
                      <w:spacing w:val="-8"/>
                      <w:sz w:val="21"/>
                      <w:szCs w:val="21"/>
                    </w:rPr>
                    <w:t>2612</w:t>
                  </w:r>
                  <w:r>
                    <w:rPr>
                      <w:color w:val="auto"/>
                      <w:spacing w:val="-8"/>
                      <w:sz w:val="21"/>
                      <w:szCs w:val="21"/>
                    </w:rPr>
                    <w:t>）</w:t>
                  </w:r>
                </w:p>
              </w:tc>
            </w:tr>
            <w:tr w14:paraId="3340FB5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7EC039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3394DB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5CED5F0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纯碱</w:t>
                  </w:r>
                </w:p>
              </w:tc>
              <w:tc>
                <w:tcPr>
                  <w:tcW w:w="2440" w:type="dxa"/>
                  <w:tcBorders>
                    <w:tl2br w:val="nil"/>
                    <w:tr2bl w:val="nil"/>
                  </w:tcBorders>
                  <w:vAlign w:val="center"/>
                </w:tcPr>
                <w:p w14:paraId="097331D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碳化塔</w:t>
                  </w:r>
                </w:p>
              </w:tc>
              <w:tc>
                <w:tcPr>
                  <w:tcW w:w="1874" w:type="dxa"/>
                  <w:tcBorders>
                    <w:tl2br w:val="nil"/>
                    <w:tr2bl w:val="nil"/>
                  </w:tcBorders>
                  <w:vAlign w:val="center"/>
                </w:tcPr>
                <w:p w14:paraId="773F76D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无机碱制造（</w:t>
                  </w:r>
                  <w:r>
                    <w:rPr>
                      <w:rFonts w:ascii="Times New Roman" w:hAnsi="Times New Roman" w:eastAsia="Times New Roman" w:cs="Times New Roman"/>
                      <w:color w:val="auto"/>
                      <w:spacing w:val="-8"/>
                      <w:sz w:val="21"/>
                      <w:szCs w:val="21"/>
                    </w:rPr>
                    <w:t>2612</w:t>
                  </w:r>
                  <w:r>
                    <w:rPr>
                      <w:color w:val="auto"/>
                      <w:spacing w:val="-8"/>
                      <w:sz w:val="21"/>
                      <w:szCs w:val="21"/>
                    </w:rPr>
                    <w:t>）</w:t>
                  </w:r>
                </w:p>
              </w:tc>
            </w:tr>
            <w:tr w14:paraId="5C1173C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7E898F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01A43E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12B0831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电石（碳化钙）</w:t>
                  </w:r>
                </w:p>
              </w:tc>
              <w:tc>
                <w:tcPr>
                  <w:tcW w:w="2440" w:type="dxa"/>
                  <w:tcBorders>
                    <w:tl2br w:val="nil"/>
                    <w:tr2bl w:val="nil"/>
                  </w:tcBorders>
                  <w:vAlign w:val="center"/>
                </w:tcPr>
                <w:p w14:paraId="627E47B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2"/>
                      <w:sz w:val="21"/>
                      <w:szCs w:val="21"/>
                    </w:rPr>
                    <w:t>电石炉</w:t>
                  </w:r>
                </w:p>
              </w:tc>
              <w:tc>
                <w:tcPr>
                  <w:tcW w:w="1874" w:type="dxa"/>
                  <w:tcBorders>
                    <w:tl2br w:val="nil"/>
                    <w:tr2bl w:val="nil"/>
                  </w:tcBorders>
                  <w:vAlign w:val="center"/>
                </w:tcPr>
                <w:p w14:paraId="73392FC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无机盐制造（</w:t>
                  </w:r>
                  <w:r>
                    <w:rPr>
                      <w:rFonts w:ascii="Times New Roman" w:hAnsi="Times New Roman" w:eastAsia="Times New Roman" w:cs="Times New Roman"/>
                      <w:color w:val="auto"/>
                      <w:spacing w:val="-8"/>
                      <w:sz w:val="21"/>
                      <w:szCs w:val="21"/>
                    </w:rPr>
                    <w:t>2613</w:t>
                  </w:r>
                  <w:r>
                    <w:rPr>
                      <w:color w:val="auto"/>
                      <w:spacing w:val="-8"/>
                      <w:sz w:val="21"/>
                      <w:szCs w:val="21"/>
                    </w:rPr>
                    <w:t>）</w:t>
                  </w:r>
                </w:p>
              </w:tc>
            </w:tr>
            <w:tr w14:paraId="031F5B0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31E0F9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537FC2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6C4F258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黄磷</w:t>
                  </w:r>
                </w:p>
              </w:tc>
              <w:tc>
                <w:tcPr>
                  <w:tcW w:w="2440" w:type="dxa"/>
                  <w:tcBorders>
                    <w:tl2br w:val="nil"/>
                    <w:tr2bl w:val="nil"/>
                  </w:tcBorders>
                  <w:vAlign w:val="center"/>
                </w:tcPr>
                <w:p w14:paraId="12A4856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黄磷制取设备</w:t>
                  </w:r>
                </w:p>
              </w:tc>
              <w:tc>
                <w:tcPr>
                  <w:tcW w:w="1874" w:type="dxa"/>
                  <w:tcBorders>
                    <w:tl2br w:val="nil"/>
                    <w:tr2bl w:val="nil"/>
                  </w:tcBorders>
                  <w:vAlign w:val="center"/>
                </w:tcPr>
                <w:p w14:paraId="0C7B42B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1"/>
                      <w:sz w:val="21"/>
                      <w:szCs w:val="21"/>
                    </w:rPr>
                    <w:t>其他基础化学原料</w:t>
                  </w:r>
                  <w:r>
                    <w:rPr>
                      <w:color w:val="auto"/>
                      <w:spacing w:val="5"/>
                      <w:sz w:val="21"/>
                      <w:szCs w:val="21"/>
                    </w:rPr>
                    <w:t>制造（</w:t>
                  </w:r>
                  <w:r>
                    <w:rPr>
                      <w:rFonts w:ascii="Times New Roman" w:hAnsi="Times New Roman" w:eastAsia="Times New Roman" w:cs="Times New Roman"/>
                      <w:color w:val="auto"/>
                      <w:spacing w:val="5"/>
                      <w:sz w:val="21"/>
                      <w:szCs w:val="21"/>
                    </w:rPr>
                    <w:t>2619</w:t>
                  </w:r>
                  <w:r>
                    <w:rPr>
                      <w:color w:val="auto"/>
                      <w:spacing w:val="5"/>
                      <w:sz w:val="21"/>
                      <w:szCs w:val="21"/>
                    </w:rPr>
                    <w:t>）</w:t>
                  </w:r>
                </w:p>
              </w:tc>
            </w:tr>
            <w:tr w14:paraId="1EE3196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5F57D8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w:t>
                  </w:r>
                </w:p>
              </w:tc>
              <w:tc>
                <w:tcPr>
                  <w:tcW w:w="1010" w:type="dxa"/>
                  <w:vMerge w:val="restart"/>
                  <w:tcBorders>
                    <w:tl2br w:val="nil"/>
                    <w:tr2bl w:val="nil"/>
                  </w:tcBorders>
                  <w:vAlign w:val="center"/>
                </w:tcPr>
                <w:p w14:paraId="6C2054C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化肥</w:t>
                  </w:r>
                </w:p>
              </w:tc>
              <w:tc>
                <w:tcPr>
                  <w:tcW w:w="3253" w:type="dxa"/>
                  <w:tcBorders>
                    <w:tl2br w:val="nil"/>
                    <w:tr2bl w:val="nil"/>
                  </w:tcBorders>
                  <w:vAlign w:val="center"/>
                </w:tcPr>
                <w:p w14:paraId="1BB46EA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合成氨、尿素</w:t>
                  </w:r>
                </w:p>
              </w:tc>
              <w:tc>
                <w:tcPr>
                  <w:tcW w:w="2440" w:type="dxa"/>
                  <w:tcBorders>
                    <w:tl2br w:val="nil"/>
                    <w:tr2bl w:val="nil"/>
                  </w:tcBorders>
                  <w:vAlign w:val="center"/>
                </w:tcPr>
                <w:p w14:paraId="309817A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合成氨装置</w:t>
                  </w:r>
                </w:p>
              </w:tc>
              <w:tc>
                <w:tcPr>
                  <w:tcW w:w="1874" w:type="dxa"/>
                  <w:tcBorders>
                    <w:tl2br w:val="nil"/>
                    <w:tr2bl w:val="nil"/>
                  </w:tcBorders>
                  <w:vAlign w:val="center"/>
                </w:tcPr>
                <w:p w14:paraId="6E09E06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氮肥制造（</w:t>
                  </w:r>
                  <w:r>
                    <w:rPr>
                      <w:rFonts w:ascii="Times New Roman" w:hAnsi="Times New Roman" w:eastAsia="Times New Roman" w:cs="Times New Roman"/>
                      <w:color w:val="auto"/>
                      <w:spacing w:val="6"/>
                      <w:sz w:val="21"/>
                      <w:szCs w:val="21"/>
                    </w:rPr>
                    <w:t>2621</w:t>
                  </w:r>
                  <w:r>
                    <w:rPr>
                      <w:color w:val="auto"/>
                      <w:spacing w:val="6"/>
                      <w:sz w:val="21"/>
                      <w:szCs w:val="21"/>
                    </w:rPr>
                    <w:t>）</w:t>
                  </w:r>
                </w:p>
              </w:tc>
            </w:tr>
            <w:tr w14:paraId="06DE3C2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2F1C6A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7A85F2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71C3043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磷酸一铵、磷酸二铵</w:t>
                  </w:r>
                </w:p>
              </w:tc>
              <w:tc>
                <w:tcPr>
                  <w:tcW w:w="2440" w:type="dxa"/>
                  <w:tcBorders>
                    <w:tl2br w:val="nil"/>
                    <w:tr2bl w:val="nil"/>
                  </w:tcBorders>
                  <w:vAlign w:val="center"/>
                </w:tcPr>
                <w:p w14:paraId="63ED078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氨化装置</w:t>
                  </w:r>
                </w:p>
              </w:tc>
              <w:tc>
                <w:tcPr>
                  <w:tcW w:w="1874" w:type="dxa"/>
                  <w:tcBorders>
                    <w:tl2br w:val="nil"/>
                    <w:tr2bl w:val="nil"/>
                  </w:tcBorders>
                  <w:vAlign w:val="center"/>
                </w:tcPr>
                <w:p w14:paraId="64C4212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磷肥制造（</w:t>
                  </w:r>
                  <w:r>
                    <w:rPr>
                      <w:rFonts w:ascii="Times New Roman" w:hAnsi="Times New Roman" w:eastAsia="Times New Roman" w:cs="Times New Roman"/>
                      <w:color w:val="auto"/>
                      <w:spacing w:val="6"/>
                      <w:sz w:val="21"/>
                      <w:szCs w:val="21"/>
                    </w:rPr>
                    <w:t>2622</w:t>
                  </w:r>
                  <w:r>
                    <w:rPr>
                      <w:color w:val="auto"/>
                      <w:spacing w:val="6"/>
                      <w:sz w:val="21"/>
                      <w:szCs w:val="21"/>
                    </w:rPr>
                    <w:t>）</w:t>
                  </w:r>
                </w:p>
              </w:tc>
            </w:tr>
            <w:tr w14:paraId="5DE7725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1BA006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6</w:t>
                  </w:r>
                </w:p>
              </w:tc>
              <w:tc>
                <w:tcPr>
                  <w:tcW w:w="1010" w:type="dxa"/>
                  <w:vMerge w:val="restart"/>
                  <w:tcBorders>
                    <w:tl2br w:val="nil"/>
                    <w:tr2bl w:val="nil"/>
                  </w:tcBorders>
                  <w:vAlign w:val="center"/>
                </w:tcPr>
                <w:p w14:paraId="7CC9683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水泥</w:t>
                  </w:r>
                </w:p>
              </w:tc>
              <w:tc>
                <w:tcPr>
                  <w:tcW w:w="3253" w:type="dxa"/>
                  <w:tcBorders>
                    <w:tl2br w:val="nil"/>
                    <w:tr2bl w:val="nil"/>
                  </w:tcBorders>
                  <w:vAlign w:val="center"/>
                </w:tcPr>
                <w:p w14:paraId="3EB07C5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水泥熟料</w:t>
                  </w:r>
                </w:p>
              </w:tc>
              <w:tc>
                <w:tcPr>
                  <w:tcW w:w="2440" w:type="dxa"/>
                  <w:tcBorders>
                    <w:tl2br w:val="nil"/>
                    <w:tr2bl w:val="nil"/>
                  </w:tcBorders>
                  <w:vAlign w:val="center"/>
                </w:tcPr>
                <w:p w14:paraId="6B986BC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水泥窑</w:t>
                  </w:r>
                </w:p>
              </w:tc>
              <w:tc>
                <w:tcPr>
                  <w:tcW w:w="1874" w:type="dxa"/>
                  <w:tcBorders>
                    <w:tl2br w:val="nil"/>
                    <w:tr2bl w:val="nil"/>
                  </w:tcBorders>
                  <w:vAlign w:val="center"/>
                </w:tcPr>
                <w:p w14:paraId="38766CA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水泥制造（</w:t>
                  </w:r>
                  <w:r>
                    <w:rPr>
                      <w:rFonts w:ascii="Times New Roman" w:hAnsi="Times New Roman" w:eastAsia="Times New Roman" w:cs="Times New Roman"/>
                      <w:color w:val="auto"/>
                      <w:spacing w:val="5"/>
                      <w:sz w:val="21"/>
                      <w:szCs w:val="21"/>
                    </w:rPr>
                    <w:t>3011</w:t>
                  </w:r>
                  <w:r>
                    <w:rPr>
                      <w:color w:val="auto"/>
                      <w:spacing w:val="5"/>
                      <w:sz w:val="21"/>
                      <w:szCs w:val="21"/>
                    </w:rPr>
                    <w:t>）</w:t>
                  </w:r>
                </w:p>
              </w:tc>
            </w:tr>
            <w:tr w14:paraId="7AB169F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4AF3AB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09159B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18DB422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水泥粉磨</w:t>
                  </w:r>
                </w:p>
              </w:tc>
              <w:tc>
                <w:tcPr>
                  <w:tcW w:w="2440" w:type="dxa"/>
                  <w:tcBorders>
                    <w:tl2br w:val="nil"/>
                    <w:tr2bl w:val="nil"/>
                  </w:tcBorders>
                  <w:vAlign w:val="center"/>
                </w:tcPr>
                <w:p w14:paraId="4E6B35E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水泥磨机、预粉磨主电动</w:t>
                  </w:r>
                  <w:r>
                    <w:rPr>
                      <w:color w:val="auto"/>
                      <w:spacing w:val="1"/>
                      <w:sz w:val="21"/>
                      <w:szCs w:val="21"/>
                    </w:rPr>
                    <w:t>机</w:t>
                  </w:r>
                </w:p>
              </w:tc>
              <w:tc>
                <w:tcPr>
                  <w:tcW w:w="1874" w:type="dxa"/>
                  <w:tcBorders>
                    <w:tl2br w:val="nil"/>
                    <w:tr2bl w:val="nil"/>
                  </w:tcBorders>
                  <w:vAlign w:val="center"/>
                </w:tcPr>
                <w:p w14:paraId="75D77B2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水泥制造（</w:t>
                  </w:r>
                  <w:r>
                    <w:rPr>
                      <w:rFonts w:ascii="Times New Roman" w:hAnsi="Times New Roman" w:eastAsia="Times New Roman" w:cs="Times New Roman"/>
                      <w:color w:val="auto"/>
                      <w:spacing w:val="5"/>
                      <w:sz w:val="21"/>
                      <w:szCs w:val="21"/>
                    </w:rPr>
                    <w:t>3011</w:t>
                  </w:r>
                  <w:r>
                    <w:rPr>
                      <w:color w:val="auto"/>
                      <w:spacing w:val="5"/>
                      <w:sz w:val="21"/>
                      <w:szCs w:val="21"/>
                    </w:rPr>
                    <w:t>）</w:t>
                  </w:r>
                </w:p>
              </w:tc>
            </w:tr>
            <w:tr w14:paraId="7ACB664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tcBorders>
                    <w:tl2br w:val="nil"/>
                    <w:tr2bl w:val="nil"/>
                  </w:tcBorders>
                  <w:vAlign w:val="center"/>
                </w:tcPr>
                <w:p w14:paraId="570A4D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p>
              </w:tc>
              <w:tc>
                <w:tcPr>
                  <w:tcW w:w="1010" w:type="dxa"/>
                  <w:tcBorders>
                    <w:tl2br w:val="nil"/>
                    <w:tr2bl w:val="nil"/>
                  </w:tcBorders>
                  <w:vAlign w:val="center"/>
                </w:tcPr>
                <w:p w14:paraId="4947652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石灰</w:t>
                  </w:r>
                </w:p>
              </w:tc>
              <w:tc>
                <w:tcPr>
                  <w:tcW w:w="3253" w:type="dxa"/>
                  <w:tcBorders>
                    <w:tl2br w:val="nil"/>
                    <w:tr2bl w:val="nil"/>
                  </w:tcBorders>
                  <w:vAlign w:val="center"/>
                </w:tcPr>
                <w:p w14:paraId="2C2C4FB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生石灰、消石灰、水硬石灰</w:t>
                  </w:r>
                </w:p>
              </w:tc>
              <w:tc>
                <w:tcPr>
                  <w:tcW w:w="2440" w:type="dxa"/>
                  <w:tcBorders>
                    <w:tl2br w:val="nil"/>
                    <w:tr2bl w:val="nil"/>
                  </w:tcBorders>
                  <w:vAlign w:val="center"/>
                </w:tcPr>
                <w:p w14:paraId="6E7CDCD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石灰窑</w:t>
                  </w:r>
                </w:p>
              </w:tc>
              <w:tc>
                <w:tcPr>
                  <w:tcW w:w="1874" w:type="dxa"/>
                  <w:tcBorders>
                    <w:tl2br w:val="nil"/>
                    <w:tr2bl w:val="nil"/>
                  </w:tcBorders>
                  <w:vAlign w:val="center"/>
                </w:tcPr>
                <w:p w14:paraId="7FCEB06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1"/>
                      <w:sz w:val="21"/>
                      <w:szCs w:val="21"/>
                    </w:rPr>
                    <w:t>石灰和石膏制造</w:t>
                  </w:r>
                  <w:r>
                    <w:rPr>
                      <w:color w:val="auto"/>
                      <w:spacing w:val="1"/>
                      <w:sz w:val="21"/>
                      <w:szCs w:val="21"/>
                    </w:rPr>
                    <w:t>（</w:t>
                  </w:r>
                  <w:r>
                    <w:rPr>
                      <w:rFonts w:ascii="Times New Roman" w:hAnsi="Times New Roman" w:eastAsia="Times New Roman" w:cs="Times New Roman"/>
                      <w:color w:val="auto"/>
                      <w:spacing w:val="1"/>
                      <w:sz w:val="21"/>
                      <w:szCs w:val="21"/>
                    </w:rPr>
                    <w:t>3012</w:t>
                  </w:r>
                  <w:r>
                    <w:rPr>
                      <w:color w:val="auto"/>
                      <w:spacing w:val="1"/>
                      <w:sz w:val="21"/>
                      <w:szCs w:val="21"/>
                    </w:rPr>
                    <w:t>）</w:t>
                  </w:r>
                </w:p>
              </w:tc>
            </w:tr>
            <w:tr w14:paraId="5233986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tcBorders>
                    <w:tl2br w:val="nil"/>
                    <w:tr2bl w:val="nil"/>
                  </w:tcBorders>
                  <w:vAlign w:val="center"/>
                </w:tcPr>
                <w:p w14:paraId="481374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8</w:t>
                  </w:r>
                </w:p>
              </w:tc>
              <w:tc>
                <w:tcPr>
                  <w:tcW w:w="1010" w:type="dxa"/>
                  <w:tcBorders>
                    <w:tl2br w:val="nil"/>
                    <w:tr2bl w:val="nil"/>
                  </w:tcBorders>
                  <w:vAlign w:val="center"/>
                </w:tcPr>
                <w:p w14:paraId="663656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平板玻璃</w:t>
                  </w:r>
                </w:p>
              </w:tc>
              <w:tc>
                <w:tcPr>
                  <w:tcW w:w="3253" w:type="dxa"/>
                  <w:tcBorders>
                    <w:tl2br w:val="nil"/>
                    <w:tr2bl w:val="nil"/>
                  </w:tcBorders>
                  <w:vAlign w:val="center"/>
                </w:tcPr>
                <w:p w14:paraId="5B08CA8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普通平板玻璃，浮法平板玻璃，压延玻璃，不包括光伏压延玻璃、基</w:t>
                  </w:r>
                  <w:r>
                    <w:rPr>
                      <w:color w:val="auto"/>
                      <w:spacing w:val="6"/>
                      <w:sz w:val="21"/>
                      <w:szCs w:val="21"/>
                    </w:rPr>
                    <w:t>板玻璃</w:t>
                  </w:r>
                </w:p>
              </w:tc>
              <w:tc>
                <w:tcPr>
                  <w:tcW w:w="2440" w:type="dxa"/>
                  <w:tcBorders>
                    <w:tl2br w:val="nil"/>
                    <w:tr2bl w:val="nil"/>
                  </w:tcBorders>
                  <w:vAlign w:val="center"/>
                </w:tcPr>
                <w:p w14:paraId="3F22A2C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玻璃熔炉</w:t>
                  </w:r>
                </w:p>
              </w:tc>
              <w:tc>
                <w:tcPr>
                  <w:tcW w:w="1874" w:type="dxa"/>
                  <w:tcBorders>
                    <w:tl2br w:val="nil"/>
                    <w:tr2bl w:val="nil"/>
                  </w:tcBorders>
                  <w:vAlign w:val="center"/>
                </w:tcPr>
                <w:p w14:paraId="3289BD5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
                      <w:sz w:val="21"/>
                      <w:szCs w:val="21"/>
                    </w:rPr>
                    <w:t>平板玻璃制造</w:t>
                  </w:r>
                  <w:r>
                    <w:rPr>
                      <w:color w:val="auto"/>
                      <w:spacing w:val="1"/>
                      <w:sz w:val="21"/>
                      <w:szCs w:val="21"/>
                    </w:rPr>
                    <w:t>（</w:t>
                  </w:r>
                  <w:r>
                    <w:rPr>
                      <w:rFonts w:ascii="Times New Roman" w:hAnsi="Times New Roman" w:eastAsia="Times New Roman" w:cs="Times New Roman"/>
                      <w:color w:val="auto"/>
                      <w:spacing w:val="1"/>
                      <w:sz w:val="21"/>
                      <w:szCs w:val="21"/>
                    </w:rPr>
                    <w:t>3041</w:t>
                  </w:r>
                  <w:r>
                    <w:rPr>
                      <w:color w:val="auto"/>
                      <w:spacing w:val="1"/>
                      <w:sz w:val="21"/>
                      <w:szCs w:val="21"/>
                    </w:rPr>
                    <w:t>）</w:t>
                  </w:r>
                </w:p>
              </w:tc>
            </w:tr>
            <w:tr w14:paraId="61B9DA5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4836307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9</w:t>
                  </w:r>
                </w:p>
              </w:tc>
              <w:tc>
                <w:tcPr>
                  <w:tcW w:w="1010" w:type="dxa"/>
                  <w:vMerge w:val="restart"/>
                  <w:tcBorders>
                    <w:tl2br w:val="nil"/>
                    <w:tr2bl w:val="nil"/>
                  </w:tcBorders>
                  <w:vAlign w:val="center"/>
                </w:tcPr>
                <w:p w14:paraId="077EECC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
                      <w:sz w:val="21"/>
                      <w:szCs w:val="21"/>
                    </w:rPr>
                    <w:t>陶瓷</w:t>
                  </w:r>
                </w:p>
              </w:tc>
              <w:tc>
                <w:tcPr>
                  <w:tcW w:w="3253" w:type="dxa"/>
                  <w:tcBorders>
                    <w:tl2br w:val="nil"/>
                    <w:tr2bl w:val="nil"/>
                  </w:tcBorders>
                  <w:vAlign w:val="center"/>
                </w:tcPr>
                <w:p w14:paraId="35342C0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建筑陶瓷，不包括非经高温烧结的</w:t>
                  </w:r>
                  <w:r>
                    <w:rPr>
                      <w:color w:val="auto"/>
                      <w:spacing w:val="7"/>
                      <w:sz w:val="21"/>
                      <w:szCs w:val="21"/>
                    </w:rPr>
                    <w:t>发泡陶瓷板等</w:t>
                  </w:r>
                </w:p>
              </w:tc>
              <w:tc>
                <w:tcPr>
                  <w:tcW w:w="2440" w:type="dxa"/>
                  <w:tcBorders>
                    <w:tl2br w:val="nil"/>
                    <w:tr2bl w:val="nil"/>
                  </w:tcBorders>
                  <w:vAlign w:val="center"/>
                </w:tcPr>
                <w:p w14:paraId="640B425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辊道和隧道窑</w:t>
                  </w:r>
                </w:p>
              </w:tc>
              <w:tc>
                <w:tcPr>
                  <w:tcW w:w="1874" w:type="dxa"/>
                  <w:tcBorders>
                    <w:tl2br w:val="nil"/>
                    <w:tr2bl w:val="nil"/>
                  </w:tcBorders>
                  <w:vAlign w:val="center"/>
                </w:tcPr>
                <w:p w14:paraId="30147C3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1"/>
                      <w:sz w:val="21"/>
                      <w:szCs w:val="21"/>
                    </w:rPr>
                    <w:t>建筑陶瓷制品制造</w:t>
                  </w:r>
                  <w:r>
                    <w:rPr>
                      <w:color w:val="auto"/>
                      <w:spacing w:val="1"/>
                      <w:sz w:val="21"/>
                      <w:szCs w:val="21"/>
                    </w:rPr>
                    <w:t>（</w:t>
                  </w:r>
                  <w:r>
                    <w:rPr>
                      <w:rFonts w:ascii="Times New Roman" w:hAnsi="Times New Roman" w:eastAsia="Times New Roman" w:cs="Times New Roman"/>
                      <w:color w:val="auto"/>
                      <w:spacing w:val="1"/>
                      <w:sz w:val="21"/>
                      <w:szCs w:val="21"/>
                    </w:rPr>
                    <w:t>3071</w:t>
                  </w:r>
                  <w:r>
                    <w:rPr>
                      <w:color w:val="auto"/>
                      <w:spacing w:val="1"/>
                      <w:sz w:val="21"/>
                      <w:szCs w:val="21"/>
                    </w:rPr>
                    <w:t>）</w:t>
                  </w:r>
                </w:p>
              </w:tc>
            </w:tr>
            <w:tr w14:paraId="67AF71E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45363C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256C517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3E9F908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卫生陶瓷</w:t>
                  </w:r>
                </w:p>
              </w:tc>
              <w:tc>
                <w:tcPr>
                  <w:tcW w:w="2440" w:type="dxa"/>
                  <w:tcBorders>
                    <w:tl2br w:val="nil"/>
                    <w:tr2bl w:val="nil"/>
                  </w:tcBorders>
                  <w:vAlign w:val="center"/>
                </w:tcPr>
                <w:p w14:paraId="4750E0A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隧道窑</w:t>
                  </w:r>
                </w:p>
              </w:tc>
              <w:tc>
                <w:tcPr>
                  <w:tcW w:w="1874" w:type="dxa"/>
                  <w:tcBorders>
                    <w:tl2br w:val="nil"/>
                    <w:tr2bl w:val="nil"/>
                  </w:tcBorders>
                  <w:vAlign w:val="center"/>
                </w:tcPr>
                <w:p w14:paraId="0631953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1"/>
                      <w:sz w:val="21"/>
                      <w:szCs w:val="21"/>
                    </w:rPr>
                    <w:t>卫生陶瓷制品制造</w:t>
                  </w:r>
                  <w:r>
                    <w:rPr>
                      <w:color w:val="auto"/>
                      <w:spacing w:val="1"/>
                      <w:sz w:val="21"/>
                      <w:szCs w:val="21"/>
                    </w:rPr>
                    <w:t>（</w:t>
                  </w:r>
                  <w:r>
                    <w:rPr>
                      <w:rFonts w:ascii="Times New Roman" w:hAnsi="Times New Roman" w:eastAsia="Times New Roman" w:cs="Times New Roman"/>
                      <w:color w:val="auto"/>
                      <w:spacing w:val="1"/>
                      <w:sz w:val="21"/>
                      <w:szCs w:val="21"/>
                    </w:rPr>
                    <w:t>3072</w:t>
                  </w:r>
                  <w:r>
                    <w:rPr>
                      <w:color w:val="auto"/>
                      <w:spacing w:val="1"/>
                      <w:sz w:val="21"/>
                      <w:szCs w:val="21"/>
                    </w:rPr>
                    <w:t>）</w:t>
                  </w:r>
                </w:p>
              </w:tc>
            </w:tr>
            <w:tr w14:paraId="67717C9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454DFF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8"/>
                      <w:sz w:val="21"/>
                      <w:szCs w:val="21"/>
                    </w:rPr>
                    <w:t>10</w:t>
                  </w:r>
                </w:p>
              </w:tc>
              <w:tc>
                <w:tcPr>
                  <w:tcW w:w="1010" w:type="dxa"/>
                  <w:vMerge w:val="restart"/>
                  <w:tcBorders>
                    <w:tl2br w:val="nil"/>
                    <w:tr2bl w:val="nil"/>
                  </w:tcBorders>
                  <w:vAlign w:val="center"/>
                </w:tcPr>
                <w:p w14:paraId="2D8DF77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钢铁</w:t>
                  </w:r>
                </w:p>
              </w:tc>
              <w:tc>
                <w:tcPr>
                  <w:tcW w:w="3253" w:type="dxa"/>
                  <w:tcBorders>
                    <w:tl2br w:val="nil"/>
                    <w:tr2bl w:val="nil"/>
                  </w:tcBorders>
                  <w:vAlign w:val="center"/>
                </w:tcPr>
                <w:p w14:paraId="713CBE7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炼钢用生铁、熔融还原铁</w:t>
                  </w:r>
                </w:p>
              </w:tc>
              <w:tc>
                <w:tcPr>
                  <w:tcW w:w="2440" w:type="dxa"/>
                  <w:tcBorders>
                    <w:tl2br w:val="nil"/>
                    <w:tr2bl w:val="nil"/>
                  </w:tcBorders>
                  <w:vAlign w:val="center"/>
                </w:tcPr>
                <w:p w14:paraId="36EA98B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0"/>
                      <w:sz w:val="21"/>
                      <w:szCs w:val="21"/>
                    </w:rPr>
                    <w:t>高炉，氢冶金、</w:t>
                  </w:r>
                  <w:r>
                    <w:rPr>
                      <w:rFonts w:ascii="Times New Roman" w:hAnsi="Times New Roman" w:eastAsia="Times New Roman" w:cs="Times New Roman"/>
                      <w:color w:val="auto"/>
                      <w:sz w:val="21"/>
                      <w:szCs w:val="21"/>
                    </w:rPr>
                    <w:t>Corex</w:t>
                  </w:r>
                  <w:r>
                    <w:rPr>
                      <w:color w:val="auto"/>
                      <w:spacing w:val="10"/>
                      <w:sz w:val="21"/>
                      <w:szCs w:val="21"/>
                    </w:rPr>
                    <w:t>、</w:t>
                  </w:r>
                  <w:r>
                    <w:rPr>
                      <w:rFonts w:ascii="Times New Roman" w:hAnsi="Times New Roman" w:eastAsia="Times New Roman" w:cs="Times New Roman"/>
                      <w:color w:val="auto"/>
                      <w:sz w:val="21"/>
                      <w:szCs w:val="21"/>
                    </w:rPr>
                    <w:t>Finex</w:t>
                  </w:r>
                  <w:r>
                    <w:rPr>
                      <w:color w:val="auto"/>
                      <w:spacing w:val="12"/>
                      <w:sz w:val="21"/>
                      <w:szCs w:val="21"/>
                    </w:rPr>
                    <w:t>、</w:t>
                  </w:r>
                  <w:r>
                    <w:rPr>
                      <w:rFonts w:ascii="Times New Roman" w:hAnsi="Times New Roman" w:eastAsia="Times New Roman" w:cs="Times New Roman"/>
                      <w:color w:val="auto"/>
                      <w:sz w:val="21"/>
                      <w:szCs w:val="21"/>
                    </w:rPr>
                    <w:t>HIsmelt</w:t>
                  </w:r>
                  <w:r>
                    <w:rPr>
                      <w:color w:val="auto"/>
                      <w:spacing w:val="12"/>
                      <w:sz w:val="21"/>
                      <w:szCs w:val="21"/>
                    </w:rPr>
                    <w:t>还原装置</w:t>
                  </w:r>
                </w:p>
              </w:tc>
              <w:tc>
                <w:tcPr>
                  <w:tcW w:w="1874" w:type="dxa"/>
                  <w:tcBorders>
                    <w:tl2br w:val="nil"/>
                    <w:tr2bl w:val="nil"/>
                  </w:tcBorders>
                  <w:vAlign w:val="center"/>
                </w:tcPr>
                <w:p w14:paraId="78F9376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炼铁（</w:t>
                  </w:r>
                  <w:r>
                    <w:rPr>
                      <w:rFonts w:ascii="Times New Roman" w:hAnsi="Times New Roman" w:eastAsia="Times New Roman" w:cs="Times New Roman"/>
                      <w:color w:val="auto"/>
                      <w:spacing w:val="5"/>
                      <w:sz w:val="21"/>
                      <w:szCs w:val="21"/>
                    </w:rPr>
                    <w:t>3110</w:t>
                  </w:r>
                  <w:r>
                    <w:rPr>
                      <w:color w:val="auto"/>
                      <w:spacing w:val="5"/>
                      <w:sz w:val="21"/>
                      <w:szCs w:val="21"/>
                    </w:rPr>
                    <w:t>）</w:t>
                  </w:r>
                </w:p>
              </w:tc>
            </w:tr>
            <w:tr w14:paraId="3FBE63F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4527B4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1F3C9C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vMerge w:val="restart"/>
                  <w:tcBorders>
                    <w:tl2br w:val="nil"/>
                    <w:tr2bl w:val="nil"/>
                  </w:tcBorders>
                  <w:vAlign w:val="center"/>
                </w:tcPr>
                <w:p w14:paraId="292FE59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12"/>
                      <w:sz w:val="21"/>
                      <w:szCs w:val="21"/>
                    </w:rPr>
                    <w:t>非合金钢粗钢、低合金钢粗钢、合</w:t>
                  </w:r>
                  <w:r>
                    <w:rPr>
                      <w:color w:val="auto"/>
                      <w:spacing w:val="6"/>
                      <w:sz w:val="21"/>
                      <w:szCs w:val="21"/>
                    </w:rPr>
                    <w:t>金钢粗钢</w:t>
                  </w:r>
                </w:p>
              </w:tc>
              <w:tc>
                <w:tcPr>
                  <w:tcW w:w="2440" w:type="dxa"/>
                  <w:tcBorders>
                    <w:tl2br w:val="nil"/>
                    <w:tr2bl w:val="nil"/>
                  </w:tcBorders>
                  <w:vAlign w:val="center"/>
                </w:tcPr>
                <w:p w14:paraId="2108A98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转炉</w:t>
                  </w:r>
                </w:p>
              </w:tc>
              <w:tc>
                <w:tcPr>
                  <w:tcW w:w="1874" w:type="dxa"/>
                  <w:vMerge w:val="restart"/>
                  <w:tcBorders>
                    <w:tl2br w:val="nil"/>
                    <w:tr2bl w:val="nil"/>
                  </w:tcBorders>
                  <w:vAlign w:val="center"/>
                </w:tcPr>
                <w:p w14:paraId="473862B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炼钢（</w:t>
                  </w:r>
                  <w:r>
                    <w:rPr>
                      <w:rFonts w:ascii="Times New Roman" w:hAnsi="Times New Roman" w:eastAsia="Times New Roman" w:cs="Times New Roman"/>
                      <w:color w:val="auto"/>
                      <w:spacing w:val="5"/>
                      <w:sz w:val="21"/>
                      <w:szCs w:val="21"/>
                    </w:rPr>
                    <w:t>3120</w:t>
                  </w:r>
                  <w:r>
                    <w:rPr>
                      <w:color w:val="auto"/>
                      <w:spacing w:val="5"/>
                      <w:sz w:val="21"/>
                      <w:szCs w:val="21"/>
                    </w:rPr>
                    <w:t>）</w:t>
                  </w:r>
                </w:p>
              </w:tc>
            </w:tr>
            <w:tr w14:paraId="340C6B7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6CC0932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0360790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vMerge w:val="continue"/>
                  <w:tcBorders>
                    <w:tl2br w:val="nil"/>
                    <w:tr2bl w:val="nil"/>
                  </w:tcBorders>
                  <w:vAlign w:val="center"/>
                </w:tcPr>
                <w:p w14:paraId="071832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440" w:type="dxa"/>
                  <w:tcBorders>
                    <w:tl2br w:val="nil"/>
                    <w:tr2bl w:val="nil"/>
                  </w:tcBorders>
                  <w:vAlign w:val="center"/>
                </w:tcPr>
                <w:p w14:paraId="206EA60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电弧炉、</w:t>
                  </w:r>
                  <w:r>
                    <w:rPr>
                      <w:rFonts w:ascii="Times New Roman" w:hAnsi="Times New Roman" w:eastAsia="Times New Roman" w:cs="Times New Roman"/>
                      <w:color w:val="auto"/>
                      <w:sz w:val="21"/>
                      <w:szCs w:val="21"/>
                    </w:rPr>
                    <w:t>AOD</w:t>
                  </w:r>
                  <w:r>
                    <w:rPr>
                      <w:color w:val="auto"/>
                      <w:spacing w:val="5"/>
                      <w:sz w:val="21"/>
                      <w:szCs w:val="21"/>
                    </w:rPr>
                    <w:t>炉</w:t>
                  </w:r>
                </w:p>
              </w:tc>
              <w:tc>
                <w:tcPr>
                  <w:tcW w:w="1874" w:type="dxa"/>
                  <w:vMerge w:val="continue"/>
                  <w:tcBorders>
                    <w:tl2br w:val="nil"/>
                    <w:tr2bl w:val="nil"/>
                  </w:tcBorders>
                  <w:vAlign w:val="center"/>
                </w:tcPr>
                <w:p w14:paraId="3A125E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r>
            <w:tr w14:paraId="33AF8D3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tcBorders>
                    <w:tl2br w:val="nil"/>
                    <w:tr2bl w:val="nil"/>
                  </w:tcBorders>
                  <w:vAlign w:val="center"/>
                </w:tcPr>
                <w:p w14:paraId="348E60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8"/>
                      <w:sz w:val="21"/>
                      <w:szCs w:val="21"/>
                    </w:rPr>
                    <w:t>11</w:t>
                  </w:r>
                </w:p>
              </w:tc>
              <w:tc>
                <w:tcPr>
                  <w:tcW w:w="1010" w:type="dxa"/>
                  <w:tcBorders>
                    <w:tl2br w:val="nil"/>
                    <w:tr2bl w:val="nil"/>
                  </w:tcBorders>
                  <w:vAlign w:val="center"/>
                </w:tcPr>
                <w:p w14:paraId="497B4C9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铸造用生</w:t>
                  </w:r>
                  <w:r>
                    <w:rPr>
                      <w:color w:val="auto"/>
                      <w:spacing w:val="1"/>
                      <w:sz w:val="21"/>
                      <w:szCs w:val="21"/>
                    </w:rPr>
                    <w:t>铁</w:t>
                  </w:r>
                </w:p>
              </w:tc>
              <w:tc>
                <w:tcPr>
                  <w:tcW w:w="3253" w:type="dxa"/>
                  <w:tcBorders>
                    <w:tl2br w:val="nil"/>
                    <w:tr2bl w:val="nil"/>
                  </w:tcBorders>
                  <w:vAlign w:val="center"/>
                </w:tcPr>
                <w:p w14:paraId="69FB4E4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铸造用生铁</w:t>
                  </w:r>
                </w:p>
              </w:tc>
              <w:tc>
                <w:tcPr>
                  <w:tcW w:w="2440" w:type="dxa"/>
                  <w:tcBorders>
                    <w:tl2br w:val="nil"/>
                    <w:tr2bl w:val="nil"/>
                  </w:tcBorders>
                  <w:vAlign w:val="center"/>
                </w:tcPr>
                <w:p w14:paraId="37312BF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2"/>
                      <w:sz w:val="21"/>
                      <w:szCs w:val="21"/>
                    </w:rPr>
                    <w:t>高炉</w:t>
                  </w:r>
                </w:p>
              </w:tc>
              <w:tc>
                <w:tcPr>
                  <w:tcW w:w="1874" w:type="dxa"/>
                  <w:tcBorders>
                    <w:tl2br w:val="nil"/>
                    <w:tr2bl w:val="nil"/>
                  </w:tcBorders>
                  <w:vAlign w:val="center"/>
                </w:tcPr>
                <w:p w14:paraId="6C07A47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炼铁（</w:t>
                  </w:r>
                  <w:r>
                    <w:rPr>
                      <w:rFonts w:ascii="Times New Roman" w:hAnsi="Times New Roman" w:eastAsia="Times New Roman" w:cs="Times New Roman"/>
                      <w:color w:val="auto"/>
                      <w:spacing w:val="5"/>
                      <w:sz w:val="21"/>
                      <w:szCs w:val="21"/>
                    </w:rPr>
                    <w:t>3110</w:t>
                  </w:r>
                  <w:r>
                    <w:rPr>
                      <w:color w:val="auto"/>
                      <w:spacing w:val="5"/>
                      <w:sz w:val="21"/>
                      <w:szCs w:val="21"/>
                    </w:rPr>
                    <w:t>）</w:t>
                  </w:r>
                </w:p>
              </w:tc>
            </w:tr>
            <w:tr w14:paraId="1C29F65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tcBorders>
                    <w:tl2br w:val="nil"/>
                    <w:tr2bl w:val="nil"/>
                  </w:tcBorders>
                  <w:vAlign w:val="center"/>
                </w:tcPr>
                <w:p w14:paraId="76A9A6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8"/>
                      <w:sz w:val="21"/>
                      <w:szCs w:val="21"/>
                    </w:rPr>
                    <w:t>12</w:t>
                  </w:r>
                </w:p>
              </w:tc>
              <w:tc>
                <w:tcPr>
                  <w:tcW w:w="1010" w:type="dxa"/>
                  <w:tcBorders>
                    <w:tl2br w:val="nil"/>
                    <w:tr2bl w:val="nil"/>
                  </w:tcBorders>
                  <w:vAlign w:val="center"/>
                </w:tcPr>
                <w:p w14:paraId="26FE388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铁合金</w:t>
                  </w:r>
                </w:p>
              </w:tc>
              <w:tc>
                <w:tcPr>
                  <w:tcW w:w="3253" w:type="dxa"/>
                  <w:tcBorders>
                    <w:tl2br w:val="nil"/>
                    <w:tr2bl w:val="nil"/>
                  </w:tcBorders>
                  <w:vAlign w:val="center"/>
                </w:tcPr>
                <w:p w14:paraId="3C34777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硅铁、锰硅合金、高碳铬铁、镍铁</w:t>
                  </w:r>
                  <w:r>
                    <w:rPr>
                      <w:color w:val="auto"/>
                      <w:spacing w:val="8"/>
                      <w:sz w:val="21"/>
                      <w:szCs w:val="21"/>
                    </w:rPr>
                    <w:t>及其他铁合金产品</w:t>
                  </w:r>
                </w:p>
              </w:tc>
              <w:tc>
                <w:tcPr>
                  <w:tcW w:w="2440" w:type="dxa"/>
                  <w:tcBorders>
                    <w:tl2br w:val="nil"/>
                    <w:tr2bl w:val="nil"/>
                  </w:tcBorders>
                  <w:vAlign w:val="center"/>
                </w:tcPr>
                <w:p w14:paraId="038D579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矿热炉、电弧炉、高炉</w:t>
                  </w:r>
                </w:p>
              </w:tc>
              <w:tc>
                <w:tcPr>
                  <w:tcW w:w="1874" w:type="dxa"/>
                  <w:tcBorders>
                    <w:tl2br w:val="nil"/>
                    <w:tr2bl w:val="nil"/>
                  </w:tcBorders>
                  <w:vAlign w:val="center"/>
                </w:tcPr>
                <w:p w14:paraId="3A36B6D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铁合金冶炼（</w:t>
                  </w:r>
                  <w:r>
                    <w:rPr>
                      <w:rFonts w:ascii="Times New Roman" w:hAnsi="Times New Roman" w:eastAsia="Times New Roman" w:cs="Times New Roman"/>
                      <w:color w:val="auto"/>
                      <w:spacing w:val="-8"/>
                      <w:sz w:val="21"/>
                      <w:szCs w:val="21"/>
                    </w:rPr>
                    <w:t>3140</w:t>
                  </w:r>
                  <w:r>
                    <w:rPr>
                      <w:color w:val="auto"/>
                      <w:spacing w:val="-8"/>
                      <w:sz w:val="21"/>
                      <w:szCs w:val="21"/>
                    </w:rPr>
                    <w:t>）</w:t>
                  </w:r>
                </w:p>
              </w:tc>
            </w:tr>
            <w:tr w14:paraId="7EF549D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3F2216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8"/>
                      <w:sz w:val="21"/>
                      <w:szCs w:val="21"/>
                    </w:rPr>
                    <w:t>13</w:t>
                  </w:r>
                </w:p>
              </w:tc>
              <w:tc>
                <w:tcPr>
                  <w:tcW w:w="1010" w:type="dxa"/>
                  <w:vMerge w:val="restart"/>
                  <w:tcBorders>
                    <w:tl2br w:val="nil"/>
                    <w:tr2bl w:val="nil"/>
                  </w:tcBorders>
                  <w:vAlign w:val="center"/>
                </w:tcPr>
                <w:p w14:paraId="70899E1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有色</w:t>
                  </w:r>
                </w:p>
              </w:tc>
              <w:tc>
                <w:tcPr>
                  <w:tcW w:w="3253" w:type="dxa"/>
                  <w:tcBorders>
                    <w:tl2br w:val="nil"/>
                    <w:tr2bl w:val="nil"/>
                  </w:tcBorders>
                  <w:vAlign w:val="center"/>
                </w:tcPr>
                <w:p w14:paraId="7A16CD3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氧化铝</w:t>
                  </w:r>
                </w:p>
              </w:tc>
              <w:tc>
                <w:tcPr>
                  <w:tcW w:w="2440" w:type="dxa"/>
                  <w:tcBorders>
                    <w:tl2br w:val="nil"/>
                    <w:tr2bl w:val="nil"/>
                  </w:tcBorders>
                  <w:vAlign w:val="center"/>
                </w:tcPr>
                <w:p w14:paraId="4CD8265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煅烧或焙烧炉</w:t>
                  </w:r>
                </w:p>
              </w:tc>
              <w:tc>
                <w:tcPr>
                  <w:tcW w:w="1874" w:type="dxa"/>
                  <w:vMerge w:val="restart"/>
                  <w:tcBorders>
                    <w:tl2br w:val="nil"/>
                    <w:tr2bl w:val="nil"/>
                  </w:tcBorders>
                  <w:vAlign w:val="center"/>
                </w:tcPr>
                <w:p w14:paraId="1DC8216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Arial" w:eastAsia="宋体"/>
                      <w:color w:val="auto"/>
                      <w:sz w:val="21"/>
                      <w:szCs w:val="21"/>
                      <w:lang w:val="en-US" w:eastAsia="zh-CN"/>
                    </w:rPr>
                  </w:pPr>
                  <w:r>
                    <w:rPr>
                      <w:rFonts w:hint="eastAsia"/>
                      <w:color w:val="auto"/>
                      <w:sz w:val="21"/>
                      <w:szCs w:val="21"/>
                      <w:lang w:val="en-US" w:eastAsia="zh-CN"/>
                    </w:rPr>
                    <w:t>铝冶炼（3216）</w:t>
                  </w:r>
                </w:p>
              </w:tc>
            </w:tr>
            <w:tr w14:paraId="440A020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58C3A5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734E64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36C3B19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电解铝，不包括再生铝</w:t>
                  </w:r>
                </w:p>
              </w:tc>
              <w:tc>
                <w:tcPr>
                  <w:tcW w:w="2440" w:type="dxa"/>
                  <w:tcBorders>
                    <w:tl2br w:val="nil"/>
                    <w:tr2bl w:val="nil"/>
                  </w:tcBorders>
                  <w:vAlign w:val="center"/>
                </w:tcPr>
                <w:p w14:paraId="73CF4B1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2"/>
                      <w:sz w:val="21"/>
                      <w:szCs w:val="21"/>
                    </w:rPr>
                    <w:t>电解槽</w:t>
                  </w:r>
                </w:p>
              </w:tc>
              <w:tc>
                <w:tcPr>
                  <w:tcW w:w="1874" w:type="dxa"/>
                  <w:vMerge w:val="continue"/>
                  <w:tcBorders>
                    <w:tl2br w:val="nil"/>
                    <w:tr2bl w:val="nil"/>
                  </w:tcBorders>
                  <w:vAlign w:val="center"/>
                </w:tcPr>
                <w:p w14:paraId="59AF33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r>
            <w:tr w14:paraId="552F3E2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194B79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4D475C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19D4EB2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阴极铜、阳极铜、粗铜、电解铜</w:t>
                  </w:r>
                </w:p>
              </w:tc>
              <w:tc>
                <w:tcPr>
                  <w:tcW w:w="2440" w:type="dxa"/>
                  <w:tcBorders>
                    <w:tl2br w:val="nil"/>
                    <w:tr2bl w:val="nil"/>
                  </w:tcBorders>
                  <w:vAlign w:val="center"/>
                </w:tcPr>
                <w:p w14:paraId="20BF9E0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2"/>
                      <w:sz w:val="21"/>
                      <w:szCs w:val="21"/>
                    </w:rPr>
                    <w:t>电解槽</w:t>
                  </w:r>
                </w:p>
              </w:tc>
              <w:tc>
                <w:tcPr>
                  <w:tcW w:w="1874" w:type="dxa"/>
                  <w:tcBorders>
                    <w:tl2br w:val="nil"/>
                    <w:tr2bl w:val="nil"/>
                  </w:tcBorders>
                  <w:vAlign w:val="center"/>
                </w:tcPr>
                <w:p w14:paraId="2DA04C8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铜冶炼（</w:t>
                  </w:r>
                  <w:r>
                    <w:rPr>
                      <w:rFonts w:ascii="Times New Roman" w:hAnsi="Times New Roman" w:eastAsia="Times New Roman" w:cs="Times New Roman"/>
                      <w:color w:val="auto"/>
                      <w:spacing w:val="5"/>
                      <w:sz w:val="21"/>
                      <w:szCs w:val="21"/>
                    </w:rPr>
                    <w:t>3211</w:t>
                  </w:r>
                  <w:r>
                    <w:rPr>
                      <w:color w:val="auto"/>
                      <w:spacing w:val="5"/>
                      <w:sz w:val="21"/>
                      <w:szCs w:val="21"/>
                    </w:rPr>
                    <w:t>）</w:t>
                  </w:r>
                </w:p>
              </w:tc>
            </w:tr>
            <w:tr w14:paraId="5FCB181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746610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01D411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tcBorders>
                    <w:tl2br w:val="nil"/>
                    <w:tr2bl w:val="nil"/>
                  </w:tcBorders>
                  <w:vAlign w:val="center"/>
                </w:tcPr>
                <w:p w14:paraId="6FF45E4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粗铅、电解铅、粗锌、电解锌</w:t>
                  </w:r>
                </w:p>
              </w:tc>
              <w:tc>
                <w:tcPr>
                  <w:tcW w:w="2440" w:type="dxa"/>
                  <w:tcBorders>
                    <w:tl2br w:val="nil"/>
                    <w:tr2bl w:val="nil"/>
                  </w:tcBorders>
                  <w:vAlign w:val="center"/>
                </w:tcPr>
                <w:p w14:paraId="5326A7C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2"/>
                      <w:sz w:val="21"/>
                      <w:szCs w:val="21"/>
                    </w:rPr>
                    <w:t>电解槽</w:t>
                  </w:r>
                </w:p>
              </w:tc>
              <w:tc>
                <w:tcPr>
                  <w:tcW w:w="1874" w:type="dxa"/>
                  <w:tcBorders>
                    <w:tl2br w:val="nil"/>
                    <w:tr2bl w:val="nil"/>
                  </w:tcBorders>
                  <w:vAlign w:val="center"/>
                </w:tcPr>
                <w:p w14:paraId="29F724B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铅锌冶炼（</w:t>
                  </w:r>
                  <w:r>
                    <w:rPr>
                      <w:rFonts w:ascii="Times New Roman" w:hAnsi="Times New Roman" w:eastAsia="Times New Roman" w:cs="Times New Roman"/>
                      <w:color w:val="auto"/>
                      <w:spacing w:val="6"/>
                      <w:sz w:val="21"/>
                      <w:szCs w:val="21"/>
                    </w:rPr>
                    <w:t>3212</w:t>
                  </w:r>
                  <w:r>
                    <w:rPr>
                      <w:color w:val="auto"/>
                      <w:spacing w:val="6"/>
                      <w:sz w:val="21"/>
                      <w:szCs w:val="21"/>
                    </w:rPr>
                    <w:t>）</w:t>
                  </w:r>
                </w:p>
              </w:tc>
            </w:tr>
            <w:tr w14:paraId="0F87006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restart"/>
                  <w:tcBorders>
                    <w:tl2br w:val="nil"/>
                    <w:tr2bl w:val="nil"/>
                  </w:tcBorders>
                  <w:vAlign w:val="center"/>
                </w:tcPr>
                <w:p w14:paraId="698A75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8"/>
                      <w:sz w:val="21"/>
                      <w:szCs w:val="21"/>
                    </w:rPr>
                    <w:t>14</w:t>
                  </w:r>
                </w:p>
              </w:tc>
              <w:tc>
                <w:tcPr>
                  <w:tcW w:w="1010" w:type="dxa"/>
                  <w:vMerge w:val="restart"/>
                  <w:tcBorders>
                    <w:tl2br w:val="nil"/>
                    <w:tr2bl w:val="nil"/>
                  </w:tcBorders>
                  <w:vAlign w:val="center"/>
                </w:tcPr>
                <w:p w14:paraId="5F23A03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煤电</w:t>
                  </w:r>
                </w:p>
              </w:tc>
              <w:tc>
                <w:tcPr>
                  <w:tcW w:w="3253" w:type="dxa"/>
                  <w:tcBorders>
                    <w:tl2br w:val="nil"/>
                    <w:tr2bl w:val="nil"/>
                  </w:tcBorders>
                  <w:vAlign w:val="center"/>
                </w:tcPr>
                <w:p w14:paraId="7C645F3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z w:val="21"/>
                      <w:szCs w:val="21"/>
                    </w:rPr>
                    <w:t>电力（燃煤发电，包含煤矸石发电）</w:t>
                  </w:r>
                </w:p>
              </w:tc>
              <w:tc>
                <w:tcPr>
                  <w:tcW w:w="2440" w:type="dxa"/>
                  <w:tcBorders>
                    <w:tl2br w:val="nil"/>
                    <w:tr2bl w:val="nil"/>
                  </w:tcBorders>
                  <w:vAlign w:val="center"/>
                </w:tcPr>
                <w:p w14:paraId="523F53F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抽凝、纯凝机组</w:t>
                  </w:r>
                </w:p>
              </w:tc>
              <w:tc>
                <w:tcPr>
                  <w:tcW w:w="1874" w:type="dxa"/>
                  <w:tcBorders>
                    <w:tl2br w:val="nil"/>
                    <w:tr2bl w:val="nil"/>
                  </w:tcBorders>
                  <w:vAlign w:val="center"/>
                </w:tcPr>
                <w:p w14:paraId="7BBE39C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火力发电（</w:t>
                  </w:r>
                  <w:r>
                    <w:rPr>
                      <w:rFonts w:ascii="Times New Roman" w:hAnsi="Times New Roman" w:eastAsia="Times New Roman" w:cs="Times New Roman"/>
                      <w:color w:val="auto"/>
                      <w:spacing w:val="6"/>
                      <w:sz w:val="21"/>
                      <w:szCs w:val="21"/>
                    </w:rPr>
                    <w:t>4411</w:t>
                  </w:r>
                  <w:r>
                    <w:rPr>
                      <w:color w:val="auto"/>
                      <w:spacing w:val="6"/>
                      <w:sz w:val="21"/>
                      <w:szCs w:val="21"/>
                    </w:rPr>
                    <w:t>）</w:t>
                  </w:r>
                </w:p>
              </w:tc>
            </w:tr>
            <w:tr w14:paraId="5FA5BAE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488D62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336E6A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vMerge w:val="restart"/>
                  <w:tcBorders>
                    <w:tl2br w:val="nil"/>
                    <w:tr2bl w:val="nil"/>
                  </w:tcBorders>
                  <w:vAlign w:val="center"/>
                </w:tcPr>
                <w:p w14:paraId="0383CE7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电力和热力（热电联产）</w:t>
                  </w:r>
                </w:p>
              </w:tc>
              <w:tc>
                <w:tcPr>
                  <w:tcW w:w="2440" w:type="dxa"/>
                  <w:tcBorders>
                    <w:tl2br w:val="nil"/>
                    <w:tr2bl w:val="nil"/>
                  </w:tcBorders>
                  <w:vAlign w:val="center"/>
                </w:tcPr>
                <w:p w14:paraId="3885B49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抽凝机组</w:t>
                  </w:r>
                </w:p>
              </w:tc>
              <w:tc>
                <w:tcPr>
                  <w:tcW w:w="1874" w:type="dxa"/>
                  <w:vMerge w:val="restart"/>
                  <w:tcBorders>
                    <w:tl2br w:val="nil"/>
                    <w:tr2bl w:val="nil"/>
                  </w:tcBorders>
                  <w:vAlign w:val="center"/>
                </w:tcPr>
                <w:p w14:paraId="79910C5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热电联产（</w:t>
                  </w:r>
                  <w:r>
                    <w:rPr>
                      <w:rFonts w:ascii="Times New Roman" w:hAnsi="Times New Roman" w:eastAsia="Times New Roman" w:cs="Times New Roman"/>
                      <w:color w:val="auto"/>
                      <w:spacing w:val="5"/>
                      <w:sz w:val="21"/>
                      <w:szCs w:val="21"/>
                    </w:rPr>
                    <w:t>4412</w:t>
                  </w:r>
                  <w:r>
                    <w:rPr>
                      <w:color w:val="auto"/>
                      <w:spacing w:val="5"/>
                      <w:sz w:val="21"/>
                      <w:szCs w:val="21"/>
                    </w:rPr>
                    <w:t>）</w:t>
                  </w:r>
                </w:p>
              </w:tc>
            </w:tr>
            <w:tr w14:paraId="334F5DB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94" w:type="dxa"/>
                  <w:vMerge w:val="continue"/>
                  <w:tcBorders>
                    <w:tl2br w:val="nil"/>
                    <w:tr2bl w:val="nil"/>
                  </w:tcBorders>
                  <w:vAlign w:val="center"/>
                </w:tcPr>
                <w:p w14:paraId="0E1A92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010" w:type="dxa"/>
                  <w:vMerge w:val="continue"/>
                  <w:tcBorders>
                    <w:tl2br w:val="nil"/>
                    <w:tr2bl w:val="nil"/>
                  </w:tcBorders>
                  <w:vAlign w:val="center"/>
                </w:tcPr>
                <w:p w14:paraId="374700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253" w:type="dxa"/>
                  <w:vMerge w:val="continue"/>
                  <w:tcBorders>
                    <w:tl2br w:val="nil"/>
                    <w:tr2bl w:val="nil"/>
                  </w:tcBorders>
                  <w:vAlign w:val="center"/>
                </w:tcPr>
                <w:p w14:paraId="078C625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pacing w:val="5"/>
                      <w:sz w:val="21"/>
                      <w:szCs w:val="21"/>
                    </w:rPr>
                  </w:pPr>
                </w:p>
              </w:tc>
              <w:tc>
                <w:tcPr>
                  <w:tcW w:w="2440" w:type="dxa"/>
                  <w:tcBorders>
                    <w:tl2br w:val="nil"/>
                    <w:tr2bl w:val="nil"/>
                  </w:tcBorders>
                  <w:vAlign w:val="center"/>
                </w:tcPr>
                <w:p w14:paraId="0EC6D87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pacing w:val="7"/>
                      <w:sz w:val="21"/>
                      <w:szCs w:val="21"/>
                    </w:rPr>
                  </w:pPr>
                  <w:r>
                    <w:rPr>
                      <w:color w:val="auto"/>
                      <w:spacing w:val="6"/>
                      <w:sz w:val="21"/>
                      <w:szCs w:val="21"/>
                    </w:rPr>
                    <w:t>背压机组</w:t>
                  </w:r>
                </w:p>
              </w:tc>
              <w:tc>
                <w:tcPr>
                  <w:tcW w:w="1874" w:type="dxa"/>
                  <w:vMerge w:val="continue"/>
                  <w:tcBorders>
                    <w:tl2br w:val="nil"/>
                    <w:tr2bl w:val="nil"/>
                  </w:tcBorders>
                  <w:vAlign w:val="center"/>
                </w:tcPr>
                <w:p w14:paraId="42AE71D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pacing w:val="5"/>
                      <w:sz w:val="21"/>
                      <w:szCs w:val="21"/>
                    </w:rPr>
                  </w:pPr>
                </w:p>
              </w:tc>
            </w:tr>
          </w:tbl>
          <w:p w14:paraId="71C06E64">
            <w:pPr>
              <w:keepNext w:val="0"/>
              <w:keepLines w:val="0"/>
              <w:pageBreakBefore w:val="0"/>
              <w:widowControl/>
              <w:kinsoku w:val="0"/>
              <w:wordWrap/>
              <w:overflowPunct/>
              <w:topLinePunct w:val="0"/>
              <w:autoSpaceDE w:val="0"/>
              <w:autoSpaceDN w:val="0"/>
              <w:bidi w:val="0"/>
              <w:adjustRightInd w:val="0"/>
              <w:snapToGrid w:val="0"/>
              <w:ind w:firstLine="476" w:firstLineChars="200"/>
              <w:textAlignment w:val="baseline"/>
              <w:rPr>
                <w:rFonts w:hint="default" w:ascii="Times New Roman" w:hAnsi="Times New Roman" w:cs="Times New Roman"/>
                <w:color w:val="auto"/>
              </w:rPr>
            </w:pPr>
            <w:r>
              <w:rPr>
                <w:color w:val="auto"/>
                <w:spacing w:val="-1"/>
              </w:rPr>
              <w:t>本项目不在上述所列行业内，不属于</w:t>
            </w:r>
            <w:r>
              <w:rPr>
                <w:rFonts w:ascii="Times New Roman" w:hAnsi="Times New Roman" w:eastAsia="Times New Roman" w:cs="Times New Roman"/>
                <w:color w:val="auto"/>
                <w:spacing w:val="-1"/>
              </w:rPr>
              <w:t>“</w:t>
            </w:r>
            <w:r>
              <w:rPr>
                <w:color w:val="auto"/>
                <w:spacing w:val="-1"/>
              </w:rPr>
              <w:t>两高</w:t>
            </w:r>
            <w:r>
              <w:rPr>
                <w:rFonts w:ascii="Times New Roman" w:hAnsi="Times New Roman" w:eastAsia="Times New Roman" w:cs="Times New Roman"/>
                <w:color w:val="auto"/>
                <w:spacing w:val="-1"/>
              </w:rPr>
              <w:t>”</w:t>
            </w:r>
            <w:r>
              <w:rPr>
                <w:color w:val="auto"/>
                <w:spacing w:val="-1"/>
              </w:rPr>
              <w:t>项目</w:t>
            </w:r>
            <w:r>
              <w:rPr>
                <w:rFonts w:hint="default" w:ascii="Times New Roman" w:hAnsi="Times New Roman" w:cs="Times New Roman"/>
                <w:color w:val="auto"/>
              </w:rPr>
              <w:t>。</w:t>
            </w:r>
          </w:p>
          <w:p w14:paraId="35A65119">
            <w:pPr>
              <w:pStyle w:val="3"/>
              <w:keepNext w:val="0"/>
              <w:keepLines w:val="0"/>
              <w:pageBreakBefore w:val="0"/>
              <w:widowControl/>
              <w:numPr>
                <w:ilvl w:val="0"/>
                <w:numId w:val="0"/>
              </w:numPr>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snapToGrid w:val="0"/>
                <w:color w:val="auto"/>
                <w:kern w:val="0"/>
                <w:sz w:val="24"/>
                <w:szCs w:val="21"/>
                <w:lang w:val="en-US" w:eastAsia="zh-CN" w:bidi="ar-SA"/>
              </w:rPr>
            </w:pPr>
            <w:r>
              <w:rPr>
                <w:rFonts w:hint="default" w:ascii="Times New Roman" w:hAnsi="Times New Roman" w:cs="Times New Roman"/>
                <w:b/>
                <w:bCs/>
                <w:snapToGrid w:val="0"/>
                <w:color w:val="auto"/>
                <w:kern w:val="0"/>
                <w:sz w:val="24"/>
                <w:szCs w:val="21"/>
                <w:lang w:val="en-US" w:eastAsia="zh-CN" w:bidi="ar-SA"/>
              </w:rPr>
              <w:t>十、</w:t>
            </w:r>
            <w:r>
              <w:rPr>
                <w:rFonts w:hint="default" w:ascii="Times New Roman" w:hAnsi="Times New Roman" w:eastAsia="宋体" w:cs="Times New Roman"/>
                <w:b/>
                <w:bCs/>
                <w:snapToGrid w:val="0"/>
                <w:color w:val="auto"/>
                <w:kern w:val="0"/>
                <w:sz w:val="24"/>
                <w:szCs w:val="21"/>
                <w:lang w:val="en-US" w:eastAsia="zh-CN" w:bidi="ar-SA"/>
              </w:rPr>
              <w:t>与《铸造企业规范条件》(T/CFA0310021-2023)的符合性</w:t>
            </w:r>
          </w:p>
          <w:p w14:paraId="4E8B5E9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eastAsia" w:ascii="Times New Roman" w:hAnsi="Times New Roman" w:cs="Times New Roman"/>
                <w:b/>
                <w:bCs/>
                <w:color w:val="auto"/>
                <w:lang w:val="en-US" w:eastAsia="zh-CN"/>
              </w:rPr>
              <w:t xml:space="preserve">9 </w:t>
            </w:r>
            <w:r>
              <w:rPr>
                <w:rFonts w:hint="default" w:ascii="Times New Roman" w:hAnsi="Times New Roman" w:cs="Times New Roman"/>
                <w:b/>
                <w:bCs/>
                <w:color w:val="auto"/>
              </w:rPr>
              <w:t>与《铸造企业规范条件》符合性分析一览表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666"/>
              <w:gridCol w:w="4937"/>
              <w:gridCol w:w="3468"/>
            </w:tblGrid>
            <w:tr w14:paraId="50B9AB2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340" w:hRule="atLeast"/>
                <w:jc w:val="center"/>
              </w:trPr>
              <w:tc>
                <w:tcPr>
                  <w:tcW w:w="666" w:type="dxa"/>
                  <w:tcBorders>
                    <w:tl2br w:val="nil"/>
                    <w:tr2bl w:val="nil"/>
                  </w:tcBorders>
                  <w:vAlign w:val="center"/>
                </w:tcPr>
                <w:p w14:paraId="0944145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2"/>
                      <w:sz w:val="21"/>
                      <w:szCs w:val="21"/>
                    </w:rPr>
                    <w:t>分类</w:t>
                  </w:r>
                </w:p>
              </w:tc>
              <w:tc>
                <w:tcPr>
                  <w:tcW w:w="4937" w:type="dxa"/>
                  <w:tcBorders>
                    <w:tl2br w:val="nil"/>
                    <w:tr2bl w:val="nil"/>
                  </w:tcBorders>
                  <w:vAlign w:val="center"/>
                </w:tcPr>
                <w:p w14:paraId="78B0865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文件要求</w:t>
                  </w:r>
                </w:p>
              </w:tc>
              <w:tc>
                <w:tcPr>
                  <w:tcW w:w="3468" w:type="dxa"/>
                  <w:tcBorders>
                    <w:tl2br w:val="nil"/>
                    <w:tr2bl w:val="nil"/>
                  </w:tcBorders>
                  <w:vAlign w:val="center"/>
                </w:tcPr>
                <w:p w14:paraId="4CCB0FC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符合性分析</w:t>
                  </w:r>
                </w:p>
              </w:tc>
            </w:tr>
            <w:tr w14:paraId="01F5025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restart"/>
                  <w:tcBorders>
                    <w:tl2br w:val="nil"/>
                    <w:tr2bl w:val="nil"/>
                  </w:tcBorders>
                  <w:vAlign w:val="center"/>
                </w:tcPr>
                <w:p w14:paraId="1665A0B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建设条件</w:t>
                  </w:r>
                  <w:r>
                    <w:rPr>
                      <w:rFonts w:hint="default" w:ascii="Times New Roman" w:hAnsi="Times New Roman" w:cs="Times New Roman"/>
                      <w:color w:val="auto"/>
                      <w:spacing w:val="2"/>
                      <w:sz w:val="21"/>
                      <w:szCs w:val="21"/>
                    </w:rPr>
                    <w:t>与布</w:t>
                  </w:r>
                  <w:r>
                    <w:rPr>
                      <w:rFonts w:hint="default" w:ascii="Times New Roman" w:hAnsi="Times New Roman" w:cs="Times New Roman"/>
                      <w:color w:val="auto"/>
                      <w:sz w:val="21"/>
                      <w:szCs w:val="21"/>
                    </w:rPr>
                    <w:t>局</w:t>
                  </w:r>
                </w:p>
              </w:tc>
              <w:tc>
                <w:tcPr>
                  <w:tcW w:w="4937" w:type="dxa"/>
                  <w:tcBorders>
                    <w:tl2br w:val="nil"/>
                    <w:tr2bl w:val="nil"/>
                  </w:tcBorders>
                  <w:vAlign w:val="center"/>
                </w:tcPr>
                <w:p w14:paraId="05AFF3B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企业的布局及厂址的确定应符合国家相关法律法</w:t>
                  </w:r>
                  <w:r>
                    <w:rPr>
                      <w:rFonts w:hint="default" w:ascii="Times New Roman" w:hAnsi="Times New Roman" w:cs="Times New Roman"/>
                      <w:color w:val="auto"/>
                      <w:spacing w:val="7"/>
                      <w:sz w:val="21"/>
                      <w:szCs w:val="21"/>
                    </w:rPr>
                    <w:t>规、产业政策以及各地方装备制造业和铸造行业的</w:t>
                  </w:r>
                  <w:r>
                    <w:rPr>
                      <w:rFonts w:hint="default" w:ascii="Times New Roman" w:hAnsi="Times New Roman" w:cs="Times New Roman"/>
                      <w:color w:val="auto"/>
                      <w:spacing w:val="6"/>
                      <w:sz w:val="21"/>
                      <w:szCs w:val="21"/>
                    </w:rPr>
                    <w:t>总体规划要求。</w:t>
                  </w:r>
                </w:p>
              </w:tc>
              <w:tc>
                <w:tcPr>
                  <w:tcW w:w="3468" w:type="dxa"/>
                  <w:tcBorders>
                    <w:tl2br w:val="nil"/>
                    <w:tr2bl w:val="nil"/>
                  </w:tcBorders>
                  <w:vAlign w:val="center"/>
                </w:tcPr>
                <w:p w14:paraId="395F890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本项目已于山东省投资项目在线审批监管平台登记备案，备案文号2506-370302-89-02-741838</w:t>
                  </w:r>
                  <w:r>
                    <w:rPr>
                      <w:rFonts w:hint="default" w:ascii="Times New Roman" w:hAnsi="Times New Roman" w:cs="Times New Roman"/>
                      <w:color w:val="auto"/>
                      <w:spacing w:val="3"/>
                      <w:sz w:val="21"/>
                      <w:szCs w:val="21"/>
                    </w:rPr>
                    <w:t>，符合。</w:t>
                  </w:r>
                </w:p>
              </w:tc>
            </w:tr>
            <w:tr w14:paraId="74ACB17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continue"/>
                  <w:tcBorders>
                    <w:tl2br w:val="nil"/>
                    <w:tr2bl w:val="nil"/>
                  </w:tcBorders>
                  <w:vAlign w:val="center"/>
                </w:tcPr>
                <w:p w14:paraId="5A8FF6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937" w:type="dxa"/>
                  <w:tcBorders>
                    <w:tl2br w:val="nil"/>
                    <w:tr2bl w:val="nil"/>
                  </w:tcBorders>
                  <w:vAlign w:val="center"/>
                </w:tcPr>
                <w:p w14:paraId="425DFC9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企业生产场所应依法取得土地使用权并符合土地</w:t>
                  </w:r>
                  <w:r>
                    <w:rPr>
                      <w:rFonts w:hint="default" w:ascii="Times New Roman" w:hAnsi="Times New Roman" w:cs="Times New Roman"/>
                      <w:color w:val="auto"/>
                      <w:spacing w:val="5"/>
                      <w:sz w:val="21"/>
                      <w:szCs w:val="21"/>
                    </w:rPr>
                    <w:t>使用性质。</w:t>
                  </w:r>
                </w:p>
              </w:tc>
              <w:tc>
                <w:tcPr>
                  <w:tcW w:w="3468" w:type="dxa"/>
                  <w:tcBorders>
                    <w:tl2br w:val="nil"/>
                    <w:tr2bl w:val="nil"/>
                  </w:tcBorders>
                  <w:vAlign w:val="center"/>
                </w:tcPr>
                <w:p w14:paraId="4D1656E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项目为技改项目，利用厂区现有土</w:t>
                  </w:r>
                  <w:r>
                    <w:rPr>
                      <w:rFonts w:hint="default" w:ascii="Times New Roman" w:hAnsi="Times New Roman" w:cs="Times New Roman"/>
                      <w:color w:val="auto"/>
                      <w:spacing w:val="8"/>
                      <w:sz w:val="21"/>
                      <w:szCs w:val="21"/>
                    </w:rPr>
                    <w:t>地，用地类型为集体用地，符合。</w:t>
                  </w:r>
                </w:p>
              </w:tc>
            </w:tr>
            <w:tr w14:paraId="27C195B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restart"/>
                  <w:tcBorders>
                    <w:tl2br w:val="nil"/>
                    <w:tr2bl w:val="nil"/>
                  </w:tcBorders>
                  <w:vAlign w:val="center"/>
                </w:tcPr>
                <w:p w14:paraId="1351064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生产工艺</w:t>
                  </w:r>
                </w:p>
              </w:tc>
              <w:tc>
                <w:tcPr>
                  <w:tcW w:w="4937" w:type="dxa"/>
                  <w:tcBorders>
                    <w:tl2br w:val="nil"/>
                    <w:tr2bl w:val="nil"/>
                  </w:tcBorders>
                  <w:vAlign w:val="center"/>
                </w:tcPr>
                <w:p w14:paraId="5DB9DF2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企业应根据生产铸件的材质、品种、批量，合理选</w:t>
                  </w:r>
                  <w:r>
                    <w:rPr>
                      <w:rFonts w:hint="default" w:ascii="Times New Roman" w:hAnsi="Times New Roman" w:cs="Times New Roman"/>
                      <w:color w:val="auto"/>
                      <w:spacing w:val="1"/>
                      <w:sz w:val="21"/>
                      <w:szCs w:val="21"/>
                    </w:rPr>
                    <w:t>择低污染、低排放、低能耗、经济高效的铸造工艺。</w:t>
                  </w:r>
                </w:p>
              </w:tc>
              <w:tc>
                <w:tcPr>
                  <w:tcW w:w="3468" w:type="dxa"/>
                  <w:tcBorders>
                    <w:tl2br w:val="nil"/>
                    <w:tr2bl w:val="nil"/>
                  </w:tcBorders>
                  <w:vAlign w:val="center"/>
                </w:tcPr>
                <w:p w14:paraId="78FC81F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0"/>
                      <w:sz w:val="21"/>
                      <w:szCs w:val="21"/>
                    </w:rPr>
                    <w:t>本项目铸造工艺为</w:t>
                  </w:r>
                  <w:r>
                    <w:rPr>
                      <w:rFonts w:hint="eastAsia" w:ascii="Times New Roman" w:hAnsi="Times New Roman" w:cs="Times New Roman"/>
                      <w:color w:val="auto"/>
                      <w:spacing w:val="10"/>
                      <w:sz w:val="21"/>
                      <w:szCs w:val="21"/>
                      <w:lang w:val="en-US" w:eastAsia="zh-CN"/>
                    </w:rPr>
                    <w:t>砂型、</w:t>
                  </w:r>
                  <w:r>
                    <w:rPr>
                      <w:rFonts w:hint="default" w:ascii="Times New Roman" w:hAnsi="Times New Roman" w:cs="Times New Roman"/>
                      <w:color w:val="auto"/>
                      <w:spacing w:val="10"/>
                      <w:sz w:val="21"/>
                      <w:szCs w:val="21"/>
                    </w:rPr>
                    <w:t>消失模、</w:t>
                  </w:r>
                  <w:r>
                    <w:rPr>
                      <w:rFonts w:hint="default" w:ascii="Times New Roman" w:hAnsi="Times New Roman" w:cs="Times New Roman"/>
                      <w:color w:val="auto"/>
                      <w:spacing w:val="-1"/>
                      <w:sz w:val="21"/>
                      <w:szCs w:val="21"/>
                    </w:rPr>
                    <w:t>覆膜砂铸造工艺，均为成熟、</w:t>
                  </w:r>
                  <w:r>
                    <w:rPr>
                      <w:rFonts w:hint="default" w:ascii="Times New Roman" w:hAnsi="Times New Roman" w:cs="Times New Roman"/>
                      <w:color w:val="auto"/>
                      <w:spacing w:val="8"/>
                      <w:sz w:val="21"/>
                      <w:szCs w:val="21"/>
                    </w:rPr>
                    <w:t>经济高效工艺，符合。</w:t>
                  </w:r>
                </w:p>
              </w:tc>
            </w:tr>
            <w:tr w14:paraId="0A5C907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continue"/>
                  <w:tcBorders>
                    <w:tl2br w:val="nil"/>
                    <w:tr2bl w:val="nil"/>
                  </w:tcBorders>
                  <w:vAlign w:val="center"/>
                </w:tcPr>
                <w:p w14:paraId="6EFDF3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937" w:type="dxa"/>
                  <w:tcBorders>
                    <w:tl2br w:val="nil"/>
                    <w:tr2bl w:val="nil"/>
                  </w:tcBorders>
                  <w:vAlign w:val="center"/>
                </w:tcPr>
                <w:p w14:paraId="680C59C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企业不应使用国家明令淘汰的生产工艺。不应采用</w:t>
                  </w:r>
                  <w:r>
                    <w:rPr>
                      <w:rFonts w:hint="default" w:ascii="Times New Roman" w:hAnsi="Times New Roman" w:cs="Times New Roman"/>
                      <w:color w:val="auto"/>
                      <w:spacing w:val="8"/>
                      <w:sz w:val="21"/>
                      <w:szCs w:val="21"/>
                    </w:rPr>
                    <w:t>粘土砂干型</w:t>
                  </w:r>
                  <w:r>
                    <w:rPr>
                      <w:rFonts w:hint="default" w:ascii="Times New Roman" w:hAnsi="Times New Roman" w:eastAsia="Times New Roman" w:cs="Times New Roman"/>
                      <w:color w:val="auto"/>
                      <w:spacing w:val="8"/>
                      <w:sz w:val="21"/>
                      <w:szCs w:val="21"/>
                    </w:rPr>
                    <w:t>/</w:t>
                  </w:r>
                  <w:r>
                    <w:rPr>
                      <w:rFonts w:hint="default" w:ascii="Times New Roman" w:hAnsi="Times New Roman" w:cs="Times New Roman"/>
                      <w:color w:val="auto"/>
                      <w:spacing w:val="8"/>
                      <w:sz w:val="21"/>
                      <w:szCs w:val="21"/>
                    </w:rPr>
                    <w:t>芯、油砂制芯、七〇砂制型</w:t>
                  </w:r>
                  <w:r>
                    <w:rPr>
                      <w:rFonts w:hint="default" w:ascii="Times New Roman" w:hAnsi="Times New Roman" w:eastAsia="Times New Roman" w:cs="Times New Roman"/>
                      <w:color w:val="auto"/>
                      <w:spacing w:val="8"/>
                      <w:sz w:val="21"/>
                      <w:szCs w:val="21"/>
                    </w:rPr>
                    <w:t>/</w:t>
                  </w:r>
                  <w:r>
                    <w:rPr>
                      <w:rFonts w:hint="default" w:ascii="Times New Roman" w:hAnsi="Times New Roman" w:cs="Times New Roman"/>
                      <w:color w:val="auto"/>
                      <w:spacing w:val="8"/>
                      <w:sz w:val="21"/>
                      <w:szCs w:val="21"/>
                    </w:rPr>
                    <w:t>芯等落后</w:t>
                  </w:r>
                  <w:r>
                    <w:rPr>
                      <w:rFonts w:hint="default" w:ascii="Times New Roman" w:hAnsi="Times New Roman" w:cs="Times New Roman"/>
                      <w:color w:val="auto"/>
                      <w:spacing w:val="7"/>
                      <w:sz w:val="21"/>
                      <w:szCs w:val="21"/>
                    </w:rPr>
                    <w:t>铸造工艺；粘土砂批量铸件生产企业不应采用手工造型；水玻璃熔模精密铸造企业模壳硬化不应采用氯化铵硬化工艺；铝合金、锌合金等有色金属熔炼</w:t>
                  </w:r>
                  <w:r>
                    <w:rPr>
                      <w:rFonts w:hint="default" w:ascii="Times New Roman" w:hAnsi="Times New Roman" w:cs="Times New Roman"/>
                      <w:color w:val="auto"/>
                      <w:spacing w:val="8"/>
                      <w:sz w:val="21"/>
                      <w:szCs w:val="21"/>
                    </w:rPr>
                    <w:t>不应采用六氯乙烷等有毒有害的精炼剂。</w:t>
                  </w:r>
                </w:p>
              </w:tc>
              <w:tc>
                <w:tcPr>
                  <w:tcW w:w="3468" w:type="dxa"/>
                  <w:tcBorders>
                    <w:tl2br w:val="nil"/>
                    <w:tr2bl w:val="nil"/>
                  </w:tcBorders>
                  <w:vAlign w:val="center"/>
                </w:tcPr>
                <w:p w14:paraId="3C5BA7C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本项目未使用国家明令淘汰的生产</w:t>
                  </w:r>
                  <w:r>
                    <w:rPr>
                      <w:rFonts w:hint="default" w:ascii="Times New Roman" w:hAnsi="Times New Roman" w:cs="Times New Roman"/>
                      <w:color w:val="auto"/>
                      <w:spacing w:val="6"/>
                      <w:sz w:val="21"/>
                      <w:szCs w:val="21"/>
                    </w:rPr>
                    <w:t>工艺，符合。</w:t>
                  </w:r>
                </w:p>
              </w:tc>
            </w:tr>
            <w:tr w14:paraId="2E5AF27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continue"/>
                  <w:tcBorders>
                    <w:tl2br w:val="nil"/>
                    <w:tr2bl w:val="nil"/>
                  </w:tcBorders>
                  <w:vAlign w:val="center"/>
                </w:tcPr>
                <w:p w14:paraId="210464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937" w:type="dxa"/>
                  <w:tcBorders>
                    <w:tl2br w:val="nil"/>
                    <w:tr2bl w:val="nil"/>
                  </w:tcBorders>
                  <w:vAlign w:val="center"/>
                </w:tcPr>
                <w:p w14:paraId="2555E3A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新（改、扩）建粘土砂型铸造项目应采用自动化造型；新（改、扩）建熔模精密铸造项目不应采用水玻璃熔模精密铸造工艺。</w:t>
                  </w:r>
                </w:p>
              </w:tc>
              <w:tc>
                <w:tcPr>
                  <w:tcW w:w="3468" w:type="dxa"/>
                  <w:tcBorders>
                    <w:tl2br w:val="nil"/>
                    <w:tr2bl w:val="nil"/>
                  </w:tcBorders>
                  <w:vAlign w:val="center"/>
                </w:tcPr>
                <w:p w14:paraId="2BDE8E8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本项目不涉及上述工艺。</w:t>
                  </w:r>
                </w:p>
              </w:tc>
            </w:tr>
            <w:tr w14:paraId="712B46C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restart"/>
                  <w:tcBorders>
                    <w:tl2br w:val="nil"/>
                    <w:tr2bl w:val="nil"/>
                  </w:tcBorders>
                  <w:vAlign w:val="center"/>
                </w:tcPr>
                <w:p w14:paraId="17048DC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生产</w:t>
                  </w:r>
                  <w:r>
                    <w:rPr>
                      <w:rFonts w:hint="default" w:ascii="Times New Roman" w:hAnsi="Times New Roman" w:cs="Times New Roman"/>
                      <w:color w:val="auto"/>
                      <w:spacing w:val="4"/>
                      <w:sz w:val="21"/>
                      <w:szCs w:val="21"/>
                    </w:rPr>
                    <w:t>装备</w:t>
                  </w:r>
                </w:p>
              </w:tc>
              <w:tc>
                <w:tcPr>
                  <w:tcW w:w="4937" w:type="dxa"/>
                  <w:tcBorders>
                    <w:tl2br w:val="nil"/>
                    <w:tr2bl w:val="nil"/>
                  </w:tcBorders>
                  <w:vAlign w:val="center"/>
                </w:tcPr>
                <w:p w14:paraId="1F07028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企业不应使用国家明令淘汰的生产装备，如：无芯</w:t>
                  </w:r>
                  <w:r>
                    <w:rPr>
                      <w:rFonts w:hint="default" w:ascii="Times New Roman" w:hAnsi="Times New Roman" w:cs="Times New Roman"/>
                      <w:color w:val="auto"/>
                      <w:spacing w:val="6"/>
                      <w:sz w:val="21"/>
                      <w:szCs w:val="21"/>
                    </w:rPr>
                    <w:t>工频感应电炉、</w:t>
                  </w:r>
                  <w:r>
                    <w:rPr>
                      <w:rFonts w:hint="default" w:ascii="Times New Roman" w:hAnsi="Times New Roman" w:eastAsia="Times New Roman" w:cs="Times New Roman"/>
                      <w:color w:val="auto"/>
                      <w:spacing w:val="6"/>
                      <w:sz w:val="21"/>
                      <w:szCs w:val="21"/>
                    </w:rPr>
                    <w:t>0.25</w:t>
                  </w:r>
                  <w:r>
                    <w:rPr>
                      <w:rFonts w:hint="default" w:ascii="Times New Roman" w:hAnsi="Times New Roman" w:cs="Times New Roman"/>
                      <w:color w:val="auto"/>
                      <w:spacing w:val="6"/>
                      <w:sz w:val="21"/>
                      <w:szCs w:val="21"/>
                    </w:rPr>
                    <w:t>吨及以上无磁轭的铝壳中频感</w:t>
                  </w:r>
                  <w:r>
                    <w:rPr>
                      <w:rFonts w:hint="default" w:ascii="Times New Roman" w:hAnsi="Times New Roman" w:cs="Times New Roman"/>
                      <w:color w:val="auto"/>
                      <w:spacing w:val="5"/>
                      <w:sz w:val="21"/>
                      <w:szCs w:val="21"/>
                    </w:rPr>
                    <w:t>应电炉等。</w:t>
                  </w:r>
                </w:p>
              </w:tc>
              <w:tc>
                <w:tcPr>
                  <w:tcW w:w="3468" w:type="dxa"/>
                  <w:tcBorders>
                    <w:tl2br w:val="nil"/>
                    <w:tr2bl w:val="nil"/>
                  </w:tcBorders>
                  <w:vAlign w:val="center"/>
                </w:tcPr>
                <w:p w14:paraId="25F8852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本项目未使用国家明令淘汰的生产</w:t>
                  </w:r>
                  <w:r>
                    <w:rPr>
                      <w:rFonts w:hint="default" w:ascii="Times New Roman" w:hAnsi="Times New Roman" w:cs="Times New Roman"/>
                      <w:color w:val="auto"/>
                      <w:spacing w:val="6"/>
                      <w:sz w:val="21"/>
                      <w:szCs w:val="21"/>
                    </w:rPr>
                    <w:t>设备，符合。</w:t>
                  </w:r>
                </w:p>
              </w:tc>
            </w:tr>
            <w:tr w14:paraId="1C0E5A7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continue"/>
                  <w:tcBorders>
                    <w:tl2br w:val="nil"/>
                    <w:tr2bl w:val="nil"/>
                  </w:tcBorders>
                  <w:vAlign w:val="center"/>
                </w:tcPr>
                <w:p w14:paraId="7979D1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937" w:type="dxa"/>
                  <w:tcBorders>
                    <w:tl2br w:val="nil"/>
                    <w:tr2bl w:val="nil"/>
                  </w:tcBorders>
                  <w:vAlign w:val="center"/>
                </w:tcPr>
                <w:p w14:paraId="214BE93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铸件生产企业采用冲天炉熔炼，其设备熔化率宜大</w:t>
                  </w:r>
                  <w:r>
                    <w:rPr>
                      <w:rFonts w:hint="default" w:ascii="Times New Roman" w:hAnsi="Times New Roman" w:cs="Times New Roman"/>
                      <w:color w:val="auto"/>
                      <w:spacing w:val="-1"/>
                      <w:sz w:val="21"/>
                      <w:szCs w:val="21"/>
                    </w:rPr>
                    <w:t>于</w:t>
                  </w:r>
                  <w:r>
                    <w:rPr>
                      <w:rFonts w:hint="default" w:ascii="Times New Roman" w:hAnsi="Times New Roman" w:eastAsia="Times New Roman" w:cs="Times New Roman"/>
                      <w:color w:val="auto"/>
                      <w:spacing w:val="-1"/>
                      <w:sz w:val="21"/>
                      <w:szCs w:val="21"/>
                    </w:rPr>
                    <w:t>10</w:t>
                  </w:r>
                  <w:r>
                    <w:rPr>
                      <w:rFonts w:hint="default" w:ascii="Times New Roman" w:hAnsi="Times New Roman" w:cs="Times New Roman"/>
                      <w:color w:val="auto"/>
                      <w:spacing w:val="-1"/>
                      <w:sz w:val="21"/>
                      <w:szCs w:val="21"/>
                    </w:rPr>
                    <w:t>吨</w:t>
                  </w:r>
                  <w:r>
                    <w:rPr>
                      <w:rFonts w:hint="default" w:ascii="Times New Roman" w:hAnsi="Times New Roman" w:eastAsia="Times New Roman" w:cs="Times New Roman"/>
                      <w:color w:val="auto"/>
                      <w:spacing w:val="-1"/>
                      <w:sz w:val="21"/>
                      <w:szCs w:val="21"/>
                    </w:rPr>
                    <w:t>/</w:t>
                  </w:r>
                  <w:r>
                    <w:rPr>
                      <w:rFonts w:hint="default" w:ascii="Times New Roman" w:hAnsi="Times New Roman" w:cs="Times New Roman"/>
                      <w:color w:val="auto"/>
                      <w:spacing w:val="-1"/>
                      <w:sz w:val="21"/>
                      <w:szCs w:val="21"/>
                    </w:rPr>
                    <w:t>小时。</w:t>
                  </w:r>
                </w:p>
              </w:tc>
              <w:tc>
                <w:tcPr>
                  <w:tcW w:w="3468" w:type="dxa"/>
                  <w:tcBorders>
                    <w:tl2br w:val="nil"/>
                    <w:tr2bl w:val="nil"/>
                  </w:tcBorders>
                  <w:vAlign w:val="center"/>
                </w:tcPr>
                <w:p w14:paraId="0DD1997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本项目不使用冲天炉，符合。</w:t>
                  </w:r>
                </w:p>
              </w:tc>
            </w:tr>
            <w:tr w14:paraId="00B492E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restart"/>
                  <w:tcBorders>
                    <w:tl2br w:val="nil"/>
                    <w:tr2bl w:val="nil"/>
                  </w:tcBorders>
                  <w:vAlign w:val="center"/>
                </w:tcPr>
                <w:p w14:paraId="298E2F5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质量</w:t>
                  </w:r>
                  <w:r>
                    <w:rPr>
                      <w:rFonts w:hint="default" w:ascii="Times New Roman" w:hAnsi="Times New Roman" w:cs="Times New Roman"/>
                      <w:color w:val="auto"/>
                      <w:spacing w:val="5"/>
                      <w:sz w:val="21"/>
                      <w:szCs w:val="21"/>
                    </w:rPr>
                    <w:t>控制</w:t>
                  </w:r>
                </w:p>
              </w:tc>
              <w:tc>
                <w:tcPr>
                  <w:tcW w:w="4937" w:type="dxa"/>
                  <w:tcBorders>
                    <w:tl2br w:val="nil"/>
                    <w:tr2bl w:val="nil"/>
                  </w:tcBorders>
                  <w:vAlign w:val="center"/>
                </w:tcPr>
                <w:p w14:paraId="1554C4A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企业应按照</w:t>
                  </w:r>
                  <w:r>
                    <w:rPr>
                      <w:rFonts w:hint="default" w:ascii="Times New Roman" w:hAnsi="Times New Roman" w:eastAsia="Times New Roman" w:cs="Times New Roman"/>
                      <w:color w:val="auto"/>
                      <w:spacing w:val="-1"/>
                      <w:sz w:val="21"/>
                      <w:szCs w:val="21"/>
                    </w:rPr>
                    <w:t>GB/T19001</w:t>
                  </w:r>
                  <w:r>
                    <w:rPr>
                      <w:rFonts w:hint="default" w:ascii="Times New Roman" w:hAnsi="Times New Roman" w:cs="Times New Roman"/>
                      <w:color w:val="auto"/>
                      <w:spacing w:val="-1"/>
                      <w:sz w:val="21"/>
                      <w:szCs w:val="21"/>
                    </w:rPr>
                    <w:t>（或</w:t>
                  </w:r>
                  <w:r>
                    <w:rPr>
                      <w:rFonts w:hint="default" w:ascii="Times New Roman" w:hAnsi="Times New Roman" w:eastAsia="Times New Roman" w:cs="Times New Roman"/>
                      <w:color w:val="auto"/>
                      <w:spacing w:val="-1"/>
                      <w:sz w:val="21"/>
                      <w:szCs w:val="21"/>
                    </w:rPr>
                    <w:t>IATF16949</w:t>
                  </w:r>
                  <w:r>
                    <w:rPr>
                      <w:rFonts w:hint="default" w:ascii="Times New Roman" w:hAnsi="Times New Roman" w:cs="Times New Roman"/>
                      <w:color w:val="auto"/>
                      <w:spacing w:val="-1"/>
                      <w:sz w:val="21"/>
                      <w:szCs w:val="21"/>
                    </w:rPr>
                    <w:t>、</w:t>
                  </w:r>
                  <w:r>
                    <w:rPr>
                      <w:rFonts w:hint="default" w:ascii="Times New Roman" w:hAnsi="Times New Roman" w:eastAsia="Times New Roman" w:cs="Times New Roman"/>
                      <w:color w:val="auto"/>
                      <w:spacing w:val="-1"/>
                      <w:sz w:val="21"/>
                      <w:szCs w:val="21"/>
                    </w:rPr>
                    <w:t>GJB9001B</w:t>
                  </w:r>
                  <w:r>
                    <w:rPr>
                      <w:rFonts w:hint="default" w:ascii="Times New Roman" w:hAnsi="Times New Roman" w:cs="Times New Roman"/>
                      <w:color w:val="auto"/>
                      <w:spacing w:val="-1"/>
                      <w:sz w:val="21"/>
                      <w:szCs w:val="21"/>
                    </w:rPr>
                    <w:t>）</w:t>
                  </w:r>
                  <w:r>
                    <w:rPr>
                      <w:rFonts w:hint="default" w:ascii="Times New Roman" w:hAnsi="Times New Roman" w:cs="Times New Roman"/>
                      <w:color w:val="auto"/>
                      <w:spacing w:val="7"/>
                      <w:sz w:val="21"/>
                      <w:szCs w:val="21"/>
                    </w:rPr>
                    <w:t>等标准要求建立质量管理体系、通过认证并持续有</w:t>
                  </w:r>
                  <w:r>
                    <w:rPr>
                      <w:rFonts w:hint="default" w:ascii="Times New Roman" w:hAnsi="Times New Roman" w:cs="Times New Roman"/>
                      <w:color w:val="auto"/>
                      <w:spacing w:val="3"/>
                      <w:sz w:val="21"/>
                      <w:szCs w:val="21"/>
                    </w:rPr>
                    <w:t>效运行，有条件的企业可按照</w:t>
                  </w:r>
                  <w:r>
                    <w:rPr>
                      <w:rFonts w:hint="default" w:ascii="Times New Roman" w:hAnsi="Times New Roman" w:eastAsia="Times New Roman" w:cs="Times New Roman"/>
                      <w:color w:val="auto"/>
                      <w:spacing w:val="3"/>
                      <w:sz w:val="21"/>
                      <w:szCs w:val="21"/>
                    </w:rPr>
                    <w:t>T/</w:t>
                  </w:r>
                  <w:r>
                    <w:rPr>
                      <w:rFonts w:hint="default" w:ascii="Times New Roman" w:hAnsi="Times New Roman" w:eastAsia="Times New Roman" w:cs="Times New Roman"/>
                      <w:color w:val="auto"/>
                      <w:sz w:val="21"/>
                      <w:szCs w:val="21"/>
                    </w:rPr>
                    <w:t>CFA</w:t>
                  </w:r>
                  <w:r>
                    <w:rPr>
                      <w:rFonts w:hint="default" w:ascii="Times New Roman" w:hAnsi="Times New Roman" w:eastAsia="Times New Roman" w:cs="Times New Roman"/>
                      <w:color w:val="auto"/>
                      <w:spacing w:val="3"/>
                      <w:sz w:val="21"/>
                      <w:szCs w:val="21"/>
                    </w:rPr>
                    <w:t>0303.1</w:t>
                  </w:r>
                  <w:r>
                    <w:rPr>
                      <w:rFonts w:hint="default" w:ascii="Times New Roman" w:hAnsi="Times New Roman" w:cs="Times New Roman"/>
                      <w:color w:val="auto"/>
                      <w:spacing w:val="3"/>
                      <w:sz w:val="21"/>
                      <w:szCs w:val="21"/>
                    </w:rPr>
                    <w:t>的标准</w:t>
                  </w:r>
                  <w:r>
                    <w:rPr>
                      <w:rFonts w:hint="default" w:ascii="Times New Roman" w:hAnsi="Times New Roman" w:cs="Times New Roman"/>
                      <w:color w:val="auto"/>
                      <w:spacing w:val="9"/>
                      <w:sz w:val="21"/>
                      <w:szCs w:val="21"/>
                    </w:rPr>
                    <w:t>要求开展铸造行业的质量管理体系升级版认</w:t>
                  </w:r>
                  <w:r>
                    <w:rPr>
                      <w:rFonts w:hint="default" w:ascii="Times New Roman" w:hAnsi="Times New Roman" w:cs="Times New Roman"/>
                      <w:color w:val="auto"/>
                      <w:spacing w:val="8"/>
                      <w:sz w:val="21"/>
                      <w:szCs w:val="21"/>
                    </w:rPr>
                    <w:t>证。</w:t>
                  </w:r>
                </w:p>
              </w:tc>
              <w:tc>
                <w:tcPr>
                  <w:tcW w:w="3468" w:type="dxa"/>
                  <w:tcBorders>
                    <w:tl2br w:val="nil"/>
                    <w:tr2bl w:val="nil"/>
                  </w:tcBorders>
                  <w:vAlign w:val="center"/>
                </w:tcPr>
                <w:p w14:paraId="010D060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企业按照</w:t>
                  </w:r>
                  <w:r>
                    <w:rPr>
                      <w:rFonts w:hint="default" w:ascii="Times New Roman" w:hAnsi="Times New Roman" w:eastAsia="Times New Roman" w:cs="Times New Roman"/>
                      <w:color w:val="auto"/>
                      <w:sz w:val="21"/>
                      <w:szCs w:val="21"/>
                    </w:rPr>
                    <w:t>GB/T19001</w:t>
                  </w:r>
                  <w:r>
                    <w:rPr>
                      <w:rFonts w:hint="default" w:ascii="Times New Roman" w:hAnsi="Times New Roman" w:cs="Times New Roman"/>
                      <w:color w:val="auto"/>
                      <w:sz w:val="21"/>
                      <w:szCs w:val="21"/>
                    </w:rPr>
                    <w:t>（或</w:t>
                  </w:r>
                  <w:r>
                    <w:rPr>
                      <w:rFonts w:hint="default" w:ascii="Times New Roman" w:hAnsi="Times New Roman" w:eastAsia="Times New Roman" w:cs="Times New Roman"/>
                      <w:color w:val="auto"/>
                      <w:sz w:val="21"/>
                      <w:szCs w:val="21"/>
                    </w:rPr>
                    <w:t>IATF1694</w:t>
                  </w:r>
                  <w:r>
                    <w:rPr>
                      <w:rFonts w:hint="default" w:ascii="Times New Roman" w:hAnsi="Times New Roman" w:eastAsia="Times New Roman" w:cs="Times New Roman"/>
                      <w:color w:val="auto"/>
                      <w:spacing w:val="-1"/>
                      <w:sz w:val="21"/>
                      <w:szCs w:val="21"/>
                    </w:rPr>
                    <w:t>9</w:t>
                  </w:r>
                  <w:r>
                    <w:rPr>
                      <w:rFonts w:hint="default" w:ascii="Times New Roman" w:hAnsi="Times New Roman" w:cs="Times New Roman"/>
                      <w:color w:val="auto"/>
                      <w:spacing w:val="-1"/>
                      <w:sz w:val="21"/>
                      <w:szCs w:val="21"/>
                    </w:rPr>
                    <w:t>、</w:t>
                  </w:r>
                  <w:r>
                    <w:rPr>
                      <w:rFonts w:hint="default" w:ascii="Times New Roman" w:hAnsi="Times New Roman" w:eastAsia="Times New Roman" w:cs="Times New Roman"/>
                      <w:color w:val="auto"/>
                      <w:sz w:val="21"/>
                      <w:szCs w:val="21"/>
                    </w:rPr>
                    <w:t>GJB</w:t>
                  </w:r>
                  <w:r>
                    <w:rPr>
                      <w:rFonts w:hint="default" w:ascii="Times New Roman" w:hAnsi="Times New Roman" w:eastAsia="Times New Roman" w:cs="Times New Roman"/>
                      <w:color w:val="auto"/>
                      <w:spacing w:val="9"/>
                      <w:sz w:val="21"/>
                      <w:szCs w:val="21"/>
                    </w:rPr>
                    <w:t>9001B</w:t>
                  </w:r>
                  <w:r>
                    <w:rPr>
                      <w:rFonts w:hint="default" w:ascii="Times New Roman" w:hAnsi="Times New Roman" w:cs="Times New Roman"/>
                      <w:color w:val="auto"/>
                      <w:spacing w:val="9"/>
                      <w:sz w:val="21"/>
                      <w:szCs w:val="21"/>
                    </w:rPr>
                    <w:t>）等标准要求建立质量管</w:t>
                  </w:r>
                  <w:r>
                    <w:rPr>
                      <w:rFonts w:hint="default" w:ascii="Times New Roman" w:hAnsi="Times New Roman" w:cs="Times New Roman"/>
                      <w:color w:val="auto"/>
                      <w:spacing w:val="7"/>
                      <w:sz w:val="21"/>
                      <w:szCs w:val="21"/>
                    </w:rPr>
                    <w:t>理体系，符合。</w:t>
                  </w:r>
                </w:p>
              </w:tc>
            </w:tr>
            <w:tr w14:paraId="6673CF7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continue"/>
                  <w:tcBorders>
                    <w:tl2br w:val="nil"/>
                    <w:tr2bl w:val="nil"/>
                  </w:tcBorders>
                  <w:vAlign w:val="center"/>
                </w:tcPr>
                <w:p w14:paraId="758E6A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937" w:type="dxa"/>
                  <w:tcBorders>
                    <w:tl2br w:val="nil"/>
                    <w:tr2bl w:val="nil"/>
                  </w:tcBorders>
                  <w:vAlign w:val="center"/>
                </w:tcPr>
                <w:p w14:paraId="4D7FF50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企业应设有质量管理部门，配有专职质量监测人</w:t>
                  </w:r>
                  <w:r>
                    <w:rPr>
                      <w:rFonts w:hint="default" w:ascii="Times New Roman" w:hAnsi="Times New Roman" w:cs="Times New Roman"/>
                      <w:color w:val="auto"/>
                      <w:spacing w:val="8"/>
                      <w:sz w:val="21"/>
                      <w:szCs w:val="21"/>
                    </w:rPr>
                    <w:t>员，建立健全的质量管理制度并有效运行。</w:t>
                  </w:r>
                </w:p>
              </w:tc>
              <w:tc>
                <w:tcPr>
                  <w:tcW w:w="3468" w:type="dxa"/>
                  <w:tcBorders>
                    <w:tl2br w:val="nil"/>
                    <w:tr2bl w:val="nil"/>
                  </w:tcBorders>
                  <w:vAlign w:val="center"/>
                </w:tcPr>
                <w:p w14:paraId="6B8C7FE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企业有严格的质控流程。符合。</w:t>
                  </w:r>
                </w:p>
              </w:tc>
            </w:tr>
            <w:tr w14:paraId="1DDDBB0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66" w:type="dxa"/>
                  <w:vMerge w:val="continue"/>
                  <w:tcBorders>
                    <w:tl2br w:val="nil"/>
                    <w:tr2bl w:val="nil"/>
                  </w:tcBorders>
                  <w:vAlign w:val="center"/>
                </w:tcPr>
                <w:p w14:paraId="34C759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4937" w:type="dxa"/>
                  <w:tcBorders>
                    <w:tl2br w:val="nil"/>
                    <w:tr2bl w:val="nil"/>
                  </w:tcBorders>
                  <w:vAlign w:val="center"/>
                </w:tcPr>
                <w:p w14:paraId="4CB0D9B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铸件的外观质量（尺寸精度、表面粗糙度等）、内在质量（化学成分、金相组织等）及力学性能等指</w:t>
                  </w:r>
                  <w:r>
                    <w:rPr>
                      <w:rFonts w:hint="default" w:ascii="Times New Roman" w:hAnsi="Times New Roman" w:cs="Times New Roman"/>
                      <w:color w:val="auto"/>
                      <w:spacing w:val="8"/>
                      <w:sz w:val="21"/>
                      <w:szCs w:val="21"/>
                    </w:rPr>
                    <w:t>标应符合规定的技术要求。</w:t>
                  </w:r>
                </w:p>
              </w:tc>
              <w:tc>
                <w:tcPr>
                  <w:tcW w:w="3468" w:type="dxa"/>
                  <w:tcBorders>
                    <w:tl2br w:val="nil"/>
                    <w:tr2bl w:val="nil"/>
                  </w:tcBorders>
                  <w:vAlign w:val="center"/>
                </w:tcPr>
                <w:p w14:paraId="5E5B15B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项目产品质量符合相关要求。符合。</w:t>
                  </w:r>
                </w:p>
              </w:tc>
            </w:tr>
          </w:tbl>
          <w:p w14:paraId="1073F8B4">
            <w:pPr>
              <w:pStyle w:val="3"/>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en-US" w:bidi="ar-SA"/>
              </w:rPr>
              <w:t>综上所述，本项目符合</w:t>
            </w:r>
            <w:r>
              <w:rPr>
                <w:rFonts w:hint="default" w:ascii="Times New Roman" w:hAnsi="Times New Roman" w:eastAsia="宋体" w:cs="Times New Roman"/>
                <w:snapToGrid w:val="0"/>
                <w:color w:val="auto"/>
                <w:kern w:val="0"/>
                <w:sz w:val="24"/>
                <w:szCs w:val="21"/>
                <w:lang w:val="en-US" w:eastAsia="zh-CN" w:bidi="ar-SA"/>
              </w:rPr>
              <w:t>《铸造企业规范条件》(T/CFA0310021-2023)的各项要求。</w:t>
            </w:r>
          </w:p>
          <w:p w14:paraId="201E09E9">
            <w:pPr>
              <w:pStyle w:val="3"/>
              <w:keepNext w:val="0"/>
              <w:keepLines w:val="0"/>
              <w:pageBreakBefore w:val="0"/>
              <w:widowControl/>
              <w:numPr>
                <w:ilvl w:val="0"/>
                <w:numId w:val="0"/>
              </w:numPr>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snapToGrid w:val="0"/>
                <w:color w:val="auto"/>
                <w:kern w:val="0"/>
                <w:sz w:val="24"/>
                <w:szCs w:val="21"/>
                <w:lang w:val="en-US" w:eastAsia="zh-CN" w:bidi="ar-SA"/>
              </w:rPr>
            </w:pPr>
            <w:r>
              <w:rPr>
                <w:rFonts w:hint="default" w:ascii="Times New Roman" w:hAnsi="Times New Roman" w:cs="Times New Roman"/>
                <w:b/>
                <w:bCs/>
                <w:snapToGrid w:val="0"/>
                <w:color w:val="auto"/>
                <w:kern w:val="0"/>
                <w:sz w:val="24"/>
                <w:szCs w:val="21"/>
                <w:lang w:val="en-US" w:eastAsia="zh-CN" w:bidi="ar-SA"/>
              </w:rPr>
              <w:t>十一、</w:t>
            </w:r>
            <w:r>
              <w:rPr>
                <w:rFonts w:hint="default" w:ascii="Times New Roman" w:hAnsi="Times New Roman" w:eastAsia="宋体" w:cs="Times New Roman"/>
                <w:b/>
                <w:bCs/>
                <w:snapToGrid w:val="0"/>
                <w:color w:val="auto"/>
                <w:kern w:val="0"/>
                <w:sz w:val="24"/>
                <w:szCs w:val="21"/>
                <w:lang w:val="en-US" w:eastAsia="zh-CN" w:bidi="ar-SA"/>
              </w:rPr>
              <w:t>与</w:t>
            </w:r>
            <w:r>
              <w:rPr>
                <w:rFonts w:hint="eastAsia" w:ascii="Times New Roman" w:hAnsi="Times New Roman" w:cs="Times New Roman"/>
                <w:b/>
                <w:bCs/>
                <w:snapToGrid w:val="0"/>
                <w:color w:val="auto"/>
                <w:kern w:val="0"/>
                <w:sz w:val="24"/>
                <w:szCs w:val="21"/>
                <w:lang w:val="en-US" w:eastAsia="zh-CN" w:bidi="ar-SA"/>
              </w:rPr>
              <w:t>《</w:t>
            </w:r>
            <w:r>
              <w:rPr>
                <w:rFonts w:hint="default" w:ascii="Times New Roman" w:hAnsi="Times New Roman" w:eastAsia="宋体" w:cs="Times New Roman"/>
                <w:b/>
                <w:bCs/>
                <w:snapToGrid w:val="0"/>
                <w:color w:val="auto"/>
                <w:kern w:val="0"/>
                <w:sz w:val="24"/>
                <w:szCs w:val="21"/>
                <w:lang w:val="en-US" w:eastAsia="zh-CN" w:bidi="ar-SA"/>
              </w:rPr>
              <w:t>关于优化轮胎铸造项目管理有关事项的通知》(鲁发改工业</w:t>
            </w:r>
            <w:r>
              <w:rPr>
                <w:rFonts w:hint="eastAsia" w:ascii="Times New Roman" w:hAnsi="Times New Roman" w:cs="Times New Roman"/>
                <w:b/>
                <w:bCs/>
                <w:snapToGrid w:val="0"/>
                <w:color w:val="auto"/>
                <w:kern w:val="0"/>
                <w:sz w:val="24"/>
                <w:szCs w:val="21"/>
                <w:lang w:val="en-US" w:eastAsia="zh-CN" w:bidi="ar-SA"/>
              </w:rPr>
              <w:t>[2023]</w:t>
            </w:r>
            <w:r>
              <w:rPr>
                <w:rFonts w:hint="default" w:ascii="Times New Roman" w:hAnsi="Times New Roman" w:eastAsia="宋体" w:cs="Times New Roman"/>
                <w:b/>
                <w:bCs/>
                <w:snapToGrid w:val="0"/>
                <w:color w:val="auto"/>
                <w:kern w:val="0"/>
                <w:sz w:val="24"/>
                <w:szCs w:val="21"/>
                <w:lang w:val="en-US" w:eastAsia="zh-CN" w:bidi="ar-SA"/>
              </w:rPr>
              <w:t>649号</w:t>
            </w:r>
            <w:r>
              <w:rPr>
                <w:rFonts w:hint="default" w:ascii="Times New Roman" w:hAnsi="Times New Roman" w:cs="Times New Roman"/>
                <w:b/>
                <w:bCs/>
                <w:snapToGrid w:val="0"/>
                <w:color w:val="auto"/>
                <w:kern w:val="0"/>
                <w:sz w:val="24"/>
                <w:szCs w:val="21"/>
                <w:lang w:val="en-US" w:eastAsia="zh-CN" w:bidi="ar-SA"/>
              </w:rPr>
              <w:t>）</w:t>
            </w:r>
            <w:r>
              <w:rPr>
                <w:rFonts w:hint="default" w:ascii="Times New Roman" w:hAnsi="Times New Roman" w:eastAsia="宋体" w:cs="Times New Roman"/>
                <w:b/>
                <w:bCs/>
                <w:snapToGrid w:val="0"/>
                <w:color w:val="auto"/>
                <w:kern w:val="0"/>
                <w:sz w:val="24"/>
                <w:szCs w:val="21"/>
                <w:lang w:val="en-US" w:eastAsia="zh-CN" w:bidi="ar-SA"/>
              </w:rPr>
              <w:t>及《山东省“两高”行业能效改造提升标准(2023年版)》(淄发改发[2023]8号)的符合性</w:t>
            </w:r>
          </w:p>
          <w:p w14:paraId="034DD91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eastAsia" w:ascii="Times New Roman" w:hAnsi="Times New Roman" w:cs="Times New Roman"/>
                <w:b/>
                <w:bCs/>
                <w:color w:val="auto"/>
                <w:lang w:val="en-US" w:eastAsia="zh-CN"/>
              </w:rPr>
              <w:t xml:space="preserve">10 </w:t>
            </w:r>
            <w:r>
              <w:rPr>
                <w:rFonts w:hint="default" w:ascii="Times New Roman" w:hAnsi="Times New Roman" w:cs="Times New Roman"/>
                <w:b/>
                <w:bCs/>
                <w:color w:val="auto"/>
              </w:rPr>
              <w:t>与</w:t>
            </w:r>
            <w:r>
              <w:rPr>
                <w:rFonts w:hint="default" w:ascii="Times New Roman" w:hAnsi="Times New Roman" w:eastAsia="宋体" w:cs="Times New Roman"/>
                <w:b/>
                <w:bCs/>
                <w:snapToGrid w:val="0"/>
                <w:color w:val="auto"/>
                <w:kern w:val="0"/>
                <w:sz w:val="24"/>
                <w:szCs w:val="21"/>
                <w:lang w:val="en-US" w:eastAsia="zh-CN" w:bidi="ar-SA"/>
              </w:rPr>
              <w:t>鲁发改工业</w:t>
            </w:r>
            <w:r>
              <w:rPr>
                <w:rFonts w:hint="default" w:ascii="Times New Roman" w:hAnsi="Times New Roman" w:cs="Times New Roman"/>
                <w:b/>
                <w:bCs/>
                <w:snapToGrid w:val="0"/>
                <w:color w:val="auto"/>
                <w:kern w:val="0"/>
                <w:sz w:val="24"/>
                <w:szCs w:val="21"/>
                <w:lang w:val="en-US" w:eastAsia="zh-CN" w:bidi="ar-SA"/>
              </w:rPr>
              <w:t>[</w:t>
            </w:r>
            <w:r>
              <w:rPr>
                <w:rFonts w:hint="default" w:ascii="Times New Roman" w:hAnsi="Times New Roman" w:eastAsia="宋体" w:cs="Times New Roman"/>
                <w:b/>
                <w:bCs/>
                <w:snapToGrid w:val="0"/>
                <w:color w:val="auto"/>
                <w:kern w:val="0"/>
                <w:sz w:val="24"/>
                <w:szCs w:val="21"/>
                <w:lang w:val="en-US" w:eastAsia="zh-CN" w:bidi="ar-SA"/>
              </w:rPr>
              <w:t>2023</w:t>
            </w:r>
            <w:r>
              <w:rPr>
                <w:rFonts w:hint="default" w:ascii="Times New Roman" w:hAnsi="Times New Roman" w:cs="Times New Roman"/>
                <w:b/>
                <w:bCs/>
                <w:snapToGrid w:val="0"/>
                <w:color w:val="auto"/>
                <w:kern w:val="0"/>
                <w:sz w:val="24"/>
                <w:szCs w:val="21"/>
                <w:lang w:val="en-US" w:eastAsia="zh-CN" w:bidi="ar-SA"/>
              </w:rPr>
              <w:t>]</w:t>
            </w:r>
            <w:r>
              <w:rPr>
                <w:rFonts w:hint="default" w:ascii="Times New Roman" w:hAnsi="Times New Roman" w:eastAsia="宋体" w:cs="Times New Roman"/>
                <w:b/>
                <w:bCs/>
                <w:snapToGrid w:val="0"/>
                <w:color w:val="auto"/>
                <w:kern w:val="0"/>
                <w:sz w:val="24"/>
                <w:szCs w:val="21"/>
                <w:lang w:val="en-US" w:eastAsia="zh-CN" w:bidi="ar-SA"/>
              </w:rPr>
              <w:t>649号</w:t>
            </w:r>
            <w:r>
              <w:rPr>
                <w:rFonts w:hint="default" w:ascii="Times New Roman" w:hAnsi="Times New Roman" w:cs="Times New Roman"/>
                <w:b/>
                <w:bCs/>
                <w:snapToGrid w:val="0"/>
                <w:color w:val="auto"/>
                <w:kern w:val="0"/>
                <w:sz w:val="24"/>
                <w:szCs w:val="21"/>
                <w:lang w:val="en-US" w:eastAsia="zh-CN" w:bidi="ar-SA"/>
              </w:rPr>
              <w:t>及</w:t>
            </w:r>
            <w:r>
              <w:rPr>
                <w:rFonts w:hint="default" w:ascii="Times New Roman" w:hAnsi="Times New Roman" w:eastAsia="宋体" w:cs="Times New Roman"/>
                <w:b/>
                <w:bCs/>
                <w:snapToGrid w:val="0"/>
                <w:color w:val="auto"/>
                <w:kern w:val="0"/>
                <w:sz w:val="24"/>
                <w:szCs w:val="21"/>
                <w:lang w:val="en-US" w:eastAsia="zh-CN" w:bidi="ar-SA"/>
              </w:rPr>
              <w:t>淄发改发[2023]8号)</w:t>
            </w:r>
            <w:r>
              <w:rPr>
                <w:rFonts w:hint="default" w:ascii="Times New Roman" w:hAnsi="Times New Roman" w:cs="Times New Roman"/>
                <w:b/>
                <w:bCs/>
                <w:color w:val="auto"/>
              </w:rPr>
              <w:t>符合性分析一览表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6445"/>
              <w:gridCol w:w="1775"/>
              <w:gridCol w:w="851"/>
            </w:tblGrid>
            <w:tr w14:paraId="696BDF3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445" w:type="dxa"/>
                  <w:tcBorders>
                    <w:tl2br w:val="nil"/>
                    <w:tr2bl w:val="nil"/>
                  </w:tcBorders>
                  <w:vAlign w:val="center"/>
                </w:tcPr>
                <w:p w14:paraId="388933E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6"/>
                      <w:sz w:val="21"/>
                      <w:szCs w:val="21"/>
                    </w:rPr>
                    <w:t>文件要求</w:t>
                  </w:r>
                </w:p>
              </w:tc>
              <w:tc>
                <w:tcPr>
                  <w:tcW w:w="1775" w:type="dxa"/>
                  <w:tcBorders>
                    <w:tl2br w:val="nil"/>
                    <w:tr2bl w:val="nil"/>
                  </w:tcBorders>
                  <w:vAlign w:val="center"/>
                </w:tcPr>
                <w:p w14:paraId="2C31E56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5"/>
                      <w:sz w:val="21"/>
                      <w:szCs w:val="21"/>
                    </w:rPr>
                    <w:t>项目情况</w:t>
                  </w:r>
                </w:p>
              </w:tc>
              <w:tc>
                <w:tcPr>
                  <w:tcW w:w="851" w:type="dxa"/>
                  <w:tcBorders>
                    <w:tl2br w:val="nil"/>
                    <w:tr2bl w:val="nil"/>
                  </w:tcBorders>
                  <w:vAlign w:val="center"/>
                </w:tcPr>
                <w:p w14:paraId="62AE6D6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b/>
                      <w:bCs/>
                      <w:color w:val="auto"/>
                      <w:spacing w:val="5"/>
                      <w:sz w:val="21"/>
                      <w:szCs w:val="21"/>
                    </w:rPr>
                    <w:t>符合性</w:t>
                  </w:r>
                </w:p>
              </w:tc>
            </w:tr>
            <w:tr w14:paraId="20AC000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2823" w:hRule="atLeast"/>
                <w:jc w:val="center"/>
              </w:trPr>
              <w:tc>
                <w:tcPr>
                  <w:tcW w:w="6445" w:type="dxa"/>
                  <w:tcBorders>
                    <w:tl2br w:val="nil"/>
                    <w:tr2bl w:val="nil"/>
                  </w:tcBorders>
                  <w:vAlign w:val="center"/>
                </w:tcPr>
                <w:p w14:paraId="74110F6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一、支持高端项目加快发展。聚焦推动高端化、智能化、绿色化、集群化发展，适时制定调整《山东省高端轮胎铸造项目发展指导目</w:t>
                  </w:r>
                  <w:r>
                    <w:rPr>
                      <w:color w:val="auto"/>
                      <w:spacing w:val="1"/>
                      <w:sz w:val="21"/>
                      <w:szCs w:val="21"/>
                    </w:rPr>
                    <w:t>录</w:t>
                  </w:r>
                  <w:r>
                    <w:rPr>
                      <w:rFonts w:ascii="Times New Roman" w:hAnsi="Times New Roman" w:eastAsia="Times New Roman" w:cs="Times New Roman"/>
                      <w:color w:val="auto"/>
                      <w:spacing w:val="1"/>
                      <w:sz w:val="21"/>
                      <w:szCs w:val="21"/>
                    </w:rPr>
                    <w:t>(2023</w:t>
                  </w:r>
                  <w:r>
                    <w:rPr>
                      <w:color w:val="auto"/>
                      <w:spacing w:val="1"/>
                      <w:sz w:val="21"/>
                      <w:szCs w:val="21"/>
                    </w:rPr>
                    <w:t>年版</w:t>
                  </w:r>
                  <w:r>
                    <w:rPr>
                      <w:rFonts w:ascii="Times New Roman" w:hAnsi="Times New Roman" w:eastAsia="Times New Roman" w:cs="Times New Roman"/>
                      <w:color w:val="auto"/>
                      <w:spacing w:val="1"/>
                      <w:sz w:val="21"/>
                      <w:szCs w:val="21"/>
                    </w:rPr>
                    <w:t>)</w:t>
                  </w:r>
                  <w:r>
                    <w:rPr>
                      <w:color w:val="auto"/>
                      <w:spacing w:val="1"/>
                      <w:sz w:val="21"/>
                      <w:szCs w:val="21"/>
                    </w:rPr>
                    <w:t>》，对属于《目录》范围内的新上高端轮胎、铸造项目，</w:t>
                  </w:r>
                  <w:r>
                    <w:rPr>
                      <w:color w:val="auto"/>
                      <w:spacing w:val="9"/>
                      <w:sz w:val="21"/>
                      <w:szCs w:val="21"/>
                    </w:rPr>
                    <w:t>不再执行《关于</w:t>
                  </w:r>
                  <w:r>
                    <w:rPr>
                      <w:rFonts w:ascii="Times New Roman" w:hAnsi="Times New Roman" w:eastAsia="Times New Roman" w:cs="Times New Roman"/>
                      <w:color w:val="auto"/>
                      <w:spacing w:val="9"/>
                      <w:sz w:val="21"/>
                      <w:szCs w:val="21"/>
                    </w:rPr>
                    <w:t>“</w:t>
                  </w:r>
                  <w:r>
                    <w:rPr>
                      <w:color w:val="auto"/>
                      <w:spacing w:val="9"/>
                      <w:sz w:val="21"/>
                      <w:szCs w:val="21"/>
                    </w:rPr>
                    <w:t>两高</w:t>
                  </w:r>
                  <w:r>
                    <w:rPr>
                      <w:rFonts w:ascii="Times New Roman" w:hAnsi="Times New Roman" w:eastAsia="Times New Roman" w:cs="Times New Roman"/>
                      <w:color w:val="auto"/>
                      <w:spacing w:val="9"/>
                      <w:sz w:val="21"/>
                      <w:szCs w:val="21"/>
                    </w:rPr>
                    <w:t>”</w:t>
                  </w:r>
                  <w:r>
                    <w:rPr>
                      <w:color w:val="auto"/>
                      <w:spacing w:val="9"/>
                      <w:sz w:val="21"/>
                      <w:szCs w:val="21"/>
                    </w:rPr>
                    <w:t>项目管理有关事项的补充通知》</w:t>
                  </w:r>
                  <w:r>
                    <w:rPr>
                      <w:rFonts w:ascii="Times New Roman" w:hAnsi="Times New Roman" w:eastAsia="Times New Roman" w:cs="Times New Roman"/>
                      <w:color w:val="auto"/>
                      <w:spacing w:val="9"/>
                      <w:sz w:val="21"/>
                      <w:szCs w:val="21"/>
                    </w:rPr>
                    <w:t>(</w:t>
                  </w:r>
                  <w:r>
                    <w:rPr>
                      <w:color w:val="auto"/>
                      <w:spacing w:val="9"/>
                      <w:sz w:val="21"/>
                      <w:szCs w:val="21"/>
                    </w:rPr>
                    <w:t>鲁发改工业</w:t>
                  </w:r>
                  <w:r>
                    <w:rPr>
                      <w:rFonts w:ascii="Times New Roman" w:hAnsi="Times New Roman" w:eastAsia="Times New Roman" w:cs="Times New Roman"/>
                      <w:color w:val="auto"/>
                      <w:spacing w:val="5"/>
                      <w:sz w:val="21"/>
                      <w:szCs w:val="21"/>
                    </w:rPr>
                    <w:t>[2023]34</w:t>
                  </w:r>
                  <w:r>
                    <w:rPr>
                      <w:color w:val="auto"/>
                      <w:spacing w:val="5"/>
                      <w:sz w:val="21"/>
                      <w:szCs w:val="21"/>
                    </w:rPr>
                    <w:t>号</w:t>
                  </w:r>
                  <w:r>
                    <w:rPr>
                      <w:rFonts w:ascii="Times New Roman" w:hAnsi="Times New Roman" w:eastAsia="Times New Roman" w:cs="Times New Roman"/>
                      <w:color w:val="auto"/>
                      <w:spacing w:val="5"/>
                      <w:sz w:val="21"/>
                      <w:szCs w:val="21"/>
                    </w:rPr>
                    <w:t>)</w:t>
                  </w:r>
                  <w:r>
                    <w:rPr>
                      <w:color w:val="auto"/>
                      <w:spacing w:val="5"/>
                      <w:sz w:val="21"/>
                      <w:szCs w:val="21"/>
                    </w:rPr>
                    <w:t>规定的产能、能耗、碳排放替代政策。依据《</w:t>
                  </w:r>
                  <w:r>
                    <w:rPr>
                      <w:color w:val="auto"/>
                      <w:spacing w:val="4"/>
                      <w:sz w:val="21"/>
                      <w:szCs w:val="21"/>
                    </w:rPr>
                    <w:t>关于</w:t>
                  </w:r>
                  <w:r>
                    <w:rPr>
                      <w:rFonts w:ascii="Times New Roman" w:hAnsi="Times New Roman" w:eastAsia="Times New Roman" w:cs="Times New Roman"/>
                      <w:color w:val="auto"/>
                      <w:spacing w:val="4"/>
                      <w:sz w:val="21"/>
                      <w:szCs w:val="21"/>
                    </w:rPr>
                    <w:t>“</w:t>
                  </w:r>
                  <w:r>
                    <w:rPr>
                      <w:color w:val="auto"/>
                      <w:spacing w:val="4"/>
                      <w:sz w:val="21"/>
                      <w:szCs w:val="21"/>
                    </w:rPr>
                    <w:t>两高</w:t>
                  </w:r>
                  <w:r>
                    <w:rPr>
                      <w:rFonts w:ascii="Times New Roman" w:hAnsi="Times New Roman" w:eastAsia="Times New Roman" w:cs="Times New Roman"/>
                      <w:color w:val="auto"/>
                      <w:spacing w:val="4"/>
                      <w:sz w:val="21"/>
                      <w:szCs w:val="21"/>
                    </w:rPr>
                    <w:t>”</w:t>
                  </w:r>
                  <w:r>
                    <w:rPr>
                      <w:color w:val="auto"/>
                      <w:spacing w:val="7"/>
                      <w:sz w:val="21"/>
                      <w:szCs w:val="21"/>
                    </w:rPr>
                    <w:t>项目管理有关事项的通知》</w:t>
                  </w:r>
                  <w:r>
                    <w:rPr>
                      <w:rFonts w:ascii="Times New Roman" w:hAnsi="Times New Roman" w:eastAsia="Times New Roman" w:cs="Times New Roman"/>
                      <w:color w:val="auto"/>
                      <w:spacing w:val="7"/>
                      <w:sz w:val="21"/>
                      <w:szCs w:val="21"/>
                    </w:rPr>
                    <w:t>(</w:t>
                  </w:r>
                  <w:r>
                    <w:rPr>
                      <w:color w:val="auto"/>
                      <w:spacing w:val="7"/>
                      <w:sz w:val="21"/>
                      <w:szCs w:val="21"/>
                    </w:rPr>
                    <w:t>鲁发改工业</w:t>
                  </w:r>
                  <w:r>
                    <w:rPr>
                      <w:rFonts w:ascii="Times New Roman" w:hAnsi="Times New Roman" w:eastAsia="Times New Roman" w:cs="Times New Roman"/>
                      <w:color w:val="auto"/>
                      <w:spacing w:val="7"/>
                      <w:sz w:val="21"/>
                      <w:szCs w:val="21"/>
                    </w:rPr>
                    <w:t>[2022)255</w:t>
                  </w:r>
                  <w:r>
                    <w:rPr>
                      <w:color w:val="auto"/>
                      <w:spacing w:val="7"/>
                      <w:sz w:val="21"/>
                      <w:szCs w:val="21"/>
                    </w:rPr>
                    <w:t>号</w:t>
                  </w:r>
                  <w:r>
                    <w:rPr>
                      <w:rFonts w:ascii="Times New Roman" w:hAnsi="Times New Roman" w:eastAsia="Times New Roman" w:cs="Times New Roman"/>
                      <w:color w:val="auto"/>
                      <w:spacing w:val="7"/>
                      <w:sz w:val="21"/>
                      <w:szCs w:val="21"/>
                    </w:rPr>
                    <w:t>)</w:t>
                  </w:r>
                  <w:r>
                    <w:rPr>
                      <w:color w:val="auto"/>
                      <w:spacing w:val="7"/>
                      <w:sz w:val="21"/>
                      <w:szCs w:val="21"/>
                    </w:rPr>
                    <w:t>规定，通过</w:t>
                  </w:r>
                  <w:r>
                    <w:rPr>
                      <w:rFonts w:ascii="Times New Roman" w:hAnsi="Times New Roman" w:eastAsia="Times New Roman" w:cs="Times New Roman"/>
                      <w:color w:val="auto"/>
                      <w:spacing w:val="7"/>
                      <w:sz w:val="21"/>
                      <w:szCs w:val="21"/>
                    </w:rPr>
                    <w:t>“</w:t>
                  </w:r>
                  <w:r>
                    <w:rPr>
                      <w:color w:val="auto"/>
                      <w:spacing w:val="7"/>
                      <w:sz w:val="21"/>
                      <w:szCs w:val="21"/>
                    </w:rPr>
                    <w:t>先</w:t>
                  </w:r>
                  <w:r>
                    <w:rPr>
                      <w:color w:val="auto"/>
                      <w:spacing w:val="9"/>
                      <w:sz w:val="21"/>
                      <w:szCs w:val="21"/>
                    </w:rPr>
                    <w:t>立后破</w:t>
                  </w:r>
                  <w:r>
                    <w:rPr>
                      <w:rFonts w:ascii="Times New Roman" w:hAnsi="Times New Roman" w:eastAsia="Times New Roman" w:cs="Times New Roman"/>
                      <w:color w:val="auto"/>
                      <w:spacing w:val="9"/>
                      <w:sz w:val="21"/>
                      <w:szCs w:val="21"/>
                    </w:rPr>
                    <w:t>”“</w:t>
                  </w:r>
                  <w:r>
                    <w:rPr>
                      <w:color w:val="auto"/>
                      <w:spacing w:val="9"/>
                      <w:sz w:val="21"/>
                      <w:szCs w:val="21"/>
                    </w:rPr>
                    <w:t>一事一议</w:t>
                  </w:r>
                  <w:r>
                    <w:rPr>
                      <w:rFonts w:ascii="Times New Roman" w:hAnsi="Times New Roman" w:eastAsia="Times New Roman" w:cs="Times New Roman"/>
                      <w:color w:val="auto"/>
                      <w:spacing w:val="9"/>
                      <w:sz w:val="21"/>
                      <w:szCs w:val="21"/>
                    </w:rPr>
                    <w:t>”</w:t>
                  </w:r>
                  <w:r>
                    <w:rPr>
                      <w:color w:val="auto"/>
                      <w:spacing w:val="9"/>
                      <w:sz w:val="21"/>
                      <w:szCs w:val="21"/>
                    </w:rPr>
                    <w:t>方式实施的高端铸造项目，所在市要落实有关承诺，确保产能控制在合理范围。省发展改革委会同省工业和信息化厅等有关部门，要按照省委、省政府部署要求，加强窗口指导，严</w:t>
                  </w:r>
                  <w:r>
                    <w:rPr>
                      <w:color w:val="auto"/>
                      <w:spacing w:val="6"/>
                      <w:sz w:val="21"/>
                      <w:szCs w:val="21"/>
                    </w:rPr>
                    <w:t>把项目关口，统筹布局优化，强化全流程监管，坚决</w:t>
                  </w:r>
                  <w:r>
                    <w:rPr>
                      <w:color w:val="auto"/>
                      <w:spacing w:val="5"/>
                      <w:sz w:val="21"/>
                      <w:szCs w:val="21"/>
                    </w:rPr>
                    <w:t>制止不属于《目</w:t>
                  </w:r>
                  <w:r>
                    <w:rPr>
                      <w:color w:val="auto"/>
                      <w:spacing w:val="9"/>
                      <w:sz w:val="21"/>
                      <w:szCs w:val="21"/>
                    </w:rPr>
                    <w:t>录》范围的低端轮胎、铸造项目盲目上马，防止低水平重复建设。</w:t>
                  </w:r>
                </w:p>
              </w:tc>
              <w:tc>
                <w:tcPr>
                  <w:tcW w:w="1775" w:type="dxa"/>
                  <w:tcBorders>
                    <w:tl2br w:val="nil"/>
                    <w:tr2bl w:val="nil"/>
                  </w:tcBorders>
                  <w:vAlign w:val="center"/>
                </w:tcPr>
                <w:p w14:paraId="6271E6D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不涉及。</w:t>
                  </w:r>
                </w:p>
              </w:tc>
              <w:tc>
                <w:tcPr>
                  <w:tcW w:w="851" w:type="dxa"/>
                  <w:tcBorders>
                    <w:tl2br w:val="nil"/>
                    <w:tr2bl w:val="nil"/>
                  </w:tcBorders>
                  <w:vAlign w:val="center"/>
                </w:tcPr>
                <w:p w14:paraId="131098C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符合</w:t>
                  </w:r>
                </w:p>
              </w:tc>
            </w:tr>
            <w:tr w14:paraId="32C4320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445" w:type="dxa"/>
                  <w:tcBorders>
                    <w:tl2br w:val="nil"/>
                    <w:tr2bl w:val="nil"/>
                  </w:tcBorders>
                  <w:vAlign w:val="center"/>
                </w:tcPr>
                <w:p w14:paraId="4606533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二、推动中端项目改造提升。对存量轮胎、铸造项目，各市要加快</w:t>
                  </w:r>
                  <w:r>
                    <w:rPr>
                      <w:color w:val="auto"/>
                      <w:spacing w:val="10"/>
                      <w:sz w:val="21"/>
                      <w:szCs w:val="21"/>
                    </w:rPr>
                    <w:t>推动能效、环保、质量、数字化改造提升。省发展</w:t>
                  </w:r>
                  <w:r>
                    <w:rPr>
                      <w:color w:val="auto"/>
                      <w:spacing w:val="9"/>
                      <w:sz w:val="21"/>
                      <w:szCs w:val="21"/>
                    </w:rPr>
                    <w:t>改革委、省工业</w:t>
                  </w:r>
                  <w:r>
                    <w:rPr>
                      <w:color w:val="auto"/>
                      <w:spacing w:val="10"/>
                      <w:sz w:val="21"/>
                      <w:szCs w:val="21"/>
                    </w:rPr>
                    <w:t>和信息化厅等有关部门和各市要督促低于能效基准</w:t>
                  </w:r>
                  <w:r>
                    <w:rPr>
                      <w:color w:val="auto"/>
                      <w:spacing w:val="9"/>
                      <w:sz w:val="21"/>
                      <w:szCs w:val="21"/>
                    </w:rPr>
                    <w:t>水平的轮胎、铸</w:t>
                  </w:r>
                  <w:r>
                    <w:rPr>
                      <w:color w:val="auto"/>
                      <w:spacing w:val="10"/>
                      <w:sz w:val="21"/>
                      <w:szCs w:val="21"/>
                    </w:rPr>
                    <w:t>造企业，按照前期制定的能效改造提升方案，加快</w:t>
                  </w:r>
                  <w:r>
                    <w:rPr>
                      <w:color w:val="auto"/>
                      <w:spacing w:val="9"/>
                      <w:sz w:val="21"/>
                      <w:szCs w:val="21"/>
                    </w:rPr>
                    <w:t>推进实施，确保</w:t>
                  </w:r>
                  <w:r>
                    <w:rPr>
                      <w:rFonts w:ascii="Times New Roman" w:hAnsi="Times New Roman" w:eastAsia="Times New Roman" w:cs="Times New Roman"/>
                      <w:color w:val="auto"/>
                      <w:spacing w:val="8"/>
                      <w:sz w:val="21"/>
                      <w:szCs w:val="21"/>
                    </w:rPr>
                    <w:t>2025</w:t>
                  </w:r>
                  <w:r>
                    <w:rPr>
                      <w:color w:val="auto"/>
                      <w:spacing w:val="8"/>
                      <w:sz w:val="21"/>
                      <w:szCs w:val="21"/>
                    </w:rPr>
                    <w:t>年</w:t>
                  </w:r>
                  <w:r>
                    <w:rPr>
                      <w:rFonts w:ascii="Times New Roman" w:hAnsi="Times New Roman" w:eastAsia="Times New Roman" w:cs="Times New Roman"/>
                      <w:color w:val="auto"/>
                      <w:spacing w:val="8"/>
                      <w:sz w:val="21"/>
                      <w:szCs w:val="21"/>
                    </w:rPr>
                    <w:t>4</w:t>
                  </w:r>
                  <w:r>
                    <w:rPr>
                      <w:color w:val="auto"/>
                      <w:spacing w:val="8"/>
                      <w:sz w:val="21"/>
                      <w:szCs w:val="21"/>
                    </w:rPr>
                    <w:t>月底前完成；对低于标杆水平的轮胎、铸造企业，积极探</w:t>
                  </w:r>
                  <w:r>
                    <w:rPr>
                      <w:color w:val="auto"/>
                      <w:spacing w:val="10"/>
                      <w:sz w:val="21"/>
                      <w:szCs w:val="21"/>
                    </w:rPr>
                    <w:t>索研究绿电使用方案，逐步提高绿电使用比例。省</w:t>
                  </w:r>
                  <w:r>
                    <w:rPr>
                      <w:color w:val="auto"/>
                      <w:spacing w:val="9"/>
                      <w:sz w:val="21"/>
                      <w:szCs w:val="21"/>
                    </w:rPr>
                    <w:t>生态环境厅和各</w:t>
                  </w:r>
                  <w:r>
                    <w:rPr>
                      <w:color w:val="auto"/>
                      <w:spacing w:val="8"/>
                      <w:sz w:val="21"/>
                      <w:szCs w:val="21"/>
                    </w:rPr>
                    <w:t>市要督导企业依法落实环境保护主体责任，严格执行环保排放标准，</w:t>
                  </w:r>
                  <w:r>
                    <w:rPr>
                      <w:color w:val="auto"/>
                      <w:spacing w:val="10"/>
                      <w:sz w:val="21"/>
                      <w:szCs w:val="21"/>
                    </w:rPr>
                    <w:t>深度开展污染治理，积极采用环保节能装备，坚持</w:t>
                  </w:r>
                  <w:r>
                    <w:rPr>
                      <w:color w:val="auto"/>
                      <w:spacing w:val="9"/>
                      <w:sz w:val="21"/>
                      <w:szCs w:val="21"/>
                    </w:rPr>
                    <w:t>清洁生产，严格</w:t>
                  </w:r>
                  <w:r>
                    <w:rPr>
                      <w:color w:val="auto"/>
                      <w:spacing w:val="8"/>
                      <w:sz w:val="21"/>
                      <w:szCs w:val="21"/>
                    </w:rPr>
                    <w:t>控制无组织排放，配备颗粒物或挥发性有机物高效收集和处理装置。</w:t>
                  </w:r>
                  <w:r>
                    <w:rPr>
                      <w:color w:val="auto"/>
                      <w:spacing w:val="9"/>
                      <w:sz w:val="21"/>
                      <w:szCs w:val="21"/>
                    </w:rPr>
                    <w:t>省工业和信息化厅和各市要鼓励企业发展化学炼胶、电加热硫化、复合铸造工艺、铸造模拟仿真、一体化压铸成形、</w:t>
                  </w:r>
                  <w:r>
                    <w:rPr>
                      <w:rFonts w:ascii="Times New Roman" w:hAnsi="Times New Roman" w:eastAsia="Times New Roman" w:cs="Times New Roman"/>
                      <w:color w:val="auto"/>
                      <w:spacing w:val="8"/>
                      <w:sz w:val="21"/>
                      <w:szCs w:val="21"/>
                    </w:rPr>
                    <w:t>3D</w:t>
                  </w:r>
                  <w:r>
                    <w:rPr>
                      <w:color w:val="auto"/>
                      <w:spacing w:val="8"/>
                      <w:sz w:val="21"/>
                      <w:szCs w:val="21"/>
                    </w:rPr>
                    <w:t>打印等新技术</w:t>
                  </w:r>
                  <w:r>
                    <w:rPr>
                      <w:color w:val="auto"/>
                      <w:spacing w:val="9"/>
                      <w:sz w:val="21"/>
                      <w:szCs w:val="21"/>
                    </w:rPr>
                    <w:t>和新工艺；大力开展智能制造示范推广，推进关键工序数字化、网络化、智能化改造，梳理遴选一批智能制造典型场景，建设一批智能制造示范工厂，培育一批优质系统解决方案供应商。</w:t>
                  </w:r>
                </w:p>
              </w:tc>
              <w:tc>
                <w:tcPr>
                  <w:tcW w:w="1775" w:type="dxa"/>
                  <w:tcBorders>
                    <w:tl2br w:val="nil"/>
                    <w:tr2bl w:val="nil"/>
                  </w:tcBorders>
                  <w:vAlign w:val="center"/>
                </w:tcPr>
                <w:p w14:paraId="26D8ACC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8"/>
                      <w:sz w:val="21"/>
                      <w:szCs w:val="21"/>
                    </w:rPr>
                    <w:t>本项目为存量铸造项目改造提升。按照前期制</w:t>
                  </w:r>
                  <w:r>
                    <w:rPr>
                      <w:color w:val="auto"/>
                      <w:spacing w:val="7"/>
                      <w:sz w:val="21"/>
                      <w:szCs w:val="21"/>
                    </w:rPr>
                    <w:t>定的能效改造提</w:t>
                  </w:r>
                  <w:r>
                    <w:rPr>
                      <w:color w:val="auto"/>
                      <w:spacing w:val="8"/>
                      <w:sz w:val="21"/>
                      <w:szCs w:val="21"/>
                    </w:rPr>
                    <w:t>升方案进行提升</w:t>
                  </w:r>
                  <w:r>
                    <w:rPr>
                      <w:color w:val="auto"/>
                      <w:sz w:val="21"/>
                      <w:szCs w:val="21"/>
                    </w:rPr>
                    <w:t>改造。</w:t>
                  </w:r>
                </w:p>
              </w:tc>
              <w:tc>
                <w:tcPr>
                  <w:tcW w:w="851" w:type="dxa"/>
                  <w:tcBorders>
                    <w:tl2br w:val="nil"/>
                    <w:tr2bl w:val="nil"/>
                  </w:tcBorders>
                  <w:vAlign w:val="center"/>
                </w:tcPr>
                <w:p w14:paraId="6552774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符合</w:t>
                  </w:r>
                </w:p>
              </w:tc>
            </w:tr>
            <w:tr w14:paraId="2801D47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445" w:type="dxa"/>
                  <w:tcBorders>
                    <w:tl2br w:val="nil"/>
                    <w:tr2bl w:val="nil"/>
                  </w:tcBorders>
                  <w:vAlign w:val="center"/>
                </w:tcPr>
                <w:p w14:paraId="7E74F41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9"/>
                      <w:sz w:val="21"/>
                      <w:szCs w:val="21"/>
                    </w:rPr>
                    <w:t>三、加快低端项目淘汰退出。各市要严格落实主要污染物排放总量</w:t>
                  </w:r>
                  <w:r>
                    <w:rPr>
                      <w:color w:val="auto"/>
                      <w:spacing w:val="10"/>
                      <w:sz w:val="21"/>
                      <w:szCs w:val="21"/>
                    </w:rPr>
                    <w:t>控制、能源消耗总量和强度调控制度，坚决</w:t>
                  </w:r>
                  <w:r>
                    <w:rPr>
                      <w:color w:val="auto"/>
                      <w:spacing w:val="9"/>
                      <w:sz w:val="21"/>
                      <w:szCs w:val="21"/>
                    </w:rPr>
                    <w:t>遏制不符合要求的项目</w:t>
                  </w:r>
                  <w:r>
                    <w:rPr>
                      <w:color w:val="auto"/>
                      <w:spacing w:val="10"/>
                      <w:sz w:val="21"/>
                      <w:szCs w:val="21"/>
                    </w:rPr>
                    <w:t>盲目发展，防止产能盲目扩张，合理控制产</w:t>
                  </w:r>
                  <w:r>
                    <w:rPr>
                      <w:color w:val="auto"/>
                      <w:spacing w:val="9"/>
                      <w:sz w:val="21"/>
                      <w:szCs w:val="21"/>
                    </w:rPr>
                    <w:t>能总体规模。各市要加快淘汰退出不符合安全、环保等要求的项目，</w:t>
                  </w:r>
                  <w:r>
                    <w:rPr>
                      <w:rFonts w:ascii="Times New Roman" w:hAnsi="Times New Roman" w:eastAsia="Times New Roman" w:cs="Times New Roman"/>
                      <w:color w:val="auto"/>
                      <w:spacing w:val="9"/>
                      <w:sz w:val="21"/>
                      <w:szCs w:val="21"/>
                    </w:rPr>
                    <w:t>2021</w:t>
                  </w:r>
                  <w:r>
                    <w:rPr>
                      <w:color w:val="auto"/>
                      <w:spacing w:val="9"/>
                      <w:sz w:val="21"/>
                      <w:szCs w:val="21"/>
                    </w:rPr>
                    <w:t>年以</w:t>
                  </w:r>
                  <w:r>
                    <w:rPr>
                      <w:color w:val="auto"/>
                      <w:spacing w:val="8"/>
                      <w:sz w:val="21"/>
                      <w:szCs w:val="21"/>
                    </w:rPr>
                    <w:t>来产能利用</w:t>
                  </w:r>
                  <w:r>
                    <w:rPr>
                      <w:color w:val="auto"/>
                      <w:spacing w:val="7"/>
                      <w:sz w:val="21"/>
                      <w:szCs w:val="21"/>
                    </w:rPr>
                    <w:t>水平连续</w:t>
                  </w:r>
                  <w:r>
                    <w:rPr>
                      <w:rFonts w:ascii="Times New Roman" w:hAnsi="Times New Roman" w:eastAsia="Times New Roman" w:cs="Times New Roman"/>
                      <w:color w:val="auto"/>
                      <w:spacing w:val="7"/>
                      <w:sz w:val="21"/>
                      <w:szCs w:val="21"/>
                    </w:rPr>
                    <w:t>2</w:t>
                  </w:r>
                  <w:r>
                    <w:rPr>
                      <w:color w:val="auto"/>
                      <w:spacing w:val="7"/>
                      <w:sz w:val="21"/>
                      <w:szCs w:val="21"/>
                    </w:rPr>
                    <w:t>年低于</w:t>
                  </w:r>
                  <w:r>
                    <w:rPr>
                      <w:rFonts w:ascii="Times New Roman" w:hAnsi="Times New Roman" w:eastAsia="Times New Roman" w:cs="Times New Roman"/>
                      <w:color w:val="auto"/>
                      <w:spacing w:val="7"/>
                      <w:sz w:val="21"/>
                      <w:szCs w:val="21"/>
                    </w:rPr>
                    <w:t>20%</w:t>
                  </w:r>
                  <w:r>
                    <w:rPr>
                      <w:color w:val="auto"/>
                      <w:spacing w:val="7"/>
                      <w:sz w:val="21"/>
                      <w:szCs w:val="21"/>
                    </w:rPr>
                    <w:t>的项目，无法整改的违规项目，以及低于能</w:t>
                  </w:r>
                  <w:r>
                    <w:rPr>
                      <w:color w:val="auto"/>
                      <w:spacing w:val="10"/>
                      <w:sz w:val="21"/>
                      <w:szCs w:val="21"/>
                    </w:rPr>
                    <w:t>效基准水平仍未制定改造提升方案或无法改</w:t>
                  </w:r>
                  <w:r>
                    <w:rPr>
                      <w:color w:val="auto"/>
                      <w:spacing w:val="9"/>
                      <w:sz w:val="21"/>
                      <w:szCs w:val="21"/>
                    </w:rPr>
                    <w:t>造提升的项目、没有能</w:t>
                  </w:r>
                  <w:r>
                    <w:rPr>
                      <w:color w:val="auto"/>
                      <w:spacing w:val="10"/>
                      <w:sz w:val="21"/>
                      <w:szCs w:val="21"/>
                    </w:rPr>
                    <w:t>效数据且无法核算的项目。各市要梳理制定</w:t>
                  </w:r>
                  <w:r>
                    <w:rPr>
                      <w:color w:val="auto"/>
                      <w:spacing w:val="9"/>
                      <w:sz w:val="21"/>
                      <w:szCs w:val="21"/>
                    </w:rPr>
                    <w:t>退出项目清单，明确退</w:t>
                  </w:r>
                  <w:r>
                    <w:rPr>
                      <w:color w:val="auto"/>
                      <w:spacing w:val="7"/>
                      <w:sz w:val="21"/>
                      <w:szCs w:val="21"/>
                    </w:rPr>
                    <w:t>出步骤、时限和责任单位，于</w:t>
                  </w:r>
                  <w:r>
                    <w:rPr>
                      <w:rFonts w:ascii="Times New Roman" w:hAnsi="Times New Roman" w:eastAsia="Times New Roman" w:cs="Times New Roman"/>
                      <w:color w:val="auto"/>
                      <w:spacing w:val="7"/>
                      <w:sz w:val="21"/>
                      <w:szCs w:val="21"/>
                    </w:rPr>
                    <w:t>2023</w:t>
                  </w:r>
                  <w:r>
                    <w:rPr>
                      <w:color w:val="auto"/>
                      <w:spacing w:val="7"/>
                      <w:sz w:val="21"/>
                      <w:szCs w:val="21"/>
                    </w:rPr>
                    <w:t>年</w:t>
                  </w:r>
                  <w:r>
                    <w:rPr>
                      <w:rFonts w:ascii="Times New Roman" w:hAnsi="Times New Roman" w:eastAsia="Times New Roman" w:cs="Times New Roman"/>
                      <w:color w:val="auto"/>
                      <w:spacing w:val="7"/>
                      <w:sz w:val="21"/>
                      <w:szCs w:val="21"/>
                    </w:rPr>
                    <w:t>9</w:t>
                  </w:r>
                  <w:r>
                    <w:rPr>
                      <w:color w:val="auto"/>
                      <w:spacing w:val="7"/>
                      <w:sz w:val="21"/>
                      <w:szCs w:val="21"/>
                    </w:rPr>
                    <w:t>月底前以市政府名义函送省</w:t>
                  </w:r>
                  <w:r>
                    <w:rPr>
                      <w:color w:val="auto"/>
                      <w:spacing w:val="10"/>
                      <w:sz w:val="21"/>
                      <w:szCs w:val="21"/>
                    </w:rPr>
                    <w:t>发展改革委、省工业和信息化厅、省生态环</w:t>
                  </w:r>
                  <w:r>
                    <w:rPr>
                      <w:color w:val="auto"/>
                      <w:spacing w:val="9"/>
                      <w:sz w:val="21"/>
                      <w:szCs w:val="21"/>
                    </w:rPr>
                    <w:t>境厅。各市要对退出项</w:t>
                  </w:r>
                  <w:r>
                    <w:rPr>
                      <w:color w:val="auto"/>
                      <w:spacing w:val="10"/>
                      <w:sz w:val="21"/>
                      <w:szCs w:val="21"/>
                    </w:rPr>
                    <w:t>目组织验收，省发展改革委、省工业和信息</w:t>
                  </w:r>
                  <w:r>
                    <w:rPr>
                      <w:color w:val="auto"/>
                      <w:spacing w:val="9"/>
                      <w:sz w:val="21"/>
                      <w:szCs w:val="21"/>
                    </w:rPr>
                    <w:t>化厅、省生态环境厅等</w:t>
                  </w:r>
                  <w:r>
                    <w:rPr>
                      <w:color w:val="auto"/>
                      <w:spacing w:val="10"/>
                      <w:sz w:val="21"/>
                      <w:szCs w:val="21"/>
                    </w:rPr>
                    <w:t>有关部门对各市验收情况进行核查。各市淘</w:t>
                  </w:r>
                  <w:r>
                    <w:rPr>
                      <w:color w:val="auto"/>
                      <w:spacing w:val="9"/>
                      <w:sz w:val="21"/>
                      <w:szCs w:val="21"/>
                    </w:rPr>
                    <w:t>汰退出落后低效产能工作情况，作为新上项目窗口指导的重要参考。</w:t>
                  </w:r>
                </w:p>
              </w:tc>
              <w:tc>
                <w:tcPr>
                  <w:tcW w:w="1775" w:type="dxa"/>
                  <w:tcBorders>
                    <w:tl2br w:val="nil"/>
                    <w:tr2bl w:val="nil"/>
                  </w:tcBorders>
                  <w:vAlign w:val="center"/>
                </w:tcPr>
                <w:p w14:paraId="24B80DB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不涉及。</w:t>
                  </w:r>
                </w:p>
              </w:tc>
              <w:tc>
                <w:tcPr>
                  <w:tcW w:w="851" w:type="dxa"/>
                  <w:tcBorders>
                    <w:tl2br w:val="nil"/>
                    <w:tr2bl w:val="nil"/>
                  </w:tcBorders>
                  <w:vAlign w:val="center"/>
                </w:tcPr>
                <w:p w14:paraId="310E6C8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符合</w:t>
                  </w:r>
                </w:p>
              </w:tc>
            </w:tr>
            <w:tr w14:paraId="51E2FB9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445" w:type="dxa"/>
                  <w:tcBorders>
                    <w:tl2br w:val="nil"/>
                    <w:tr2bl w:val="nil"/>
                  </w:tcBorders>
                  <w:vAlign w:val="center"/>
                </w:tcPr>
                <w:p w14:paraId="29FBEDA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四、推动园区化集群化发展。各市要围绕</w:t>
                  </w:r>
                  <w:r>
                    <w:rPr>
                      <w:rFonts w:ascii="Times New Roman" w:hAnsi="Times New Roman" w:eastAsia="Times New Roman" w:cs="Times New Roman"/>
                      <w:color w:val="auto"/>
                      <w:spacing w:val="4"/>
                      <w:sz w:val="21"/>
                      <w:szCs w:val="21"/>
                    </w:rPr>
                    <w:t>“</w:t>
                  </w:r>
                  <w:r>
                    <w:rPr>
                      <w:color w:val="auto"/>
                      <w:spacing w:val="4"/>
                      <w:sz w:val="21"/>
                      <w:szCs w:val="21"/>
                    </w:rPr>
                    <w:t>绿色化、智能化、园区化、</w:t>
                  </w:r>
                  <w:r>
                    <w:rPr>
                      <w:color w:val="auto"/>
                      <w:spacing w:val="9"/>
                      <w:sz w:val="21"/>
                      <w:szCs w:val="21"/>
                    </w:rPr>
                    <w:t>品牌化</w:t>
                  </w:r>
                  <w:r>
                    <w:rPr>
                      <w:rFonts w:ascii="Times New Roman" w:hAnsi="Times New Roman" w:eastAsia="Times New Roman" w:cs="Times New Roman"/>
                      <w:color w:val="auto"/>
                      <w:spacing w:val="9"/>
                      <w:sz w:val="21"/>
                      <w:szCs w:val="21"/>
                    </w:rPr>
                    <w:t>”</w:t>
                  </w:r>
                  <w:r>
                    <w:rPr>
                      <w:color w:val="auto"/>
                      <w:spacing w:val="9"/>
                      <w:sz w:val="21"/>
                      <w:szCs w:val="21"/>
                    </w:rPr>
                    <w:t>，结合本地重点产业发展需要，依托龙头企业，推动轮胎、</w:t>
                  </w:r>
                  <w:r>
                    <w:rPr>
                      <w:color w:val="auto"/>
                      <w:spacing w:val="10"/>
                      <w:sz w:val="21"/>
                      <w:szCs w:val="21"/>
                    </w:rPr>
                    <w:t>铸造企业兼并重组，引导产能和要素资源向</w:t>
                  </w:r>
                  <w:r>
                    <w:rPr>
                      <w:color w:val="auto"/>
                      <w:spacing w:val="9"/>
                      <w:sz w:val="21"/>
                      <w:szCs w:val="21"/>
                    </w:rPr>
                    <w:t>优势项目、核心地区集聚，促进产业链供应链深度互联与协同响应，提升产品供给能力。</w:t>
                  </w:r>
                  <w:r>
                    <w:rPr>
                      <w:color w:val="auto"/>
                      <w:spacing w:val="8"/>
                      <w:sz w:val="21"/>
                      <w:szCs w:val="21"/>
                    </w:rPr>
                    <w:t>省发展改革委、省工业和信息厅等部门要指导各市探索铸造特色化、</w:t>
                  </w:r>
                  <w:r>
                    <w:rPr>
                      <w:color w:val="auto"/>
                      <w:spacing w:val="9"/>
                      <w:sz w:val="21"/>
                      <w:szCs w:val="21"/>
                    </w:rPr>
                    <w:t>专业化、集群化发展模式，聚焦铸造加工、装备制造产业集聚区，</w:t>
                  </w:r>
                  <w:r>
                    <w:rPr>
                      <w:color w:val="auto"/>
                      <w:spacing w:val="8"/>
                      <w:sz w:val="21"/>
                      <w:szCs w:val="21"/>
                    </w:rPr>
                    <w:t>建设一批绿色低碳高端铸造中心。各市要在以汽车、轨道交通装备、工程机械、农业机械、海工装备、航空航天装备、电子信息装备制</w:t>
                  </w:r>
                  <w:r>
                    <w:rPr>
                      <w:color w:val="auto"/>
                      <w:spacing w:val="10"/>
                      <w:sz w:val="21"/>
                      <w:szCs w:val="21"/>
                    </w:rPr>
                    <w:t>造等为主导产业且具有一定规模的开发区、</w:t>
                  </w:r>
                  <w:r>
                    <w:rPr>
                      <w:color w:val="auto"/>
                      <w:spacing w:val="9"/>
                      <w:sz w:val="21"/>
                      <w:szCs w:val="21"/>
                    </w:rPr>
                    <w:t>产业园区、集聚区内部</w:t>
                  </w:r>
                  <w:r>
                    <w:rPr>
                      <w:color w:val="auto"/>
                      <w:spacing w:val="8"/>
                      <w:sz w:val="21"/>
                      <w:szCs w:val="21"/>
                    </w:rPr>
                    <w:t>或周边布局铸造产能。</w:t>
                  </w:r>
                </w:p>
              </w:tc>
              <w:tc>
                <w:tcPr>
                  <w:tcW w:w="1775" w:type="dxa"/>
                  <w:tcBorders>
                    <w:tl2br w:val="nil"/>
                    <w:tr2bl w:val="nil"/>
                  </w:tcBorders>
                  <w:vAlign w:val="center"/>
                </w:tcPr>
                <w:p w14:paraId="184C4CA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不涉及。</w:t>
                  </w:r>
                </w:p>
              </w:tc>
              <w:tc>
                <w:tcPr>
                  <w:tcW w:w="851" w:type="dxa"/>
                  <w:tcBorders>
                    <w:tl2br w:val="nil"/>
                    <w:tr2bl w:val="nil"/>
                  </w:tcBorders>
                  <w:vAlign w:val="center"/>
                </w:tcPr>
                <w:p w14:paraId="337523B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3"/>
                      <w:sz w:val="21"/>
                      <w:szCs w:val="21"/>
                    </w:rPr>
                    <w:t>符合</w:t>
                  </w:r>
                </w:p>
              </w:tc>
            </w:tr>
          </w:tbl>
          <w:p w14:paraId="5AE20D66">
            <w:pPr>
              <w:pStyle w:val="3"/>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en-US" w:bidi="ar-SA"/>
              </w:rPr>
              <w:t>综上所述，本项目符合</w:t>
            </w:r>
            <w:r>
              <w:rPr>
                <w:rFonts w:hint="default" w:ascii="Times New Roman" w:hAnsi="Times New Roman" w:eastAsia="宋体" w:cs="Times New Roman"/>
                <w:snapToGrid w:val="0"/>
                <w:color w:val="auto"/>
                <w:kern w:val="0"/>
                <w:sz w:val="24"/>
                <w:szCs w:val="21"/>
                <w:lang w:val="en-US" w:eastAsia="zh-CN" w:bidi="ar-SA"/>
              </w:rPr>
              <w:t>鲁发改工业[2023]649号及淄发改发[2023]8号)的各项要求。</w:t>
            </w:r>
          </w:p>
          <w:p w14:paraId="214130C3">
            <w:pPr>
              <w:pStyle w:val="3"/>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snapToGrid w:val="0"/>
                <w:color w:val="auto"/>
                <w:kern w:val="0"/>
                <w:sz w:val="24"/>
                <w:szCs w:val="21"/>
                <w:lang w:val="en-US" w:eastAsia="zh-CN" w:bidi="ar-SA"/>
              </w:rPr>
            </w:pPr>
            <w:r>
              <w:rPr>
                <w:rFonts w:hint="default" w:ascii="Times New Roman" w:hAnsi="Times New Roman" w:eastAsia="宋体" w:cs="Times New Roman"/>
                <w:b/>
                <w:bCs/>
                <w:snapToGrid w:val="0"/>
                <w:color w:val="auto"/>
                <w:kern w:val="0"/>
                <w:sz w:val="24"/>
                <w:szCs w:val="21"/>
                <w:lang w:val="en-US" w:eastAsia="en-US" w:bidi="ar-SA"/>
              </w:rPr>
              <w:t>表1-1</w:t>
            </w:r>
            <w:r>
              <w:rPr>
                <w:rFonts w:hint="eastAsia" w:ascii="Times New Roman" w:hAnsi="Times New Roman" w:cs="Times New Roman"/>
                <w:b/>
                <w:bCs/>
                <w:snapToGrid w:val="0"/>
                <w:color w:val="auto"/>
                <w:kern w:val="0"/>
                <w:sz w:val="24"/>
                <w:szCs w:val="21"/>
                <w:lang w:val="en-US" w:eastAsia="zh-CN" w:bidi="ar-SA"/>
              </w:rPr>
              <w:t xml:space="preserve">1 </w:t>
            </w:r>
            <w:r>
              <w:rPr>
                <w:rFonts w:hint="default" w:ascii="Times New Roman" w:hAnsi="Times New Roman" w:eastAsia="宋体" w:cs="Times New Roman"/>
                <w:b/>
                <w:bCs/>
                <w:snapToGrid w:val="0"/>
                <w:color w:val="auto"/>
                <w:kern w:val="0"/>
                <w:sz w:val="24"/>
                <w:szCs w:val="21"/>
                <w:lang w:val="en-US" w:eastAsia="en-US" w:bidi="ar-SA"/>
              </w:rPr>
              <w:t>与山东省“两高”行业能效改造提升标准(2023年版)的符合性分析</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460"/>
              <w:gridCol w:w="872"/>
              <w:gridCol w:w="1083"/>
              <w:gridCol w:w="1498"/>
              <w:gridCol w:w="891"/>
              <w:gridCol w:w="805"/>
              <w:gridCol w:w="909"/>
              <w:gridCol w:w="725"/>
              <w:gridCol w:w="661"/>
              <w:gridCol w:w="1167"/>
            </w:tblGrid>
            <w:tr w14:paraId="64276BD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0" w:type="dxa"/>
                  <w:vMerge w:val="restart"/>
                  <w:tcBorders>
                    <w:tl2br w:val="nil"/>
                    <w:tr2bl w:val="nil"/>
                  </w:tcBorders>
                  <w:textDirection w:val="tbRlV"/>
                  <w:vAlign w:val="center"/>
                </w:tcPr>
                <w:p w14:paraId="635792B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序号</w:t>
                  </w:r>
                </w:p>
              </w:tc>
              <w:tc>
                <w:tcPr>
                  <w:tcW w:w="3453" w:type="dxa"/>
                  <w:gridSpan w:val="3"/>
                  <w:tcBorders>
                    <w:tl2br w:val="nil"/>
                    <w:tr2bl w:val="nil"/>
                  </w:tcBorders>
                  <w:vAlign w:val="center"/>
                </w:tcPr>
                <w:p w14:paraId="575C760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国民经济行业分类及代码</w:t>
                  </w:r>
                </w:p>
              </w:tc>
              <w:tc>
                <w:tcPr>
                  <w:tcW w:w="891" w:type="dxa"/>
                  <w:vMerge w:val="restart"/>
                  <w:tcBorders>
                    <w:tl2br w:val="nil"/>
                    <w:tr2bl w:val="nil"/>
                  </w:tcBorders>
                  <w:vAlign w:val="center"/>
                </w:tcPr>
                <w:p w14:paraId="7BEFDB4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重点领</w:t>
                  </w:r>
                  <w:r>
                    <w:rPr>
                      <w:rFonts w:hint="default" w:ascii="Times New Roman" w:hAnsi="Times New Roman" w:cs="Times New Roman"/>
                      <w:color w:val="auto"/>
                      <w:sz w:val="21"/>
                      <w:szCs w:val="21"/>
                    </w:rPr>
                    <w:t>域</w:t>
                  </w:r>
                </w:p>
              </w:tc>
              <w:tc>
                <w:tcPr>
                  <w:tcW w:w="805" w:type="dxa"/>
                  <w:vMerge w:val="restart"/>
                  <w:tcBorders>
                    <w:tl2br w:val="nil"/>
                    <w:tr2bl w:val="nil"/>
                  </w:tcBorders>
                  <w:vAlign w:val="center"/>
                </w:tcPr>
                <w:p w14:paraId="42F0FEB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指标名称</w:t>
                  </w:r>
                </w:p>
              </w:tc>
              <w:tc>
                <w:tcPr>
                  <w:tcW w:w="909" w:type="dxa"/>
                  <w:vMerge w:val="restart"/>
                  <w:tcBorders>
                    <w:tl2br w:val="nil"/>
                    <w:tr2bl w:val="nil"/>
                  </w:tcBorders>
                  <w:vAlign w:val="center"/>
                </w:tcPr>
                <w:p w14:paraId="25FD285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指标单</w:t>
                  </w:r>
                  <w:r>
                    <w:rPr>
                      <w:rFonts w:hint="default" w:ascii="Times New Roman" w:hAnsi="Times New Roman" w:cs="Times New Roman"/>
                      <w:color w:val="auto"/>
                      <w:sz w:val="21"/>
                      <w:szCs w:val="21"/>
                    </w:rPr>
                    <w:t>位</w:t>
                  </w:r>
                </w:p>
              </w:tc>
              <w:tc>
                <w:tcPr>
                  <w:tcW w:w="725" w:type="dxa"/>
                  <w:vMerge w:val="restart"/>
                  <w:tcBorders>
                    <w:tl2br w:val="nil"/>
                    <w:tr2bl w:val="nil"/>
                  </w:tcBorders>
                  <w:vAlign w:val="center"/>
                </w:tcPr>
                <w:p w14:paraId="3936D4F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标杆</w:t>
                  </w:r>
                  <w:r>
                    <w:rPr>
                      <w:rFonts w:hint="default" w:ascii="Times New Roman" w:hAnsi="Times New Roman" w:cs="Times New Roman"/>
                      <w:color w:val="auto"/>
                      <w:spacing w:val="3"/>
                      <w:sz w:val="21"/>
                      <w:szCs w:val="21"/>
                    </w:rPr>
                    <w:t>水平</w:t>
                  </w:r>
                </w:p>
              </w:tc>
              <w:tc>
                <w:tcPr>
                  <w:tcW w:w="661" w:type="dxa"/>
                  <w:vMerge w:val="restart"/>
                  <w:tcBorders>
                    <w:tl2br w:val="nil"/>
                    <w:tr2bl w:val="nil"/>
                  </w:tcBorders>
                  <w:vAlign w:val="center"/>
                </w:tcPr>
                <w:p w14:paraId="63059CC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基准</w:t>
                  </w:r>
                  <w:r>
                    <w:rPr>
                      <w:rFonts w:hint="default" w:ascii="Times New Roman" w:hAnsi="Times New Roman" w:cs="Times New Roman"/>
                      <w:color w:val="auto"/>
                      <w:spacing w:val="3"/>
                      <w:sz w:val="21"/>
                      <w:szCs w:val="21"/>
                    </w:rPr>
                    <w:t>水平</w:t>
                  </w:r>
                </w:p>
              </w:tc>
              <w:tc>
                <w:tcPr>
                  <w:tcW w:w="1167" w:type="dxa"/>
                  <w:vMerge w:val="restart"/>
                  <w:tcBorders>
                    <w:tl2br w:val="nil"/>
                    <w:tr2bl w:val="nil"/>
                  </w:tcBorders>
                  <w:vAlign w:val="center"/>
                </w:tcPr>
                <w:p w14:paraId="5519D8C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本项目情</w:t>
                  </w:r>
                  <w:r>
                    <w:rPr>
                      <w:rFonts w:hint="default" w:ascii="Times New Roman" w:hAnsi="Times New Roman" w:cs="Times New Roman"/>
                      <w:color w:val="auto"/>
                      <w:sz w:val="21"/>
                      <w:szCs w:val="21"/>
                    </w:rPr>
                    <w:t>况</w:t>
                  </w:r>
                </w:p>
              </w:tc>
            </w:tr>
            <w:tr w14:paraId="50F26A7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0" w:type="dxa"/>
                  <w:vMerge w:val="continue"/>
                  <w:tcBorders>
                    <w:tl2br w:val="nil"/>
                    <w:tr2bl w:val="nil"/>
                  </w:tcBorders>
                  <w:textDirection w:val="tbRlV"/>
                  <w:vAlign w:val="center"/>
                </w:tcPr>
                <w:p w14:paraId="3EB27B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72" w:type="dxa"/>
                  <w:tcBorders>
                    <w:tl2br w:val="nil"/>
                    <w:tr2bl w:val="nil"/>
                  </w:tcBorders>
                  <w:vAlign w:val="center"/>
                </w:tcPr>
                <w:p w14:paraId="46B2445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大类</w:t>
                  </w:r>
                </w:p>
              </w:tc>
              <w:tc>
                <w:tcPr>
                  <w:tcW w:w="1083" w:type="dxa"/>
                  <w:tcBorders>
                    <w:tl2br w:val="nil"/>
                    <w:tr2bl w:val="nil"/>
                  </w:tcBorders>
                  <w:vAlign w:val="center"/>
                </w:tcPr>
                <w:p w14:paraId="11C3B6B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中类</w:t>
                  </w:r>
                </w:p>
              </w:tc>
              <w:tc>
                <w:tcPr>
                  <w:tcW w:w="1498" w:type="dxa"/>
                  <w:tcBorders>
                    <w:tl2br w:val="nil"/>
                    <w:tr2bl w:val="nil"/>
                  </w:tcBorders>
                  <w:vAlign w:val="center"/>
                </w:tcPr>
                <w:p w14:paraId="1DE2740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小类</w:t>
                  </w:r>
                </w:p>
              </w:tc>
              <w:tc>
                <w:tcPr>
                  <w:tcW w:w="891" w:type="dxa"/>
                  <w:vMerge w:val="continue"/>
                  <w:tcBorders>
                    <w:tl2br w:val="nil"/>
                    <w:tr2bl w:val="nil"/>
                  </w:tcBorders>
                  <w:vAlign w:val="center"/>
                </w:tcPr>
                <w:p w14:paraId="680A13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805" w:type="dxa"/>
                  <w:vMerge w:val="continue"/>
                  <w:tcBorders>
                    <w:tl2br w:val="nil"/>
                    <w:tr2bl w:val="nil"/>
                  </w:tcBorders>
                  <w:vAlign w:val="center"/>
                </w:tcPr>
                <w:p w14:paraId="0F68046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909" w:type="dxa"/>
                  <w:vMerge w:val="continue"/>
                  <w:tcBorders>
                    <w:tl2br w:val="nil"/>
                    <w:tr2bl w:val="nil"/>
                  </w:tcBorders>
                  <w:vAlign w:val="center"/>
                </w:tcPr>
                <w:p w14:paraId="260F9A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725" w:type="dxa"/>
                  <w:vMerge w:val="continue"/>
                  <w:tcBorders>
                    <w:tl2br w:val="nil"/>
                    <w:tr2bl w:val="nil"/>
                  </w:tcBorders>
                  <w:vAlign w:val="center"/>
                </w:tcPr>
                <w:p w14:paraId="656BF2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661" w:type="dxa"/>
                  <w:vMerge w:val="continue"/>
                  <w:tcBorders>
                    <w:tl2br w:val="nil"/>
                    <w:tr2bl w:val="nil"/>
                  </w:tcBorders>
                  <w:vAlign w:val="center"/>
                </w:tcPr>
                <w:p w14:paraId="1FF502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c>
                <w:tcPr>
                  <w:tcW w:w="1167" w:type="dxa"/>
                  <w:vMerge w:val="continue"/>
                  <w:tcBorders>
                    <w:tl2br w:val="nil"/>
                    <w:tr2bl w:val="nil"/>
                  </w:tcBorders>
                  <w:vAlign w:val="center"/>
                </w:tcPr>
                <w:p w14:paraId="5925C3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p>
              </w:tc>
            </w:tr>
            <w:tr w14:paraId="671CC89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0" w:type="dxa"/>
                  <w:tcBorders>
                    <w:tl2br w:val="nil"/>
                    <w:tr2bl w:val="nil"/>
                  </w:tcBorders>
                  <w:vAlign w:val="center"/>
                </w:tcPr>
                <w:p w14:paraId="4F185A2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7</w:t>
                  </w:r>
                </w:p>
              </w:tc>
              <w:tc>
                <w:tcPr>
                  <w:tcW w:w="872" w:type="dxa"/>
                  <w:tcBorders>
                    <w:tl2br w:val="nil"/>
                    <w:tr2bl w:val="nil"/>
                  </w:tcBorders>
                  <w:vAlign w:val="center"/>
                </w:tcPr>
                <w:p w14:paraId="36B6927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金属制</w:t>
                  </w:r>
                  <w:r>
                    <w:rPr>
                      <w:rFonts w:hint="default" w:ascii="Times New Roman" w:hAnsi="Times New Roman" w:cs="Times New Roman"/>
                      <w:color w:val="auto"/>
                      <w:spacing w:val="-4"/>
                      <w:sz w:val="21"/>
                      <w:szCs w:val="21"/>
                    </w:rPr>
                    <w:t>品业</w:t>
                  </w:r>
                  <w:r>
                    <w:rPr>
                      <w:rFonts w:hint="default" w:ascii="Times New Roman" w:hAnsi="Times New Roman" w:cs="Times New Roman"/>
                      <w:color w:val="auto"/>
                      <w:sz w:val="21"/>
                      <w:szCs w:val="21"/>
                    </w:rPr>
                    <w:t>（</w:t>
                  </w:r>
                  <w:r>
                    <w:rPr>
                      <w:rFonts w:hint="default" w:ascii="Times New Roman" w:hAnsi="Times New Roman" w:eastAsia="Times New Roman" w:cs="Times New Roman"/>
                      <w:color w:val="auto"/>
                      <w:sz w:val="21"/>
                      <w:szCs w:val="21"/>
                    </w:rPr>
                    <w:t>33</w:t>
                  </w:r>
                  <w:r>
                    <w:rPr>
                      <w:rFonts w:hint="default" w:ascii="Times New Roman" w:hAnsi="Times New Roman" w:cs="Times New Roman"/>
                      <w:color w:val="auto"/>
                      <w:sz w:val="21"/>
                      <w:szCs w:val="21"/>
                    </w:rPr>
                    <w:t>）</w:t>
                  </w:r>
                </w:p>
              </w:tc>
              <w:tc>
                <w:tcPr>
                  <w:tcW w:w="1083" w:type="dxa"/>
                  <w:tcBorders>
                    <w:tl2br w:val="nil"/>
                    <w:tr2bl w:val="nil"/>
                  </w:tcBorders>
                  <w:vAlign w:val="center"/>
                </w:tcPr>
                <w:p w14:paraId="3F3FC91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color w:val="auto"/>
                      <w:spacing w:val="7"/>
                      <w:sz w:val="21"/>
                      <w:szCs w:val="21"/>
                    </w:rPr>
                    <w:t>铸造及其他金属制</w:t>
                  </w:r>
                  <w:r>
                    <w:rPr>
                      <w:rFonts w:hint="default" w:ascii="Times New Roman" w:hAnsi="Times New Roman" w:cs="Times New Roman"/>
                      <w:color w:val="auto"/>
                      <w:spacing w:val="1"/>
                      <w:sz w:val="21"/>
                      <w:szCs w:val="21"/>
                    </w:rPr>
                    <w:t>品制造</w:t>
                  </w:r>
                  <w:r>
                    <w:rPr>
                      <w:rFonts w:hint="default" w:ascii="Times New Roman" w:hAnsi="Times New Roman" w:eastAsia="Times New Roman" w:cs="Times New Roman"/>
                      <w:color w:val="auto"/>
                      <w:spacing w:val="2"/>
                      <w:sz w:val="21"/>
                      <w:szCs w:val="21"/>
                    </w:rPr>
                    <w:t>(339)</w:t>
                  </w:r>
                </w:p>
              </w:tc>
              <w:tc>
                <w:tcPr>
                  <w:tcW w:w="1498" w:type="dxa"/>
                  <w:tcBorders>
                    <w:tl2br w:val="nil"/>
                    <w:tr2bl w:val="nil"/>
                  </w:tcBorders>
                  <w:vAlign w:val="center"/>
                </w:tcPr>
                <w:p w14:paraId="0217AA7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color w:val="auto"/>
                      <w:spacing w:val="7"/>
                      <w:sz w:val="21"/>
                      <w:szCs w:val="21"/>
                    </w:rPr>
                    <w:t>黑色金属铸造</w:t>
                  </w:r>
                  <w:r>
                    <w:rPr>
                      <w:rFonts w:hint="default" w:ascii="Times New Roman" w:hAnsi="Times New Roman" w:eastAsia="Times New Roman" w:cs="Times New Roman"/>
                      <w:color w:val="auto"/>
                      <w:spacing w:val="2"/>
                      <w:sz w:val="21"/>
                      <w:szCs w:val="21"/>
                    </w:rPr>
                    <w:t>(3391)</w:t>
                  </w:r>
                  <w:r>
                    <w:rPr>
                      <w:rFonts w:hint="default" w:ascii="Times New Roman" w:hAnsi="Times New Roman" w:cs="Times New Roman"/>
                      <w:color w:val="auto"/>
                      <w:spacing w:val="8"/>
                      <w:sz w:val="21"/>
                      <w:szCs w:val="21"/>
                    </w:rPr>
                    <w:t>有色金属铸造</w:t>
                  </w:r>
                  <w:r>
                    <w:rPr>
                      <w:rFonts w:hint="default" w:ascii="Times New Roman" w:hAnsi="Times New Roman" w:eastAsia="Times New Roman" w:cs="Times New Roman"/>
                      <w:color w:val="auto"/>
                      <w:spacing w:val="2"/>
                      <w:sz w:val="21"/>
                      <w:szCs w:val="21"/>
                    </w:rPr>
                    <w:t>(3392)</w:t>
                  </w:r>
                </w:p>
              </w:tc>
              <w:tc>
                <w:tcPr>
                  <w:tcW w:w="891" w:type="dxa"/>
                  <w:tcBorders>
                    <w:tl2br w:val="nil"/>
                    <w:tr2bl w:val="nil"/>
                  </w:tcBorders>
                  <w:vAlign w:val="center"/>
                </w:tcPr>
                <w:p w14:paraId="5E55125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cs="Times New Roman"/>
                      <w:color w:val="auto"/>
                      <w:spacing w:val="5"/>
                      <w:sz w:val="21"/>
                      <w:szCs w:val="21"/>
                    </w:rPr>
                    <w:t>铸造</w:t>
                  </w:r>
                  <w:r>
                    <w:rPr>
                      <w:rFonts w:hint="default" w:ascii="Times New Roman" w:hAnsi="Times New Roman" w:eastAsia="Times New Roman" w:cs="Times New Roman"/>
                      <w:color w:val="auto"/>
                      <w:spacing w:val="4"/>
                      <w:sz w:val="21"/>
                      <w:szCs w:val="21"/>
                    </w:rPr>
                    <w:t>(</w:t>
                  </w:r>
                  <w:r>
                    <w:rPr>
                      <w:rFonts w:hint="default" w:ascii="Times New Roman" w:hAnsi="Times New Roman" w:cs="Times New Roman"/>
                      <w:color w:val="auto"/>
                      <w:spacing w:val="4"/>
                      <w:sz w:val="21"/>
                      <w:szCs w:val="21"/>
                    </w:rPr>
                    <w:t>企业</w:t>
                  </w:r>
                  <w:r>
                    <w:rPr>
                      <w:rFonts w:hint="default" w:ascii="Times New Roman" w:hAnsi="Times New Roman" w:cs="Times New Roman"/>
                      <w:color w:val="auto"/>
                      <w:spacing w:val="6"/>
                      <w:sz w:val="21"/>
                      <w:szCs w:val="21"/>
                    </w:rPr>
                    <w:t>无高炉</w:t>
                  </w:r>
                  <w:r>
                    <w:rPr>
                      <w:rFonts w:hint="default" w:ascii="Times New Roman" w:hAnsi="Times New Roman" w:cs="Times New Roman"/>
                      <w:color w:val="auto"/>
                      <w:spacing w:val="4"/>
                      <w:sz w:val="21"/>
                      <w:szCs w:val="21"/>
                    </w:rPr>
                    <w:t>装置</w:t>
                  </w:r>
                  <w:r>
                    <w:rPr>
                      <w:rFonts w:hint="default" w:ascii="Times New Roman" w:hAnsi="Times New Roman" w:eastAsia="Times New Roman" w:cs="Times New Roman"/>
                      <w:color w:val="auto"/>
                      <w:spacing w:val="4"/>
                      <w:sz w:val="21"/>
                      <w:szCs w:val="21"/>
                    </w:rPr>
                    <w:t>)</w:t>
                  </w:r>
                </w:p>
              </w:tc>
              <w:tc>
                <w:tcPr>
                  <w:tcW w:w="805" w:type="dxa"/>
                  <w:tcBorders>
                    <w:tl2br w:val="nil"/>
                    <w:tr2bl w:val="nil"/>
                  </w:tcBorders>
                  <w:vAlign w:val="center"/>
                </w:tcPr>
                <w:p w14:paraId="7361705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万元</w:t>
                  </w:r>
                  <w:r>
                    <w:rPr>
                      <w:rFonts w:hint="default" w:ascii="Times New Roman" w:hAnsi="Times New Roman" w:cs="Times New Roman"/>
                      <w:color w:val="auto"/>
                      <w:spacing w:val="4"/>
                      <w:sz w:val="21"/>
                      <w:szCs w:val="21"/>
                    </w:rPr>
                    <w:t>产值</w:t>
                  </w:r>
                  <w:r>
                    <w:rPr>
                      <w:rFonts w:hint="default" w:ascii="Times New Roman" w:hAnsi="Times New Roman" w:cs="Times New Roman"/>
                      <w:color w:val="auto"/>
                      <w:sz w:val="21"/>
                      <w:szCs w:val="21"/>
                    </w:rPr>
                    <w:t>能耗</w:t>
                  </w:r>
                </w:p>
              </w:tc>
              <w:tc>
                <w:tcPr>
                  <w:tcW w:w="909" w:type="dxa"/>
                  <w:tcBorders>
                    <w:tl2br w:val="nil"/>
                    <w:tr2bl w:val="nil"/>
                  </w:tcBorders>
                  <w:vAlign w:val="center"/>
                </w:tcPr>
                <w:p w14:paraId="4A942AF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千克标</w:t>
                  </w:r>
                  <w:r>
                    <w:rPr>
                      <w:rFonts w:hint="default" w:ascii="Times New Roman" w:hAnsi="Times New Roman" w:cs="Times New Roman"/>
                      <w:color w:val="auto"/>
                      <w:spacing w:val="4"/>
                      <w:sz w:val="21"/>
                      <w:szCs w:val="21"/>
                    </w:rPr>
                    <w:t>准煤</w:t>
                  </w:r>
                  <w:r>
                    <w:rPr>
                      <w:rFonts w:hint="default" w:ascii="Times New Roman" w:hAnsi="Times New Roman" w:eastAsia="Times New Roman" w:cs="Times New Roman"/>
                      <w:color w:val="auto"/>
                      <w:spacing w:val="4"/>
                      <w:sz w:val="21"/>
                      <w:szCs w:val="21"/>
                    </w:rPr>
                    <w:t>/</w:t>
                  </w:r>
                  <w:r>
                    <w:rPr>
                      <w:rFonts w:hint="default" w:ascii="Times New Roman" w:hAnsi="Times New Roman" w:cs="Times New Roman"/>
                      <w:color w:val="auto"/>
                      <w:spacing w:val="2"/>
                      <w:sz w:val="21"/>
                      <w:szCs w:val="21"/>
                    </w:rPr>
                    <w:t>万元</w:t>
                  </w:r>
                </w:p>
              </w:tc>
              <w:tc>
                <w:tcPr>
                  <w:tcW w:w="725" w:type="dxa"/>
                  <w:tcBorders>
                    <w:tl2br w:val="nil"/>
                    <w:tr2bl w:val="nil"/>
                  </w:tcBorders>
                  <w:shd w:val="clear" w:color="auto" w:fill="auto"/>
                  <w:vAlign w:val="center"/>
                </w:tcPr>
                <w:p w14:paraId="626DEE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Times New Roman" w:cs="Times New Roman"/>
                      <w:snapToGrid w:val="0"/>
                      <w:color w:val="auto"/>
                      <w:kern w:val="0"/>
                      <w:sz w:val="21"/>
                      <w:szCs w:val="21"/>
                      <w:lang w:val="en-US" w:eastAsia="en-US" w:bidi="ar-SA"/>
                    </w:rPr>
                  </w:pPr>
                  <w:r>
                    <w:rPr>
                      <w:rFonts w:hint="default" w:ascii="Times New Roman" w:hAnsi="Times New Roman" w:eastAsia="Times New Roman" w:cs="Times New Roman"/>
                      <w:color w:val="auto"/>
                      <w:spacing w:val="-3"/>
                      <w:sz w:val="21"/>
                      <w:szCs w:val="21"/>
                    </w:rPr>
                    <w:t>175</w:t>
                  </w:r>
                </w:p>
              </w:tc>
              <w:tc>
                <w:tcPr>
                  <w:tcW w:w="661" w:type="dxa"/>
                  <w:tcBorders>
                    <w:tl2br w:val="nil"/>
                    <w:tr2bl w:val="nil"/>
                  </w:tcBorders>
                  <w:shd w:val="clear" w:color="auto" w:fill="auto"/>
                  <w:vAlign w:val="center"/>
                </w:tcPr>
                <w:p w14:paraId="6DDC36D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Times New Roman" w:cs="Times New Roman"/>
                      <w:snapToGrid w:val="0"/>
                      <w:color w:val="auto"/>
                      <w:kern w:val="0"/>
                      <w:sz w:val="21"/>
                      <w:szCs w:val="21"/>
                      <w:highlight w:val="none"/>
                      <w:lang w:val="en-US" w:eastAsia="en-US" w:bidi="ar-SA"/>
                    </w:rPr>
                  </w:pPr>
                  <w:r>
                    <w:rPr>
                      <w:rFonts w:hint="default" w:ascii="Times New Roman" w:hAnsi="Times New Roman" w:eastAsia="Times New Roman" w:cs="Times New Roman"/>
                      <w:color w:val="auto"/>
                      <w:spacing w:val="3"/>
                      <w:sz w:val="21"/>
                      <w:szCs w:val="21"/>
                      <w:highlight w:val="none"/>
                    </w:rPr>
                    <w:t>220</w:t>
                  </w:r>
                </w:p>
              </w:tc>
              <w:tc>
                <w:tcPr>
                  <w:tcW w:w="1167" w:type="dxa"/>
                  <w:tcBorders>
                    <w:tl2br w:val="nil"/>
                    <w:tr2bl w:val="nil"/>
                  </w:tcBorders>
                  <w:vAlign w:val="center"/>
                </w:tcPr>
                <w:p w14:paraId="5FBAE93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6"/>
                      <w:sz w:val="21"/>
                      <w:szCs w:val="21"/>
                      <w:highlight w:val="none"/>
                    </w:rPr>
                    <w:t>技改前</w:t>
                  </w:r>
                  <w:r>
                    <w:rPr>
                      <w:rFonts w:hint="default" w:ascii="Times New Roman" w:hAnsi="Times New Roman" w:eastAsia="Times New Roman" w:cs="Times New Roman"/>
                      <w:color w:val="auto"/>
                      <w:spacing w:val="2"/>
                      <w:sz w:val="21"/>
                      <w:szCs w:val="21"/>
                      <w:highlight w:val="none"/>
                    </w:rPr>
                    <w:t>2</w:t>
                  </w:r>
                  <w:r>
                    <w:rPr>
                      <w:rFonts w:hint="eastAsia" w:ascii="Times New Roman" w:hAnsi="Times New Roman" w:eastAsia="宋体" w:cs="Times New Roman"/>
                      <w:color w:val="auto"/>
                      <w:spacing w:val="2"/>
                      <w:sz w:val="21"/>
                      <w:szCs w:val="21"/>
                      <w:highlight w:val="none"/>
                      <w:lang w:val="en-US" w:eastAsia="zh-CN"/>
                    </w:rPr>
                    <w:t>05</w:t>
                  </w:r>
                  <w:r>
                    <w:rPr>
                      <w:rFonts w:hint="default" w:ascii="Times New Roman" w:hAnsi="Times New Roman" w:cs="Times New Roman"/>
                      <w:color w:val="auto"/>
                      <w:spacing w:val="2"/>
                      <w:sz w:val="21"/>
                      <w:szCs w:val="21"/>
                      <w:highlight w:val="none"/>
                    </w:rPr>
                    <w:t>、技改</w:t>
                  </w:r>
                  <w:r>
                    <w:rPr>
                      <w:rFonts w:hint="default" w:ascii="Times New Roman" w:hAnsi="Times New Roman" w:cs="Times New Roman"/>
                      <w:color w:val="auto"/>
                      <w:spacing w:val="-3"/>
                      <w:sz w:val="21"/>
                      <w:szCs w:val="21"/>
                      <w:highlight w:val="none"/>
                    </w:rPr>
                    <w:t>后</w:t>
                  </w:r>
                  <w:r>
                    <w:rPr>
                      <w:rFonts w:hint="default" w:ascii="Times New Roman" w:hAnsi="Times New Roman" w:eastAsia="Times New Roman" w:cs="Times New Roman"/>
                      <w:color w:val="auto"/>
                      <w:spacing w:val="-3"/>
                      <w:sz w:val="21"/>
                      <w:szCs w:val="21"/>
                      <w:highlight w:val="none"/>
                    </w:rPr>
                    <w:t>1</w:t>
                  </w:r>
                  <w:r>
                    <w:rPr>
                      <w:rFonts w:hint="eastAsia" w:ascii="Times New Roman" w:hAnsi="Times New Roman" w:eastAsia="宋体" w:cs="Times New Roman"/>
                      <w:color w:val="auto"/>
                      <w:spacing w:val="-3"/>
                      <w:sz w:val="21"/>
                      <w:szCs w:val="21"/>
                      <w:highlight w:val="none"/>
                      <w:lang w:val="en-US" w:eastAsia="zh-CN"/>
                    </w:rPr>
                    <w:t>95</w:t>
                  </w:r>
                </w:p>
              </w:tc>
            </w:tr>
          </w:tbl>
          <w:p w14:paraId="39763C1C">
            <w:pPr>
              <w:pStyle w:val="3"/>
              <w:ind w:firstLine="482" w:firstLineChars="20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十</w:t>
            </w:r>
            <w:r>
              <w:rPr>
                <w:rFonts w:hint="eastAsia" w:ascii="Times New Roman" w:hAnsi="Times New Roman" w:cs="Times New Roman"/>
                <w:b/>
                <w:bCs/>
                <w:color w:val="auto"/>
                <w:lang w:val="en-US" w:eastAsia="zh-CN"/>
              </w:rPr>
              <w:t>二</w:t>
            </w:r>
            <w:r>
              <w:rPr>
                <w:rFonts w:hint="default" w:ascii="Times New Roman" w:hAnsi="Times New Roman" w:cs="Times New Roman"/>
                <w:b/>
                <w:bCs/>
                <w:color w:val="auto"/>
                <w:lang w:val="en-US" w:eastAsia="zh-CN"/>
              </w:rPr>
              <w:t>、与</w:t>
            </w:r>
            <w:r>
              <w:rPr>
                <w:rFonts w:hint="default" w:ascii="Times New Roman" w:hAnsi="Times New Roman" w:cs="Times New Roman"/>
                <w:b/>
                <w:bCs/>
                <w:color w:val="auto"/>
              </w:rPr>
              <w:t>环办大气函〔2020〕340号中铸件企业绩效分级指标</w:t>
            </w:r>
            <w:r>
              <w:rPr>
                <w:rFonts w:hint="default" w:ascii="Times New Roman" w:hAnsi="Times New Roman" w:cs="Times New Roman"/>
                <w:b/>
                <w:bCs/>
                <w:color w:val="auto"/>
                <w:lang w:val="en-US" w:eastAsia="zh-CN"/>
              </w:rPr>
              <w:t>中铸件企业绩效分级指标(采用天然气、电炉熔化设备)</w:t>
            </w:r>
            <w:r>
              <w:rPr>
                <w:rFonts w:hint="eastAsia" w:ascii="Times New Roman" w:hAnsi="Times New Roman" w:cs="Times New Roman"/>
                <w:b/>
                <w:bCs/>
                <w:color w:val="auto"/>
                <w:lang w:val="en-US" w:eastAsia="zh-CN"/>
              </w:rPr>
              <w:t>C级企业</w:t>
            </w:r>
            <w:r>
              <w:rPr>
                <w:rFonts w:hint="default" w:ascii="Times New Roman" w:hAnsi="Times New Roman" w:cs="Times New Roman"/>
                <w:b/>
                <w:bCs/>
                <w:color w:val="auto"/>
                <w:lang w:val="en-US" w:eastAsia="zh-CN"/>
              </w:rPr>
              <w:t>符合性分析</w:t>
            </w:r>
          </w:p>
          <w:p w14:paraId="60D4279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表1-</w:t>
            </w:r>
            <w:r>
              <w:rPr>
                <w:rFonts w:hint="default" w:ascii="Times New Roman" w:hAnsi="Times New Roman" w:cs="Times New Roman"/>
                <w:b/>
                <w:bCs/>
                <w:color w:val="auto"/>
                <w:lang w:val="en-US" w:eastAsia="zh-CN"/>
              </w:rPr>
              <w:t>1</w:t>
            </w:r>
            <w:r>
              <w:rPr>
                <w:rFonts w:hint="eastAsia" w:ascii="Times New Roman" w:hAnsi="Times New Roman" w:cs="Times New Roman"/>
                <w:b/>
                <w:bCs/>
                <w:color w:val="auto"/>
                <w:lang w:val="en-US" w:eastAsia="zh-CN"/>
              </w:rPr>
              <w:t xml:space="preserve">2 </w:t>
            </w:r>
            <w:r>
              <w:rPr>
                <w:rFonts w:hint="default" w:ascii="Times New Roman" w:hAnsi="Times New Roman" w:cs="Times New Roman"/>
                <w:b/>
                <w:bCs/>
                <w:color w:val="auto"/>
              </w:rPr>
              <w:t>与铸件企业绩效分级指标（采用天然气、电炉熔化设备）C级企业要求符合性分析一览表</w:t>
            </w:r>
          </w:p>
          <w:tbl>
            <w:tblPr>
              <w:tblStyle w:val="15"/>
              <w:tblW w:w="907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44"/>
              <w:gridCol w:w="5278"/>
              <w:gridCol w:w="2036"/>
              <w:gridCol w:w="813"/>
            </w:tblGrid>
            <w:tr w14:paraId="703915B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28" w:type="pct"/>
                  <w:gridSpan w:val="2"/>
                  <w:tcBorders>
                    <w:tl2br w:val="nil"/>
                    <w:tr2bl w:val="nil"/>
                  </w:tcBorders>
                  <w:noWrap w:val="0"/>
                  <w:vAlign w:val="center"/>
                </w:tcPr>
                <w:p w14:paraId="698B92C2">
                  <w:pPr>
                    <w:adjustRightInd w:val="0"/>
                    <w:snapToGrid w:val="0"/>
                    <w:spacing w:line="240" w:lineRule="auto"/>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文件</w:t>
                  </w:r>
                  <w:r>
                    <w:rPr>
                      <w:rFonts w:hint="default" w:ascii="Times New Roman" w:hAnsi="Times New Roman" w:eastAsia="宋体" w:cs="Times New Roman"/>
                      <w:b/>
                      <w:color w:val="auto"/>
                      <w:sz w:val="21"/>
                      <w:szCs w:val="21"/>
                      <w:lang w:eastAsia="zh-CN"/>
                    </w:rPr>
                    <w:t>要求</w:t>
                  </w:r>
                </w:p>
              </w:tc>
              <w:tc>
                <w:tcPr>
                  <w:tcW w:w="1122" w:type="pct"/>
                  <w:tcBorders>
                    <w:tl2br w:val="nil"/>
                    <w:tr2bl w:val="nil"/>
                  </w:tcBorders>
                  <w:noWrap w:val="0"/>
                  <w:vAlign w:val="center"/>
                </w:tcPr>
                <w:p w14:paraId="6A7BD09E">
                  <w:pPr>
                    <w:adjustRightInd w:val="0"/>
                    <w:snapToGrid w:val="0"/>
                    <w:spacing w:line="240" w:lineRule="auto"/>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本项目情况</w:t>
                  </w:r>
                </w:p>
              </w:tc>
              <w:tc>
                <w:tcPr>
                  <w:tcW w:w="448" w:type="pct"/>
                  <w:tcBorders>
                    <w:tl2br w:val="nil"/>
                    <w:tr2bl w:val="nil"/>
                  </w:tcBorders>
                  <w:noWrap w:val="0"/>
                  <w:vAlign w:val="center"/>
                </w:tcPr>
                <w:p w14:paraId="211DC35A">
                  <w:pPr>
                    <w:adjustRightInd w:val="0"/>
                    <w:snapToGrid w:val="0"/>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符合性</w:t>
                  </w:r>
                </w:p>
              </w:tc>
            </w:tr>
            <w:tr w14:paraId="3197090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0" w:type="pct"/>
                  <w:tcBorders>
                    <w:tl2br w:val="nil"/>
                    <w:tr2bl w:val="nil"/>
                  </w:tcBorders>
                  <w:noWrap w:val="0"/>
                  <w:vAlign w:val="center"/>
                </w:tcPr>
                <w:p w14:paraId="660EFCB0">
                  <w:pPr>
                    <w:keepNext w:val="0"/>
                    <w:keepLines w:val="0"/>
                    <w:widowControl/>
                    <w:suppressLineNumbers w:val="0"/>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装备水平及生产工艺</w:t>
                  </w:r>
                </w:p>
              </w:tc>
              <w:tc>
                <w:tcPr>
                  <w:tcW w:w="2907" w:type="pct"/>
                  <w:tcBorders>
                    <w:tl2br w:val="nil"/>
                    <w:tr2bl w:val="nil"/>
                  </w:tcBorders>
                  <w:noWrap w:val="0"/>
                  <w:vAlign w:val="center"/>
                </w:tcPr>
                <w:p w14:paraId="6ACF3ACD">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粘土砂工艺（连续生产一个班次8小时或者至少300件批次连续生产）、消失模工艺采用机械化造型及以上；2、熔模铸造工艺采用机械化制壳及以上；3、压铸等其他铸造工艺暂不考虑装备水平差异，依据其污染治理水平确定绩效</w:t>
                  </w:r>
                </w:p>
              </w:tc>
              <w:tc>
                <w:tcPr>
                  <w:tcW w:w="1122" w:type="pct"/>
                  <w:tcBorders>
                    <w:tl2br w:val="nil"/>
                    <w:tr2bl w:val="nil"/>
                  </w:tcBorders>
                  <w:noWrap w:val="0"/>
                  <w:vAlign w:val="center"/>
                </w:tcPr>
                <w:p w14:paraId="5F327ECD">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本项目新增铸造工艺污染物经处理后能够达标排放</w:t>
                  </w:r>
                </w:p>
              </w:tc>
              <w:tc>
                <w:tcPr>
                  <w:tcW w:w="448" w:type="pct"/>
                  <w:tcBorders>
                    <w:tl2br w:val="nil"/>
                    <w:tr2bl w:val="nil"/>
                  </w:tcBorders>
                  <w:noWrap w:val="0"/>
                  <w:vAlign w:val="center"/>
                </w:tcPr>
                <w:p w14:paraId="03174F07">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r w14:paraId="28390EA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0" w:type="pct"/>
                  <w:tcBorders>
                    <w:tl2br w:val="nil"/>
                    <w:tr2bl w:val="nil"/>
                  </w:tcBorders>
                  <w:noWrap w:val="0"/>
                  <w:vAlign w:val="center"/>
                </w:tcPr>
                <w:p w14:paraId="700826DB">
                  <w:pPr>
                    <w:keepNext w:val="0"/>
                    <w:keepLines w:val="0"/>
                    <w:widowControl/>
                    <w:suppressLineNumbers w:val="0"/>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污染治理技术</w:t>
                  </w:r>
                </w:p>
              </w:tc>
              <w:tc>
                <w:tcPr>
                  <w:tcW w:w="2907" w:type="pct"/>
                  <w:tcBorders>
                    <w:tl2br w:val="nil"/>
                    <w:tr2bl w:val="nil"/>
                  </w:tcBorders>
                  <w:noWrap w:val="0"/>
                  <w:vAlign w:val="center"/>
                </w:tcPr>
                <w:p w14:paraId="54CEE786">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1、制芯（冷芯盒）、覆膜砂（壳型）工序VOCs采用吸收法或更高效的处理措施；2、消失模、实型铸造工艺的浇注工序采用活性炭吸附及以上处理设施；3、涂装工序要求同B级企业</w:t>
                  </w:r>
                </w:p>
              </w:tc>
              <w:tc>
                <w:tcPr>
                  <w:tcW w:w="1122" w:type="pct"/>
                  <w:tcBorders>
                    <w:tl2br w:val="nil"/>
                    <w:tr2bl w:val="nil"/>
                  </w:tcBorders>
                  <w:noWrap w:val="0"/>
                  <w:vAlign w:val="center"/>
                </w:tcPr>
                <w:p w14:paraId="1AE1D781">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1、本项目采用符合要求的废气处理措施；2、本项目采用活性炭吸附装置处理有机废气；3本项目不涉及</w:t>
                  </w:r>
                </w:p>
              </w:tc>
              <w:tc>
                <w:tcPr>
                  <w:tcW w:w="448" w:type="pct"/>
                  <w:tcBorders>
                    <w:tl2br w:val="nil"/>
                    <w:tr2bl w:val="nil"/>
                  </w:tcBorders>
                  <w:noWrap w:val="0"/>
                  <w:vAlign w:val="center"/>
                </w:tcPr>
                <w:p w14:paraId="0B0B5698">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r w14:paraId="1A82148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0" w:type="pct"/>
                  <w:tcBorders>
                    <w:tl2br w:val="nil"/>
                    <w:tr2bl w:val="nil"/>
                  </w:tcBorders>
                  <w:noWrap w:val="0"/>
                  <w:vAlign w:val="center"/>
                </w:tcPr>
                <w:p w14:paraId="2169B61A">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排放限值</w:t>
                  </w:r>
                </w:p>
              </w:tc>
              <w:tc>
                <w:tcPr>
                  <w:tcW w:w="2907" w:type="pct"/>
                  <w:tcBorders>
                    <w:tl2br w:val="nil"/>
                    <w:tr2bl w:val="nil"/>
                  </w:tcBorders>
                  <w:noWrap w:val="0"/>
                  <w:vAlign w:val="center"/>
                </w:tcPr>
                <w:p w14:paraId="7832189C">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1、PM、SO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、NOx排放浓度分别不高于30、150、400mg/m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；2、在连续一年的监测数据中，车间或生产设施排气筒排放的NMHC为40-50 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、TVOC为60-70 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；3、厂区内无组织排放监控点NMHC的小时平均浓度值不超过6mg/m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、任意一次浓度值不超过20mg/m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w:t>
                  </w:r>
                </w:p>
              </w:tc>
              <w:tc>
                <w:tcPr>
                  <w:tcW w:w="1122" w:type="pct"/>
                  <w:tcBorders>
                    <w:tl2br w:val="nil"/>
                    <w:tr2bl w:val="nil"/>
                  </w:tcBorders>
                  <w:noWrap w:val="0"/>
                  <w:vAlign w:val="center"/>
                </w:tcPr>
                <w:p w14:paraId="610B6C7B">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根据现有项目监测及本项目预估，全厂污染物排放均能满足要求</w:t>
                  </w:r>
                </w:p>
              </w:tc>
              <w:tc>
                <w:tcPr>
                  <w:tcW w:w="448" w:type="pct"/>
                  <w:tcBorders>
                    <w:tl2br w:val="nil"/>
                    <w:tr2bl w:val="nil"/>
                  </w:tcBorders>
                  <w:noWrap w:val="0"/>
                  <w:vAlign w:val="center"/>
                </w:tcPr>
                <w:p w14:paraId="35E116FD">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r w14:paraId="401442A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0" w:type="pct"/>
                  <w:tcBorders>
                    <w:tl2br w:val="nil"/>
                    <w:tr2bl w:val="nil"/>
                  </w:tcBorders>
                  <w:noWrap w:val="0"/>
                  <w:vAlign w:val="center"/>
                </w:tcPr>
                <w:p w14:paraId="41960876">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无组织排放</w:t>
                  </w:r>
                </w:p>
              </w:tc>
              <w:tc>
                <w:tcPr>
                  <w:tcW w:w="2907" w:type="pct"/>
                  <w:tcBorders>
                    <w:tl2br w:val="nil"/>
                    <w:tr2bl w:val="nil"/>
                  </w:tcBorders>
                  <w:noWrap w:val="0"/>
                  <w:vAlign w:val="center"/>
                </w:tcPr>
                <w:p w14:paraId="354B8238">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物料储存（1）煤粉、膨润土、硅砂等粉状物料应袋装或罐装，并储存于半封闭储库中；（2）生铁、废钢、焦炭和铁合金等粒状、块状散装物料应储存于半封闭储库及以上措施，半封闭储库料场应至少两面有围墙（围挡）及屋顶。2、物料转移和输送同A级企业3、铸造（1）孕育、变质、炉外精炼、除气等金属液预处理工序PM排放环节应安装排气罩，并配备除尘设施；（2）浇注工序设置排风罩，落砂、抛丸清理、砂处理工序宜在封闭设备内操作，废气收集至除尘设施。未在封闭设备内操作的，应采取固定式、移动式集气设备，并配备除尘设施；（3）对于树脂砂工艺特殊尺寸（特大等）铸件或使用地坑造型的，浇注和冷却工序采取固定式或移动式集气设备，并配备废气处理设施，待砂型冷却至无可见烟尘外</w:t>
                  </w:r>
                  <w:r>
                    <w:rPr>
                      <w:rFonts w:hint="eastAsia" w:ascii="Times New Roman" w:hAnsi="Times New Roman" w:eastAsia="宋体" w:cs="Times New Roman"/>
                      <w:color w:val="auto"/>
                      <w:sz w:val="21"/>
                      <w:szCs w:val="21"/>
                      <w:lang w:val="en-US" w:eastAsia="zh-CN"/>
                    </w:rPr>
                    <w:t>溢</w:t>
                  </w:r>
                  <w:r>
                    <w:rPr>
                      <w:rFonts w:hint="default" w:ascii="Times New Roman" w:hAnsi="Times New Roman" w:eastAsia="宋体" w:cs="Times New Roman"/>
                      <w:color w:val="auto"/>
                      <w:sz w:val="21"/>
                      <w:szCs w:val="21"/>
                      <w:lang w:val="en-US" w:eastAsia="zh-CN"/>
                    </w:rPr>
                    <w:t>时，环保设备方可停止运行；对于水玻璃砂工艺特殊尺寸（特大等）铸件或使用地坑造型的，浇注工序采取固定式或移动式集气设备，并配备除尘设施设置集气罩；落砂工序应采取有效集气除尘或抑尘措施；（4）清理（去除浇冒口、铲飞边毛刺等）和浇包、渣包的维修等工序应采取固定式或移动式集气设备并配备除尘设施；（5）车间不得有可见烟粉尘外</w:t>
                  </w:r>
                  <w:r>
                    <w:rPr>
                      <w:rFonts w:hint="eastAsia" w:ascii="Times New Roman" w:hAnsi="Times New Roman" w:eastAsia="宋体" w:cs="Times New Roman"/>
                      <w:color w:val="auto"/>
                      <w:sz w:val="21"/>
                      <w:szCs w:val="21"/>
                      <w:lang w:val="en-US" w:eastAsia="zh-CN"/>
                    </w:rPr>
                    <w:t>溢</w:t>
                  </w:r>
                </w:p>
              </w:tc>
              <w:tc>
                <w:tcPr>
                  <w:tcW w:w="1122" w:type="pct"/>
                  <w:tcBorders>
                    <w:tl2br w:val="nil"/>
                    <w:tr2bl w:val="nil"/>
                  </w:tcBorders>
                  <w:noWrap w:val="0"/>
                  <w:vAlign w:val="center"/>
                </w:tcPr>
                <w:p w14:paraId="1422F777">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本项目物料存放于密闭仓库内；2、本项目厂区道路已硬化，定期清扫降尘，物料转移过程在密闭车间内进行，除尘器泄灰口按要求密闭；3、本项目不涉及金属液预处理，浇注、落砂、清砂、砂处理等在密闭车间内进行，设置处理措施，不涉及地坑造型，清理等工序设施移动式除尘，车间内无可见烟粉尘排放</w:t>
                  </w:r>
                </w:p>
              </w:tc>
              <w:tc>
                <w:tcPr>
                  <w:tcW w:w="448" w:type="pct"/>
                  <w:tcBorders>
                    <w:tl2br w:val="nil"/>
                    <w:tr2bl w:val="nil"/>
                  </w:tcBorders>
                  <w:noWrap w:val="0"/>
                  <w:vAlign w:val="center"/>
                </w:tcPr>
                <w:p w14:paraId="35E008C2">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r w14:paraId="3DD3D35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0" w:type="pct"/>
                  <w:tcBorders>
                    <w:tl2br w:val="nil"/>
                    <w:tr2bl w:val="nil"/>
                  </w:tcBorders>
                  <w:noWrap w:val="0"/>
                  <w:vAlign w:val="center"/>
                </w:tcPr>
                <w:p w14:paraId="74969642">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监测监控水平</w:t>
                  </w:r>
                </w:p>
              </w:tc>
              <w:tc>
                <w:tcPr>
                  <w:tcW w:w="2907" w:type="pct"/>
                  <w:tcBorders>
                    <w:tl2br w:val="nil"/>
                    <w:tr2bl w:val="nil"/>
                  </w:tcBorders>
                  <w:noWrap w:val="0"/>
                  <w:vAlign w:val="center"/>
                </w:tcPr>
                <w:p w14:paraId="057FA9F0">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、料场出入口等易产生</w:t>
                  </w:r>
                  <w:r>
                    <w:rPr>
                      <w:rFonts w:hint="default" w:ascii="Times New Roman" w:hAnsi="Times New Roman" w:eastAsia="宋体" w:cs="Times New Roman"/>
                      <w:color w:val="auto"/>
                      <w:sz w:val="21"/>
                      <w:szCs w:val="21"/>
                      <w:lang w:val="en-US" w:eastAsia="zh-CN"/>
                    </w:rPr>
                    <w:t>PM</w:t>
                  </w:r>
                  <w:r>
                    <w:rPr>
                      <w:rFonts w:hint="eastAsia" w:ascii="Times New Roman" w:hAnsi="Times New Roman" w:eastAsia="宋体" w:cs="Times New Roman"/>
                      <w:color w:val="auto"/>
                      <w:sz w:val="21"/>
                      <w:szCs w:val="21"/>
                      <w:lang w:val="en-US" w:eastAsia="zh-CN"/>
                    </w:rPr>
                    <w:t>排放环节，安装高清视频监控设施。视频监控数据保存三个月以上；</w:t>
                  </w:r>
                  <w:r>
                    <w:rPr>
                      <w:rFonts w:hint="default"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、主要生产设施与污染防治设施分表计电</w:t>
                  </w:r>
                </w:p>
              </w:tc>
              <w:tc>
                <w:tcPr>
                  <w:tcW w:w="1122" w:type="pct"/>
                  <w:tcBorders>
                    <w:tl2br w:val="nil"/>
                    <w:tr2bl w:val="nil"/>
                  </w:tcBorders>
                  <w:noWrap w:val="0"/>
                  <w:vAlign w:val="center"/>
                </w:tcPr>
                <w:p w14:paraId="49E56FA6">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highlight w:val="none"/>
                      <w:lang w:val="en-US" w:eastAsia="zh-CN"/>
                    </w:rPr>
                    <w:t>本项目已按要求设置监控；2、生产设施及防</w:t>
                  </w:r>
                  <w:r>
                    <w:rPr>
                      <w:rFonts w:hint="eastAsia" w:ascii="Times New Roman" w:hAnsi="Times New Roman" w:eastAsia="宋体" w:cs="Times New Roman"/>
                      <w:color w:val="auto"/>
                      <w:sz w:val="21"/>
                      <w:szCs w:val="21"/>
                      <w:lang w:val="en-US" w:eastAsia="zh-CN"/>
                    </w:rPr>
                    <w:t>治设施已按要求设置电表</w:t>
                  </w:r>
                </w:p>
              </w:tc>
              <w:tc>
                <w:tcPr>
                  <w:tcW w:w="448" w:type="pct"/>
                  <w:tcBorders>
                    <w:tl2br w:val="nil"/>
                    <w:tr2bl w:val="nil"/>
                  </w:tcBorders>
                  <w:noWrap w:val="0"/>
                  <w:vAlign w:val="center"/>
                </w:tcPr>
                <w:p w14:paraId="7F262146">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r w14:paraId="1017755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0" w:type="pct"/>
                  <w:tcBorders>
                    <w:tl2br w:val="nil"/>
                    <w:tr2bl w:val="nil"/>
                  </w:tcBorders>
                  <w:noWrap w:val="0"/>
                  <w:vAlign w:val="center"/>
                </w:tcPr>
                <w:p w14:paraId="61B0360C">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环境管理水平</w:t>
                  </w:r>
                </w:p>
              </w:tc>
              <w:tc>
                <w:tcPr>
                  <w:tcW w:w="2907" w:type="pct"/>
                  <w:tcBorders>
                    <w:tl2br w:val="nil"/>
                    <w:tr2bl w:val="nil"/>
                  </w:tcBorders>
                  <w:noWrap w:val="0"/>
                  <w:vAlign w:val="center"/>
                </w:tcPr>
                <w:p w14:paraId="3D81C38E">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至少符合</w:t>
                  </w:r>
                  <w:r>
                    <w:rPr>
                      <w:rFonts w:hint="default" w:ascii="Times New Roman" w:hAnsi="Times New Roman" w:eastAsia="宋体" w:cs="Times New Roman"/>
                      <w:color w:val="auto"/>
                      <w:sz w:val="21"/>
                      <w:szCs w:val="21"/>
                      <w:lang w:val="en-US" w:eastAsia="zh-CN"/>
                    </w:rPr>
                    <w:t>A</w:t>
                  </w:r>
                  <w:r>
                    <w:rPr>
                      <w:rFonts w:hint="eastAsia" w:ascii="Times New Roman" w:hAnsi="Times New Roman" w:eastAsia="宋体" w:cs="Times New Roman"/>
                      <w:color w:val="auto"/>
                      <w:sz w:val="21"/>
                      <w:szCs w:val="21"/>
                      <w:lang w:val="en-US" w:eastAsia="zh-CN"/>
                    </w:rPr>
                    <w:t>级要求中的</w:t>
                  </w:r>
                  <w:r>
                    <w:rPr>
                      <w:rFonts w:hint="default"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rPr>
                    <w:t>条，其中必须包含</w:t>
                  </w:r>
                  <w:r>
                    <w:rPr>
                      <w:rFonts w:hint="default" w:ascii="Times New Roman" w:hAnsi="Times New Roman" w:eastAsia="宋体" w:cs="Times New Roman"/>
                      <w:color w:val="auto"/>
                      <w:sz w:val="21"/>
                      <w:szCs w:val="21"/>
                      <w:lang w:val="en-US" w:eastAsia="zh-CN"/>
                    </w:rPr>
                    <w:t>7</w:t>
                  </w:r>
                  <w:r>
                    <w:rPr>
                      <w:rFonts w:hint="eastAsia" w:ascii="Times New Roman" w:hAnsi="Times New Roman" w:eastAsia="宋体" w:cs="Times New Roman"/>
                      <w:color w:val="auto"/>
                      <w:sz w:val="21"/>
                      <w:szCs w:val="21"/>
                      <w:lang w:val="en-US" w:eastAsia="zh-CN"/>
                    </w:rPr>
                    <w:t>；</w:t>
                  </w:r>
                </w:p>
                <w:p w14:paraId="4029DC60">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人员配置：配备专职环保人员，并具备相应的环境管理能力</w:t>
                  </w:r>
                </w:p>
              </w:tc>
              <w:tc>
                <w:tcPr>
                  <w:tcW w:w="1122" w:type="pct"/>
                  <w:tcBorders>
                    <w:tl2br w:val="nil"/>
                    <w:tr2bl w:val="nil"/>
                  </w:tcBorders>
                  <w:noWrap w:val="0"/>
                  <w:vAlign w:val="center"/>
                </w:tcPr>
                <w:p w14:paraId="03984695">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1、公司已按要求设置记录台账，已设置废气治理设施运行管理规程；已配备符合要求的管理人员</w:t>
                  </w:r>
                </w:p>
              </w:tc>
              <w:tc>
                <w:tcPr>
                  <w:tcW w:w="448" w:type="pct"/>
                  <w:tcBorders>
                    <w:tl2br w:val="nil"/>
                    <w:tr2bl w:val="nil"/>
                  </w:tcBorders>
                  <w:noWrap w:val="0"/>
                  <w:vAlign w:val="center"/>
                </w:tcPr>
                <w:p w14:paraId="6182829A">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r w14:paraId="3F5EA03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0" w:type="pct"/>
                  <w:tcBorders>
                    <w:tl2br w:val="nil"/>
                    <w:tr2bl w:val="nil"/>
                  </w:tcBorders>
                  <w:noWrap w:val="0"/>
                  <w:vAlign w:val="center"/>
                </w:tcPr>
                <w:p w14:paraId="5240D2E0">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运输方式</w:t>
                  </w:r>
                </w:p>
              </w:tc>
              <w:tc>
                <w:tcPr>
                  <w:tcW w:w="2907" w:type="pct"/>
                  <w:tcBorders>
                    <w:tl2br w:val="nil"/>
                    <w:tr2bl w:val="nil"/>
                  </w:tcBorders>
                  <w:noWrap w:val="0"/>
                  <w:vAlign w:val="center"/>
                </w:tcPr>
                <w:p w14:paraId="3F7BA995">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物料公路运输使用达到国五及以上排放标准重型载货车辆（含燃气）或新能源车辆比例不低于50%</w:t>
                  </w:r>
                </w:p>
              </w:tc>
              <w:tc>
                <w:tcPr>
                  <w:tcW w:w="1122" w:type="pct"/>
                  <w:tcBorders>
                    <w:tl2br w:val="nil"/>
                    <w:tr2bl w:val="nil"/>
                  </w:tcBorders>
                  <w:noWrap w:val="0"/>
                  <w:vAlign w:val="center"/>
                </w:tcPr>
                <w:p w14:paraId="292FDE09">
                  <w:pPr>
                    <w:keepNext w:val="0"/>
                    <w:keepLines w:val="0"/>
                    <w:widowControl/>
                    <w:suppressLineNumbers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项目使用符合要求的运输车辆</w:t>
                  </w:r>
                </w:p>
              </w:tc>
              <w:tc>
                <w:tcPr>
                  <w:tcW w:w="448" w:type="pct"/>
                  <w:tcBorders>
                    <w:tl2br w:val="nil"/>
                    <w:tr2bl w:val="nil"/>
                  </w:tcBorders>
                  <w:noWrap w:val="0"/>
                  <w:vAlign w:val="center"/>
                </w:tcPr>
                <w:p w14:paraId="62A5F51C">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符合</w:t>
                  </w:r>
                </w:p>
              </w:tc>
            </w:tr>
          </w:tbl>
          <w:p w14:paraId="07AFAE7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b/>
                <w:bCs/>
                <w:color w:val="auto"/>
                <w:lang w:eastAsia="zh-CN"/>
              </w:rPr>
            </w:pPr>
            <w:r>
              <w:rPr>
                <w:rFonts w:hint="default" w:ascii="Times New Roman" w:hAnsi="Times New Roman" w:eastAsia="宋体" w:cs="Times New Roman"/>
                <w:snapToGrid w:val="0"/>
                <w:color w:val="auto"/>
                <w:kern w:val="0"/>
                <w:sz w:val="24"/>
                <w:szCs w:val="21"/>
                <w:lang w:val="en-US" w:eastAsia="en-US" w:bidi="ar-SA"/>
              </w:rPr>
              <w:t>综上所述，本项目符合</w:t>
            </w:r>
            <w:r>
              <w:rPr>
                <w:rFonts w:hint="default" w:ascii="Times New Roman" w:hAnsi="Times New Roman" w:cs="Times New Roman"/>
                <w:b w:val="0"/>
                <w:bCs w:val="0"/>
                <w:color w:val="auto"/>
              </w:rPr>
              <w:t>环办大气函〔2020〕340 号中铸件企业绩效分级指标(采用天然气、电炉熔化设备)</w:t>
            </w:r>
            <w:r>
              <w:rPr>
                <w:rFonts w:hint="eastAsia" w:ascii="Times New Roman" w:hAnsi="Times New Roman" w:cs="Times New Roman"/>
                <w:b w:val="0"/>
                <w:bCs w:val="0"/>
                <w:snapToGrid w:val="0"/>
                <w:color w:val="auto"/>
                <w:kern w:val="0"/>
                <w:sz w:val="24"/>
                <w:szCs w:val="21"/>
                <w:lang w:val="en-US" w:eastAsia="zh-CN" w:bidi="ar-SA"/>
              </w:rPr>
              <w:t>C级企业的</w:t>
            </w:r>
            <w:r>
              <w:rPr>
                <w:rFonts w:hint="default" w:ascii="Times New Roman" w:hAnsi="Times New Roman" w:eastAsia="宋体" w:cs="Times New Roman"/>
                <w:b w:val="0"/>
                <w:bCs w:val="0"/>
                <w:snapToGrid w:val="0"/>
                <w:color w:val="auto"/>
                <w:kern w:val="0"/>
                <w:sz w:val="24"/>
                <w:szCs w:val="21"/>
                <w:lang w:val="en-US" w:eastAsia="zh-CN" w:bidi="ar-SA"/>
              </w:rPr>
              <w:t>各项要求</w:t>
            </w:r>
            <w:r>
              <w:rPr>
                <w:rFonts w:hint="default" w:ascii="Times New Roman" w:hAnsi="Times New Roman" w:cs="Times New Roman"/>
                <w:b/>
                <w:bCs/>
                <w:color w:val="auto"/>
                <w:lang w:eastAsia="zh-CN"/>
              </w:rPr>
              <w:t>。</w:t>
            </w:r>
          </w:p>
          <w:p w14:paraId="310DD2D8">
            <w:pPr>
              <w:pStyle w:val="22"/>
              <w:spacing w:before="181" w:line="219" w:lineRule="auto"/>
              <w:ind w:left="599"/>
              <w:rPr>
                <w:rFonts w:hint="default" w:ascii="Times New Roman" w:hAnsi="Times New Roman" w:eastAsia="宋体" w:cs="Times New Roman"/>
                <w:b/>
                <w:bCs/>
                <w:snapToGrid w:val="0"/>
                <w:color w:val="auto"/>
                <w:kern w:val="0"/>
                <w:sz w:val="24"/>
                <w:szCs w:val="21"/>
                <w:lang w:val="en-US" w:eastAsia="en-US" w:bidi="ar-SA"/>
              </w:rPr>
            </w:pPr>
            <w:r>
              <w:rPr>
                <w:rFonts w:hint="eastAsia" w:ascii="Times New Roman" w:hAnsi="Times New Roman" w:cs="Times New Roman"/>
                <w:b/>
                <w:bCs/>
                <w:snapToGrid w:val="0"/>
                <w:color w:val="auto"/>
                <w:kern w:val="0"/>
                <w:sz w:val="24"/>
                <w:szCs w:val="21"/>
                <w:lang w:val="en-US" w:eastAsia="zh-CN" w:bidi="ar-SA"/>
              </w:rPr>
              <w:t>十三、</w:t>
            </w:r>
            <w:r>
              <w:rPr>
                <w:rFonts w:hint="default" w:ascii="Times New Roman" w:hAnsi="Times New Roman" w:eastAsia="宋体" w:cs="Times New Roman"/>
                <w:b/>
                <w:bCs/>
                <w:snapToGrid w:val="0"/>
                <w:color w:val="auto"/>
                <w:kern w:val="0"/>
                <w:sz w:val="24"/>
                <w:szCs w:val="21"/>
                <w:lang w:val="en-US" w:eastAsia="en-US" w:bidi="ar-SA"/>
              </w:rPr>
              <w:t>与《淄博市2024年大气污染防治“九个攻坚突破”行动计划》符合性</w:t>
            </w:r>
          </w:p>
          <w:p w14:paraId="5812AC72">
            <w:pPr>
              <w:pStyle w:val="22"/>
              <w:spacing w:before="183" w:line="212" w:lineRule="auto"/>
              <w:ind w:left="733"/>
              <w:rPr>
                <w:color w:val="auto"/>
              </w:rPr>
            </w:pPr>
            <w:r>
              <w:rPr>
                <w:b/>
                <w:bCs/>
                <w:color w:val="auto"/>
                <w:spacing w:val="-2"/>
              </w:rPr>
              <w:t>表</w:t>
            </w:r>
            <w:r>
              <w:rPr>
                <w:rFonts w:ascii="Times New Roman" w:hAnsi="Times New Roman" w:eastAsia="Times New Roman" w:cs="Times New Roman"/>
                <w:b/>
                <w:bCs/>
                <w:color w:val="auto"/>
                <w:spacing w:val="-2"/>
              </w:rPr>
              <w:t>1-1</w:t>
            </w:r>
            <w:r>
              <w:rPr>
                <w:rFonts w:hint="eastAsia" w:ascii="Times New Roman" w:hAnsi="Times New Roman" w:cs="Times New Roman"/>
                <w:b/>
                <w:bCs/>
                <w:color w:val="auto"/>
                <w:spacing w:val="-2"/>
                <w:lang w:val="en-US" w:eastAsia="zh-CN"/>
              </w:rPr>
              <w:t xml:space="preserve">3 </w:t>
            </w:r>
            <w:r>
              <w:rPr>
                <w:b/>
                <w:bCs/>
                <w:color w:val="auto"/>
                <w:spacing w:val="-2"/>
              </w:rPr>
              <w:t>与《淄博市</w:t>
            </w:r>
            <w:r>
              <w:rPr>
                <w:rFonts w:ascii="Times New Roman" w:hAnsi="Times New Roman" w:eastAsia="Times New Roman" w:cs="Times New Roman"/>
                <w:b/>
                <w:bCs/>
                <w:color w:val="auto"/>
                <w:spacing w:val="-2"/>
              </w:rPr>
              <w:t>2024</w:t>
            </w:r>
            <w:r>
              <w:rPr>
                <w:b/>
                <w:bCs/>
                <w:color w:val="auto"/>
                <w:spacing w:val="-2"/>
              </w:rPr>
              <w:t>年大气污染防治</w:t>
            </w:r>
            <w:r>
              <w:rPr>
                <w:rFonts w:ascii="Times New Roman" w:hAnsi="Times New Roman" w:eastAsia="Times New Roman" w:cs="Times New Roman"/>
                <w:b/>
                <w:bCs/>
                <w:color w:val="auto"/>
                <w:spacing w:val="-2"/>
              </w:rPr>
              <w:t>“</w:t>
            </w:r>
            <w:r>
              <w:rPr>
                <w:b/>
                <w:bCs/>
                <w:color w:val="auto"/>
                <w:spacing w:val="-2"/>
              </w:rPr>
              <w:t>九个攻坚突破</w:t>
            </w:r>
            <w:r>
              <w:rPr>
                <w:rFonts w:ascii="Times New Roman" w:hAnsi="Times New Roman" w:eastAsia="Times New Roman" w:cs="Times New Roman"/>
                <w:b/>
                <w:bCs/>
                <w:color w:val="auto"/>
                <w:spacing w:val="-2"/>
              </w:rPr>
              <w:t>”</w:t>
            </w:r>
            <w:r>
              <w:rPr>
                <w:b/>
                <w:bCs/>
                <w:color w:val="auto"/>
                <w:spacing w:val="-2"/>
              </w:rPr>
              <w:t>行动计划》符合性</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5960"/>
              <w:gridCol w:w="2210"/>
              <w:gridCol w:w="901"/>
            </w:tblGrid>
            <w:tr w14:paraId="7008242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60" w:type="dxa"/>
                  <w:tcBorders>
                    <w:tl2br w:val="nil"/>
                    <w:tr2bl w:val="nil"/>
                  </w:tcBorders>
                  <w:vAlign w:val="center"/>
                </w:tcPr>
                <w:p w14:paraId="03B6C6D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文件要求</w:t>
                  </w:r>
                </w:p>
              </w:tc>
              <w:tc>
                <w:tcPr>
                  <w:tcW w:w="2210" w:type="dxa"/>
                  <w:tcBorders>
                    <w:tl2br w:val="nil"/>
                    <w:tr2bl w:val="nil"/>
                  </w:tcBorders>
                  <w:vAlign w:val="center"/>
                </w:tcPr>
                <w:p w14:paraId="748261C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项目情况</w:t>
                  </w:r>
                </w:p>
              </w:tc>
              <w:tc>
                <w:tcPr>
                  <w:tcW w:w="901" w:type="dxa"/>
                  <w:tcBorders>
                    <w:tl2br w:val="nil"/>
                    <w:tr2bl w:val="nil"/>
                  </w:tcBorders>
                  <w:vAlign w:val="center"/>
                </w:tcPr>
                <w:p w14:paraId="6DE75E8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符合性</w:t>
                  </w:r>
                </w:p>
              </w:tc>
            </w:tr>
            <w:tr w14:paraId="2955A80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71" w:type="dxa"/>
                  <w:gridSpan w:val="3"/>
                  <w:tcBorders>
                    <w:tl2br w:val="nil"/>
                    <w:tr2bl w:val="nil"/>
                  </w:tcBorders>
                  <w:vAlign w:val="center"/>
                </w:tcPr>
                <w:p w14:paraId="58E42AF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产业结构绿色升级攻坚突破</w:t>
                  </w:r>
                </w:p>
              </w:tc>
            </w:tr>
            <w:tr w14:paraId="087D94D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60" w:type="dxa"/>
                  <w:tcBorders>
                    <w:tl2br w:val="nil"/>
                    <w:tr2bl w:val="nil"/>
                  </w:tcBorders>
                  <w:vAlign w:val="center"/>
                </w:tcPr>
                <w:p w14:paraId="3153D6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1"/>
                      <w:sz w:val="21"/>
                      <w:szCs w:val="21"/>
                    </w:rPr>
                    <w:t>不断强化源头把控：坚决遏制高耗能、高排放、低水平</w:t>
                  </w:r>
                  <w:r>
                    <w:rPr>
                      <w:rFonts w:hint="default" w:ascii="Times New Roman" w:hAnsi="Times New Roman" w:cs="Times New Roman"/>
                      <w:color w:val="auto"/>
                      <w:spacing w:val="10"/>
                      <w:sz w:val="21"/>
                      <w:szCs w:val="21"/>
                    </w:rPr>
                    <w:t>项目盲</w:t>
                  </w:r>
                  <w:r>
                    <w:rPr>
                      <w:rFonts w:hint="default" w:ascii="Times New Roman" w:hAnsi="Times New Roman" w:cs="Times New Roman"/>
                      <w:color w:val="auto"/>
                      <w:spacing w:val="11"/>
                      <w:sz w:val="21"/>
                      <w:szCs w:val="21"/>
                    </w:rPr>
                    <w:t>目上马。新、改、扩建项目严格落实国家和省产业规划产业政</w:t>
                  </w:r>
                  <w:r>
                    <w:rPr>
                      <w:rFonts w:hint="default" w:ascii="Times New Roman" w:hAnsi="Times New Roman" w:cs="Times New Roman"/>
                      <w:color w:val="auto"/>
                      <w:spacing w:val="6"/>
                      <w:sz w:val="21"/>
                      <w:szCs w:val="21"/>
                    </w:rPr>
                    <w:t>策、生态环境分区管控方案、规划环评、项目环评、节能审查、</w:t>
                  </w:r>
                  <w:r>
                    <w:rPr>
                      <w:rFonts w:hint="default" w:ascii="Times New Roman" w:hAnsi="Times New Roman" w:cs="Times New Roman"/>
                      <w:color w:val="auto"/>
                      <w:spacing w:val="11"/>
                      <w:sz w:val="21"/>
                      <w:szCs w:val="21"/>
                    </w:rPr>
                    <w:t>产能置换、重点污染物总量控制、污染物排放区域削减、碳排</w:t>
                  </w:r>
                  <w:r>
                    <w:rPr>
                      <w:rFonts w:hint="default" w:ascii="Times New Roman" w:hAnsi="Times New Roman" w:cs="Times New Roman"/>
                      <w:color w:val="auto"/>
                      <w:spacing w:val="12"/>
                      <w:sz w:val="21"/>
                      <w:szCs w:val="21"/>
                    </w:rPr>
                    <w:t>放达峰目标等相关要求，同时，原则上应采用</w:t>
                  </w:r>
                  <w:r>
                    <w:rPr>
                      <w:rFonts w:hint="default" w:ascii="Times New Roman" w:hAnsi="Times New Roman" w:cs="Times New Roman"/>
                      <w:color w:val="auto"/>
                      <w:spacing w:val="11"/>
                      <w:sz w:val="21"/>
                      <w:szCs w:val="21"/>
                    </w:rPr>
                    <w:t>清洁运输方式。涉及产能置换的项目，被置换产能及其配套设施关停后，新建</w:t>
                  </w:r>
                  <w:r>
                    <w:rPr>
                      <w:rFonts w:hint="default" w:ascii="Times New Roman" w:hAnsi="Times New Roman" w:cs="Times New Roman"/>
                      <w:color w:val="auto"/>
                      <w:spacing w:val="7"/>
                      <w:sz w:val="21"/>
                      <w:szCs w:val="21"/>
                    </w:rPr>
                    <w:t>项目方可投产。</w:t>
                  </w:r>
                  <w:r>
                    <w:rPr>
                      <w:rFonts w:hint="default" w:ascii="Times New Roman" w:hAnsi="Times New Roman" w:cs="Times New Roman"/>
                      <w:color w:val="auto"/>
                      <w:spacing w:val="11"/>
                      <w:sz w:val="21"/>
                      <w:szCs w:val="21"/>
                    </w:rPr>
                    <w:t>突出区域污染物排放总量控制：坚决淘汰落后</w:t>
                  </w:r>
                  <w:r>
                    <w:rPr>
                      <w:rFonts w:hint="default" w:ascii="Times New Roman" w:hAnsi="Times New Roman" w:cs="Times New Roman"/>
                      <w:color w:val="auto"/>
                      <w:spacing w:val="10"/>
                      <w:sz w:val="21"/>
                      <w:szCs w:val="21"/>
                    </w:rPr>
                    <w:t>产能；逐步退出</w:t>
                  </w:r>
                  <w:r>
                    <w:rPr>
                      <w:rFonts w:hint="default" w:ascii="Times New Roman" w:hAnsi="Times New Roman" w:cs="Times New Roman"/>
                      <w:color w:val="auto"/>
                      <w:spacing w:val="11"/>
                      <w:sz w:val="21"/>
                      <w:szCs w:val="21"/>
                    </w:rPr>
                    <w:t>限制类产能；加快传统建材行业优化整合；深化产业集群</w:t>
                  </w:r>
                  <w:r>
                    <w:rPr>
                      <w:rFonts w:hint="default" w:ascii="Times New Roman" w:hAnsi="Times New Roman" w:cs="Times New Roman"/>
                      <w:color w:val="auto"/>
                      <w:spacing w:val="10"/>
                      <w:sz w:val="21"/>
                      <w:szCs w:val="21"/>
                    </w:rPr>
                    <w:t>和特</w:t>
                  </w:r>
                  <w:r>
                    <w:rPr>
                      <w:rFonts w:hint="default" w:ascii="Times New Roman" w:hAnsi="Times New Roman" w:cs="Times New Roman"/>
                      <w:color w:val="auto"/>
                      <w:spacing w:val="9"/>
                      <w:sz w:val="21"/>
                      <w:szCs w:val="21"/>
                    </w:rPr>
                    <w:t>色行业提升；强化集群污染物集中治理；实施源头替代工程。</w:t>
                  </w:r>
                </w:p>
              </w:tc>
              <w:tc>
                <w:tcPr>
                  <w:tcW w:w="2210" w:type="dxa"/>
                  <w:tcBorders>
                    <w:tl2br w:val="nil"/>
                    <w:tr2bl w:val="nil"/>
                  </w:tcBorders>
                  <w:vAlign w:val="center"/>
                </w:tcPr>
                <w:p w14:paraId="13A9295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2"/>
                      <w:sz w:val="21"/>
                      <w:szCs w:val="21"/>
                    </w:rPr>
                    <w:t>本项目不属于</w:t>
                  </w:r>
                  <w:r>
                    <w:rPr>
                      <w:rFonts w:hint="default" w:ascii="Times New Roman" w:hAnsi="Times New Roman" w:eastAsia="Times New Roman" w:cs="Times New Roman"/>
                      <w:color w:val="auto"/>
                      <w:spacing w:val="12"/>
                      <w:sz w:val="21"/>
                      <w:szCs w:val="21"/>
                    </w:rPr>
                    <w:t>“</w:t>
                  </w:r>
                  <w:r>
                    <w:rPr>
                      <w:rFonts w:hint="default" w:ascii="Times New Roman" w:hAnsi="Times New Roman" w:cs="Times New Roman"/>
                      <w:color w:val="auto"/>
                      <w:spacing w:val="12"/>
                      <w:sz w:val="21"/>
                      <w:szCs w:val="21"/>
                    </w:rPr>
                    <w:t>两高</w:t>
                  </w:r>
                  <w:r>
                    <w:rPr>
                      <w:rFonts w:hint="default" w:ascii="Times New Roman" w:hAnsi="Times New Roman" w:eastAsia="Times New Roman" w:cs="Times New Roman"/>
                      <w:color w:val="auto"/>
                      <w:spacing w:val="12"/>
                      <w:sz w:val="21"/>
                      <w:szCs w:val="21"/>
                    </w:rPr>
                    <w:t>”</w:t>
                  </w:r>
                  <w:r>
                    <w:rPr>
                      <w:rFonts w:hint="default" w:ascii="Times New Roman" w:hAnsi="Times New Roman" w:cs="Times New Roman"/>
                      <w:color w:val="auto"/>
                      <w:spacing w:val="6"/>
                      <w:sz w:val="21"/>
                      <w:szCs w:val="21"/>
                    </w:rPr>
                    <w:t>项目，符合产业政策，</w:t>
                  </w:r>
                  <w:r>
                    <w:rPr>
                      <w:rFonts w:hint="default" w:ascii="Times New Roman" w:hAnsi="Times New Roman" w:cs="Times New Roman"/>
                      <w:color w:val="auto"/>
                      <w:spacing w:val="7"/>
                      <w:sz w:val="21"/>
                      <w:szCs w:val="21"/>
                    </w:rPr>
                    <w:t>不属于落后产能。</w:t>
                  </w:r>
                </w:p>
              </w:tc>
              <w:tc>
                <w:tcPr>
                  <w:tcW w:w="901" w:type="dxa"/>
                  <w:tcBorders>
                    <w:tl2br w:val="nil"/>
                    <w:tr2bl w:val="nil"/>
                  </w:tcBorders>
                  <w:vAlign w:val="center"/>
                </w:tcPr>
                <w:p w14:paraId="7FEEE3D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符合</w:t>
                  </w:r>
                </w:p>
              </w:tc>
            </w:tr>
            <w:tr w14:paraId="3EC8ED0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60" w:type="dxa"/>
                  <w:tcBorders>
                    <w:tl2br w:val="nil"/>
                    <w:tr2bl w:val="nil"/>
                  </w:tcBorders>
                  <w:vAlign w:val="center"/>
                </w:tcPr>
                <w:p w14:paraId="301FC07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1"/>
                      <w:sz w:val="21"/>
                      <w:szCs w:val="21"/>
                    </w:rPr>
                    <w:t>坚决淘汰落后产能。进一步提高落后产能能耗、环保、</w:t>
                  </w:r>
                  <w:r>
                    <w:rPr>
                      <w:rFonts w:hint="default" w:ascii="Times New Roman" w:hAnsi="Times New Roman" w:cs="Times New Roman"/>
                      <w:color w:val="auto"/>
                      <w:spacing w:val="10"/>
                      <w:sz w:val="21"/>
                      <w:szCs w:val="21"/>
                    </w:rPr>
                    <w:t>质量、</w:t>
                  </w:r>
                  <w:r>
                    <w:rPr>
                      <w:rFonts w:hint="default" w:ascii="Times New Roman" w:hAnsi="Times New Roman" w:cs="Times New Roman"/>
                      <w:color w:val="auto"/>
                      <w:spacing w:val="11"/>
                      <w:sz w:val="21"/>
                      <w:szCs w:val="21"/>
                    </w:rPr>
                    <w:t>安全、技术等要求，加大落后产能淘汰力度，对《产业结构调</w:t>
                  </w:r>
                  <w:r>
                    <w:rPr>
                      <w:rFonts w:hint="default" w:ascii="Times New Roman" w:hAnsi="Times New Roman" w:cs="Times New Roman"/>
                      <w:color w:val="auto"/>
                      <w:spacing w:val="8"/>
                      <w:sz w:val="21"/>
                      <w:szCs w:val="21"/>
                    </w:rPr>
                    <w:t>整指导目录（</w:t>
                  </w:r>
                  <w:r>
                    <w:rPr>
                      <w:rFonts w:hint="default" w:ascii="Times New Roman" w:hAnsi="Times New Roman" w:eastAsia="Times New Roman" w:cs="Times New Roman"/>
                      <w:color w:val="auto"/>
                      <w:spacing w:val="8"/>
                      <w:sz w:val="21"/>
                      <w:szCs w:val="21"/>
                    </w:rPr>
                    <w:t>2024</w:t>
                  </w:r>
                  <w:r>
                    <w:rPr>
                      <w:rFonts w:hint="default" w:ascii="Times New Roman" w:hAnsi="Times New Roman" w:cs="Times New Roman"/>
                      <w:color w:val="auto"/>
                      <w:spacing w:val="8"/>
                      <w:sz w:val="21"/>
                      <w:szCs w:val="21"/>
                    </w:rPr>
                    <w:t>年本）》中淘汰类落后生产工艺装备、落后</w:t>
                  </w:r>
                  <w:r>
                    <w:rPr>
                      <w:rFonts w:hint="default" w:ascii="Times New Roman" w:hAnsi="Times New Roman" w:cs="Times New Roman"/>
                      <w:color w:val="auto"/>
                      <w:spacing w:val="11"/>
                      <w:sz w:val="21"/>
                      <w:szCs w:val="21"/>
                    </w:rPr>
                    <w:t>产品，依法依规予以关停退出。根据上级要求，逐步退出限制</w:t>
                  </w:r>
                  <w:r>
                    <w:rPr>
                      <w:rFonts w:hint="default" w:ascii="Times New Roman" w:hAnsi="Times New Roman" w:cs="Times New Roman"/>
                      <w:color w:val="auto"/>
                      <w:spacing w:val="8"/>
                      <w:sz w:val="21"/>
                      <w:szCs w:val="21"/>
                    </w:rPr>
                    <w:t>类涉气行业工艺和装备。</w:t>
                  </w:r>
                </w:p>
              </w:tc>
              <w:tc>
                <w:tcPr>
                  <w:tcW w:w="2210" w:type="dxa"/>
                  <w:tcBorders>
                    <w:tl2br w:val="nil"/>
                    <w:tr2bl w:val="nil"/>
                  </w:tcBorders>
                  <w:vAlign w:val="center"/>
                </w:tcPr>
                <w:p w14:paraId="6BCE30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本项目不属于国家发展和改革委员会发布</w:t>
                  </w:r>
                  <w:r>
                    <w:rPr>
                      <w:rFonts w:hint="default" w:ascii="Times New Roman" w:hAnsi="Times New Roman" w:cs="Times New Roman"/>
                      <w:color w:val="auto"/>
                      <w:spacing w:val="7"/>
                      <w:sz w:val="21"/>
                      <w:szCs w:val="21"/>
                    </w:rPr>
                    <w:t>的《产业结构调整指</w:t>
                  </w:r>
                  <w:r>
                    <w:rPr>
                      <w:rFonts w:hint="default" w:ascii="Times New Roman" w:hAnsi="Times New Roman" w:cs="Times New Roman"/>
                      <w:color w:val="auto"/>
                      <w:sz w:val="21"/>
                      <w:szCs w:val="21"/>
                    </w:rPr>
                    <w:t>导目录（</w:t>
                  </w:r>
                  <w:r>
                    <w:rPr>
                      <w:rFonts w:hint="default" w:ascii="Times New Roman" w:hAnsi="Times New Roman" w:eastAsia="Times New Roman" w:cs="Times New Roman"/>
                      <w:color w:val="auto"/>
                      <w:sz w:val="21"/>
                      <w:szCs w:val="21"/>
                    </w:rPr>
                    <w:t>2024</w:t>
                  </w:r>
                  <w:r>
                    <w:rPr>
                      <w:rFonts w:hint="default" w:ascii="Times New Roman" w:hAnsi="Times New Roman" w:cs="Times New Roman"/>
                      <w:color w:val="auto"/>
                      <w:sz w:val="21"/>
                      <w:szCs w:val="21"/>
                    </w:rPr>
                    <w:t>年本）》</w:t>
                  </w:r>
                  <w:r>
                    <w:rPr>
                      <w:rFonts w:hint="default" w:ascii="Times New Roman" w:hAnsi="Times New Roman" w:cs="Times New Roman"/>
                      <w:color w:val="auto"/>
                      <w:spacing w:val="2"/>
                      <w:sz w:val="21"/>
                      <w:szCs w:val="21"/>
                    </w:rPr>
                    <w:t>中</w:t>
                  </w:r>
                  <w:r>
                    <w:rPr>
                      <w:rFonts w:hint="default" w:ascii="Times New Roman" w:hAnsi="Times New Roman" w:eastAsia="Times New Roman" w:cs="Times New Roman"/>
                      <w:color w:val="auto"/>
                      <w:spacing w:val="2"/>
                      <w:sz w:val="21"/>
                      <w:szCs w:val="21"/>
                    </w:rPr>
                    <w:t>“</w:t>
                  </w:r>
                  <w:r>
                    <w:rPr>
                      <w:rFonts w:hint="default" w:ascii="Times New Roman" w:hAnsi="Times New Roman" w:cs="Times New Roman"/>
                      <w:color w:val="auto"/>
                      <w:spacing w:val="2"/>
                      <w:sz w:val="21"/>
                      <w:szCs w:val="21"/>
                    </w:rPr>
                    <w:t>鼓励类</w:t>
                  </w:r>
                  <w:r>
                    <w:rPr>
                      <w:rFonts w:hint="default" w:ascii="Times New Roman" w:hAnsi="Times New Roman" w:eastAsia="Times New Roman" w:cs="Times New Roman"/>
                      <w:color w:val="auto"/>
                      <w:spacing w:val="2"/>
                      <w:sz w:val="21"/>
                      <w:szCs w:val="21"/>
                    </w:rPr>
                    <w:t>”</w:t>
                  </w:r>
                  <w:r>
                    <w:rPr>
                      <w:rFonts w:hint="default" w:ascii="Times New Roman" w:hAnsi="Times New Roman" w:cs="Times New Roman"/>
                      <w:color w:val="auto"/>
                      <w:spacing w:val="2"/>
                      <w:sz w:val="21"/>
                      <w:szCs w:val="21"/>
                    </w:rPr>
                    <w:t>、</w:t>
                  </w:r>
                  <w:r>
                    <w:rPr>
                      <w:rFonts w:hint="default" w:ascii="Times New Roman" w:hAnsi="Times New Roman" w:eastAsia="Times New Roman" w:cs="Times New Roman"/>
                      <w:color w:val="auto"/>
                      <w:spacing w:val="2"/>
                      <w:sz w:val="21"/>
                      <w:szCs w:val="21"/>
                    </w:rPr>
                    <w:t>“</w:t>
                  </w:r>
                  <w:r>
                    <w:rPr>
                      <w:rFonts w:hint="default" w:ascii="Times New Roman" w:hAnsi="Times New Roman" w:cs="Times New Roman"/>
                      <w:color w:val="auto"/>
                      <w:spacing w:val="2"/>
                      <w:sz w:val="21"/>
                      <w:szCs w:val="21"/>
                    </w:rPr>
                    <w:t>限制</w:t>
                  </w:r>
                  <w:r>
                    <w:rPr>
                      <w:rFonts w:hint="default" w:ascii="Times New Roman" w:hAnsi="Times New Roman" w:cs="Times New Roman"/>
                      <w:color w:val="auto"/>
                      <w:spacing w:val="3"/>
                      <w:sz w:val="21"/>
                      <w:szCs w:val="21"/>
                    </w:rPr>
                    <w:t>类</w:t>
                  </w:r>
                  <w:r>
                    <w:rPr>
                      <w:rFonts w:hint="default" w:ascii="Times New Roman" w:hAnsi="Times New Roman" w:eastAsia="Times New Roman" w:cs="Times New Roman"/>
                      <w:color w:val="auto"/>
                      <w:spacing w:val="3"/>
                      <w:sz w:val="21"/>
                      <w:szCs w:val="21"/>
                    </w:rPr>
                    <w:t>”</w:t>
                  </w:r>
                  <w:r>
                    <w:rPr>
                      <w:rFonts w:hint="default" w:ascii="Times New Roman" w:hAnsi="Times New Roman" w:cs="Times New Roman"/>
                      <w:color w:val="auto"/>
                      <w:spacing w:val="3"/>
                      <w:sz w:val="21"/>
                      <w:szCs w:val="21"/>
                    </w:rPr>
                    <w:t>、</w:t>
                  </w:r>
                  <w:r>
                    <w:rPr>
                      <w:rFonts w:hint="default" w:ascii="Times New Roman" w:hAnsi="Times New Roman" w:eastAsia="Times New Roman" w:cs="Times New Roman"/>
                      <w:color w:val="auto"/>
                      <w:spacing w:val="3"/>
                      <w:sz w:val="21"/>
                      <w:szCs w:val="21"/>
                    </w:rPr>
                    <w:t>“</w:t>
                  </w:r>
                  <w:r>
                    <w:rPr>
                      <w:rFonts w:hint="default" w:ascii="Times New Roman" w:hAnsi="Times New Roman" w:cs="Times New Roman"/>
                      <w:color w:val="auto"/>
                      <w:spacing w:val="3"/>
                      <w:sz w:val="21"/>
                      <w:szCs w:val="21"/>
                    </w:rPr>
                    <w:t>淘汰类</w:t>
                  </w:r>
                  <w:r>
                    <w:rPr>
                      <w:rFonts w:hint="default" w:ascii="Times New Roman" w:hAnsi="Times New Roman" w:eastAsia="Times New Roman" w:cs="Times New Roman"/>
                      <w:color w:val="auto"/>
                      <w:spacing w:val="3"/>
                      <w:sz w:val="21"/>
                      <w:szCs w:val="21"/>
                    </w:rPr>
                    <w:t>”</w:t>
                  </w:r>
                  <w:r>
                    <w:rPr>
                      <w:rFonts w:hint="default" w:ascii="Times New Roman" w:hAnsi="Times New Roman" w:cs="Times New Roman"/>
                      <w:color w:val="auto"/>
                      <w:spacing w:val="3"/>
                      <w:sz w:val="21"/>
                      <w:szCs w:val="21"/>
                    </w:rPr>
                    <w:t>，为允</w:t>
                  </w:r>
                  <w:r>
                    <w:rPr>
                      <w:rFonts w:hint="default" w:ascii="Times New Roman" w:hAnsi="Times New Roman" w:cs="Times New Roman"/>
                      <w:color w:val="auto"/>
                      <w:spacing w:val="6"/>
                      <w:sz w:val="21"/>
                      <w:szCs w:val="21"/>
                    </w:rPr>
                    <w:t>许建设项目。</w:t>
                  </w:r>
                </w:p>
              </w:tc>
              <w:tc>
                <w:tcPr>
                  <w:tcW w:w="901" w:type="dxa"/>
                  <w:tcBorders>
                    <w:tl2br w:val="nil"/>
                    <w:tr2bl w:val="nil"/>
                  </w:tcBorders>
                  <w:vAlign w:val="center"/>
                </w:tcPr>
                <w:p w14:paraId="42601CF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符合</w:t>
                  </w:r>
                </w:p>
              </w:tc>
            </w:tr>
            <w:tr w14:paraId="4C50498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71" w:type="dxa"/>
                  <w:gridSpan w:val="3"/>
                  <w:tcBorders>
                    <w:tl2br w:val="nil"/>
                    <w:tr2bl w:val="nil"/>
                  </w:tcBorders>
                  <w:vAlign w:val="center"/>
                </w:tcPr>
                <w:p w14:paraId="53E6903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能源结构清洁低碳攻坚突破</w:t>
                  </w:r>
                </w:p>
              </w:tc>
            </w:tr>
            <w:tr w14:paraId="0773D2C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60" w:type="dxa"/>
                  <w:tcBorders>
                    <w:tl2br w:val="nil"/>
                    <w:tr2bl w:val="nil"/>
                  </w:tcBorders>
                  <w:vAlign w:val="center"/>
                </w:tcPr>
                <w:p w14:paraId="3898E44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1"/>
                      <w:sz w:val="21"/>
                      <w:szCs w:val="21"/>
                    </w:rPr>
                    <w:t>推进清洁能源倍增行动；煤炭总量持续压减；强化商品煤质量监管；实行煤炭减量替代；不断提高清洁能源占比；持续深化煤电机组、锅炉关停整合；有效淘汰燃煤设施；巩固清洁取暖</w:t>
                  </w:r>
                  <w:r>
                    <w:rPr>
                      <w:rFonts w:hint="default" w:ascii="Times New Roman" w:hAnsi="Times New Roman" w:cs="Times New Roman"/>
                      <w:color w:val="auto"/>
                      <w:spacing w:val="9"/>
                      <w:sz w:val="21"/>
                      <w:szCs w:val="21"/>
                    </w:rPr>
                    <w:t>改造成效；深入推进清洁取暖；扎实落实散煤替代。</w:t>
                  </w:r>
                </w:p>
              </w:tc>
              <w:tc>
                <w:tcPr>
                  <w:tcW w:w="2210" w:type="dxa"/>
                  <w:tcBorders>
                    <w:tl2br w:val="nil"/>
                    <w:tr2bl w:val="nil"/>
                  </w:tcBorders>
                  <w:vAlign w:val="center"/>
                </w:tcPr>
                <w:p w14:paraId="7F0520D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本项目不涉及煤炭。</w:t>
                  </w:r>
                </w:p>
              </w:tc>
              <w:tc>
                <w:tcPr>
                  <w:tcW w:w="901" w:type="dxa"/>
                  <w:tcBorders>
                    <w:tl2br w:val="nil"/>
                    <w:tr2bl w:val="nil"/>
                  </w:tcBorders>
                  <w:vAlign w:val="center"/>
                </w:tcPr>
                <w:p w14:paraId="301E29F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符合</w:t>
                  </w:r>
                </w:p>
              </w:tc>
            </w:tr>
            <w:tr w14:paraId="765C521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71" w:type="dxa"/>
                  <w:gridSpan w:val="3"/>
                  <w:tcBorders>
                    <w:tl2br w:val="nil"/>
                    <w:tr2bl w:val="nil"/>
                  </w:tcBorders>
                  <w:vAlign w:val="center"/>
                </w:tcPr>
                <w:p w14:paraId="0C22542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工业污染深度治理攻坚突破</w:t>
                  </w:r>
                </w:p>
              </w:tc>
            </w:tr>
            <w:tr w14:paraId="2C98E57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60" w:type="dxa"/>
                  <w:tcBorders>
                    <w:tl2br w:val="nil"/>
                    <w:tr2bl w:val="nil"/>
                  </w:tcBorders>
                  <w:vAlign w:val="center"/>
                </w:tcPr>
                <w:p w14:paraId="44C9FB3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1"/>
                      <w:sz w:val="21"/>
                      <w:szCs w:val="21"/>
                    </w:rPr>
                    <w:t>强化有组织排放控制；强化无组织排放管控；提升</w:t>
                  </w:r>
                  <w:r>
                    <w:rPr>
                      <w:rFonts w:hint="default" w:ascii="Times New Roman" w:hAnsi="Times New Roman" w:cs="Times New Roman"/>
                      <w:color w:val="auto"/>
                      <w:spacing w:val="10"/>
                      <w:sz w:val="21"/>
                      <w:szCs w:val="21"/>
                    </w:rPr>
                    <w:t>自动化控制</w:t>
                  </w:r>
                  <w:r>
                    <w:rPr>
                      <w:rFonts w:hint="default" w:ascii="Times New Roman" w:hAnsi="Times New Roman" w:cs="Times New Roman"/>
                      <w:color w:val="auto"/>
                      <w:spacing w:val="11"/>
                      <w:sz w:val="21"/>
                      <w:szCs w:val="21"/>
                    </w:rPr>
                    <w:t>水平；提升精细化管理水平；强化车辆运输监管；巩固水泥行业超低排放改造成效；实施炭素行业深度治理；实施铸造行业</w:t>
                  </w:r>
                  <w:r>
                    <w:rPr>
                      <w:rFonts w:hint="default" w:ascii="Times New Roman" w:hAnsi="Times New Roman" w:cs="Times New Roman"/>
                      <w:color w:val="auto"/>
                      <w:spacing w:val="9"/>
                      <w:sz w:val="21"/>
                      <w:szCs w:val="21"/>
                    </w:rPr>
                    <w:t>整治提升；其他涉窑炉行业氮氧化物深度治理；强化重点行业</w:t>
                  </w:r>
                  <w:r>
                    <w:rPr>
                      <w:rFonts w:hint="default" w:ascii="Times New Roman" w:hAnsi="Times New Roman" w:eastAsia="Times New Roman" w:cs="Times New Roman"/>
                      <w:color w:val="auto"/>
                      <w:sz w:val="21"/>
                      <w:szCs w:val="21"/>
                    </w:rPr>
                    <w:t>CO</w:t>
                  </w:r>
                  <w:r>
                    <w:rPr>
                      <w:rFonts w:hint="default" w:ascii="Times New Roman" w:hAnsi="Times New Roman" w:cs="Times New Roman"/>
                      <w:color w:val="auto"/>
                      <w:spacing w:val="6"/>
                      <w:sz w:val="21"/>
                      <w:szCs w:val="21"/>
                    </w:rPr>
                    <w:t>排放监管；强化燃气锅炉排放监管；强化生物质电厂排放监</w:t>
                  </w:r>
                  <w:r>
                    <w:rPr>
                      <w:rFonts w:hint="default" w:ascii="Times New Roman" w:hAnsi="Times New Roman" w:cs="Times New Roman"/>
                      <w:color w:val="auto"/>
                      <w:spacing w:val="11"/>
                      <w:sz w:val="21"/>
                      <w:szCs w:val="21"/>
                    </w:rPr>
                    <w:t>管；强化垃圾电厂排放监管；持续开展重点行业源头替代；推</w:t>
                  </w:r>
                  <w:r>
                    <w:rPr>
                      <w:rFonts w:hint="default" w:ascii="Times New Roman" w:hAnsi="Times New Roman" w:cs="Times New Roman"/>
                      <w:color w:val="auto"/>
                      <w:spacing w:val="6"/>
                      <w:sz w:val="21"/>
                      <w:szCs w:val="21"/>
                    </w:rPr>
                    <w:t>进钣喷共享中心建设；深化</w:t>
                  </w:r>
                  <w:r>
                    <w:rPr>
                      <w:rFonts w:hint="default" w:ascii="Times New Roman" w:hAnsi="Times New Roman" w:eastAsia="Times New Roman" w:cs="Times New Roman"/>
                      <w:color w:val="auto"/>
                      <w:sz w:val="21"/>
                      <w:szCs w:val="21"/>
                    </w:rPr>
                    <w:t>VOCs</w:t>
                  </w:r>
                  <w:r>
                    <w:rPr>
                      <w:rFonts w:hint="default" w:ascii="Times New Roman" w:hAnsi="Times New Roman" w:cs="Times New Roman"/>
                      <w:color w:val="auto"/>
                      <w:spacing w:val="6"/>
                      <w:sz w:val="21"/>
                      <w:szCs w:val="21"/>
                    </w:rPr>
                    <w:t>有组织治理提升；强化</w:t>
                  </w:r>
                  <w:r>
                    <w:rPr>
                      <w:rFonts w:hint="default" w:ascii="Times New Roman" w:hAnsi="Times New Roman" w:eastAsia="Times New Roman" w:cs="Times New Roman"/>
                      <w:color w:val="auto"/>
                      <w:sz w:val="21"/>
                      <w:szCs w:val="21"/>
                    </w:rPr>
                    <w:t>VOCs</w:t>
                  </w:r>
                  <w:r>
                    <w:rPr>
                      <w:rFonts w:hint="default" w:ascii="Times New Roman" w:hAnsi="Times New Roman" w:cs="Times New Roman"/>
                      <w:color w:val="auto"/>
                      <w:spacing w:val="10"/>
                      <w:sz w:val="21"/>
                      <w:szCs w:val="21"/>
                    </w:rPr>
                    <w:t>无组织排放管控；严格落实泄漏检测与修复（</w:t>
                  </w:r>
                  <w:r>
                    <w:rPr>
                      <w:rFonts w:hint="default" w:ascii="Times New Roman" w:hAnsi="Times New Roman" w:eastAsia="Times New Roman" w:cs="Times New Roman"/>
                      <w:color w:val="auto"/>
                      <w:sz w:val="21"/>
                      <w:szCs w:val="21"/>
                    </w:rPr>
                    <w:t>LDAR</w:t>
                  </w:r>
                  <w:r>
                    <w:rPr>
                      <w:rFonts w:hint="default" w:ascii="Times New Roman" w:hAnsi="Times New Roman" w:cs="Times New Roman"/>
                      <w:color w:val="auto"/>
                      <w:spacing w:val="9"/>
                      <w:sz w:val="21"/>
                      <w:szCs w:val="21"/>
                    </w:rPr>
                    <w:t>）。</w:t>
                  </w:r>
                </w:p>
              </w:tc>
              <w:tc>
                <w:tcPr>
                  <w:tcW w:w="2210" w:type="dxa"/>
                  <w:tcBorders>
                    <w:tl2br w:val="nil"/>
                    <w:tr2bl w:val="nil"/>
                  </w:tcBorders>
                  <w:vAlign w:val="center"/>
                </w:tcPr>
                <w:p w14:paraId="4C66A99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本项目建成后实现存量铸造项目改造提</w:t>
                  </w:r>
                  <w:r>
                    <w:rPr>
                      <w:rFonts w:hint="default" w:ascii="Times New Roman" w:hAnsi="Times New Roman" w:cs="Times New Roman"/>
                      <w:color w:val="auto"/>
                      <w:spacing w:val="-1"/>
                      <w:sz w:val="21"/>
                      <w:szCs w:val="21"/>
                    </w:rPr>
                    <w:t>升。</w:t>
                  </w:r>
                </w:p>
              </w:tc>
              <w:tc>
                <w:tcPr>
                  <w:tcW w:w="901" w:type="dxa"/>
                  <w:tcBorders>
                    <w:tl2br w:val="nil"/>
                    <w:tr2bl w:val="nil"/>
                  </w:tcBorders>
                  <w:vAlign w:val="center"/>
                </w:tcPr>
                <w:p w14:paraId="1B2FB90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符合</w:t>
                  </w:r>
                </w:p>
              </w:tc>
            </w:tr>
            <w:tr w14:paraId="1F0E75B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71" w:type="dxa"/>
                  <w:gridSpan w:val="3"/>
                  <w:tcBorders>
                    <w:tl2br w:val="nil"/>
                    <w:tr2bl w:val="nil"/>
                  </w:tcBorders>
                  <w:vAlign w:val="center"/>
                </w:tcPr>
                <w:p w14:paraId="74561FB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pacing w:val="7"/>
                      <w:sz w:val="21"/>
                      <w:szCs w:val="21"/>
                    </w:rPr>
                    <w:t>科技治污智慧监管攻坚突破</w:t>
                  </w:r>
                </w:p>
              </w:tc>
            </w:tr>
            <w:tr w14:paraId="014FAAB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60" w:type="dxa"/>
                  <w:tcBorders>
                    <w:tl2br w:val="nil"/>
                    <w:tr2bl w:val="nil"/>
                  </w:tcBorders>
                  <w:vAlign w:val="center"/>
                </w:tcPr>
                <w:p w14:paraId="6DA0E7D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创新</w:t>
                  </w:r>
                  <w:r>
                    <w:rPr>
                      <w:rFonts w:hint="default" w:ascii="Times New Roman" w:hAnsi="Times New Roman" w:eastAsia="Times New Roman" w:cs="Times New Roman"/>
                      <w:color w:val="auto"/>
                      <w:sz w:val="21"/>
                      <w:szCs w:val="21"/>
                    </w:rPr>
                    <w:t>VOCs</w:t>
                  </w:r>
                  <w:r>
                    <w:rPr>
                      <w:rFonts w:hint="default" w:ascii="Times New Roman" w:hAnsi="Times New Roman" w:cs="Times New Roman"/>
                      <w:color w:val="auto"/>
                      <w:spacing w:val="9"/>
                      <w:sz w:val="21"/>
                      <w:szCs w:val="21"/>
                    </w:rPr>
                    <w:t>治理设备监管方式。积极推进活性炭吸附设备智慧监管，实现活性炭购买、使用、更换、处置全过程留痕和全环</w:t>
                  </w:r>
                  <w:r>
                    <w:rPr>
                      <w:rFonts w:hint="default" w:ascii="Times New Roman" w:hAnsi="Times New Roman" w:cs="Times New Roman"/>
                      <w:color w:val="auto"/>
                      <w:spacing w:val="7"/>
                      <w:sz w:val="21"/>
                      <w:szCs w:val="21"/>
                    </w:rPr>
                    <w:t>节可回溯管理。</w:t>
                  </w:r>
                </w:p>
              </w:tc>
              <w:tc>
                <w:tcPr>
                  <w:tcW w:w="2210" w:type="dxa"/>
                  <w:tcBorders>
                    <w:tl2br w:val="nil"/>
                    <w:tr2bl w:val="nil"/>
                  </w:tcBorders>
                  <w:vAlign w:val="center"/>
                </w:tcPr>
                <w:p w14:paraId="1BE50B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本项目运营后将对活性炭购买、使用、更换、处置全过程设置</w:t>
                  </w:r>
                  <w:r>
                    <w:rPr>
                      <w:rFonts w:hint="default" w:ascii="Times New Roman" w:hAnsi="Times New Roman" w:cs="Times New Roman"/>
                      <w:color w:val="auto"/>
                      <w:spacing w:val="-3"/>
                      <w:sz w:val="21"/>
                      <w:szCs w:val="21"/>
                    </w:rPr>
                    <w:t>台账。</w:t>
                  </w:r>
                </w:p>
              </w:tc>
              <w:tc>
                <w:tcPr>
                  <w:tcW w:w="901" w:type="dxa"/>
                  <w:tcBorders>
                    <w:tl2br w:val="nil"/>
                    <w:tr2bl w:val="nil"/>
                  </w:tcBorders>
                  <w:vAlign w:val="center"/>
                </w:tcPr>
                <w:p w14:paraId="2D9CDC3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符合</w:t>
                  </w:r>
                </w:p>
              </w:tc>
            </w:tr>
          </w:tbl>
          <w:p w14:paraId="6742B04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b/>
                <w:bCs/>
                <w:color w:val="auto"/>
                <w:lang w:val="en-US" w:eastAsia="zh-CN"/>
              </w:rPr>
            </w:pPr>
            <w:r>
              <w:rPr>
                <w:rFonts w:hint="default" w:ascii="Times New Roman" w:hAnsi="Times New Roman" w:eastAsia="宋体" w:cs="Times New Roman"/>
                <w:snapToGrid w:val="0"/>
                <w:color w:val="auto"/>
                <w:kern w:val="0"/>
                <w:sz w:val="24"/>
                <w:szCs w:val="21"/>
                <w:lang w:val="en-US" w:eastAsia="en-US" w:bidi="ar-SA"/>
              </w:rPr>
              <w:t>综上所述，本项目符合</w:t>
            </w:r>
            <w:r>
              <w:rPr>
                <w:rFonts w:hint="default" w:ascii="Times New Roman" w:hAnsi="Times New Roman" w:eastAsia="宋体" w:cs="Times New Roman"/>
                <w:b w:val="0"/>
                <w:bCs w:val="0"/>
                <w:snapToGrid w:val="0"/>
                <w:color w:val="auto"/>
                <w:kern w:val="0"/>
                <w:sz w:val="24"/>
                <w:szCs w:val="21"/>
                <w:lang w:val="en-US" w:eastAsia="en-US" w:bidi="ar-SA"/>
              </w:rPr>
              <w:t>《淄博市2024年大气污染防治“九个攻坚突破”行动计划》</w:t>
            </w:r>
            <w:r>
              <w:rPr>
                <w:rFonts w:hint="eastAsia" w:ascii="Times New Roman" w:hAnsi="Times New Roman" w:cs="Times New Roman"/>
                <w:b w:val="0"/>
                <w:bCs w:val="0"/>
                <w:snapToGrid w:val="0"/>
                <w:color w:val="auto"/>
                <w:kern w:val="0"/>
                <w:sz w:val="24"/>
                <w:szCs w:val="21"/>
                <w:lang w:val="en-US" w:eastAsia="zh-CN" w:bidi="ar-SA"/>
              </w:rPr>
              <w:t>中的各项要求。</w:t>
            </w:r>
          </w:p>
        </w:tc>
      </w:tr>
    </w:tbl>
    <w:p w14:paraId="44DCFBA4">
      <w:pPr>
        <w:numPr>
          <w:ilvl w:val="0"/>
          <w:numId w:val="2"/>
        </w:numPr>
        <w:spacing w:before="59" w:line="219" w:lineRule="auto"/>
        <w:ind w:left="3451"/>
        <w:rPr>
          <w:rFonts w:hint="default" w:ascii="Times New Roman" w:hAnsi="Times New Roman" w:eastAsia="黑体" w:cs="Times New Roman"/>
          <w:color w:val="auto"/>
          <w:spacing w:val="-2"/>
          <w:sz w:val="30"/>
          <w:szCs w:val="30"/>
        </w:rPr>
      </w:pPr>
      <w:r>
        <w:rPr>
          <w:rFonts w:hint="default" w:ascii="Times New Roman" w:hAnsi="Times New Roman" w:eastAsia="黑体" w:cs="Times New Roman"/>
          <w:color w:val="auto"/>
          <w:spacing w:val="-2"/>
          <w:sz w:val="30"/>
          <w:szCs w:val="30"/>
        </w:rPr>
        <w:t>建设项目工程分析</w:t>
      </w:r>
    </w:p>
    <w:tbl>
      <w:tblPr>
        <w:tblStyle w:val="21"/>
        <w:tblW w:w="986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31"/>
        <w:gridCol w:w="9433"/>
      </w:tblGrid>
      <w:tr w14:paraId="5B4669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427" w:hRule="atLeast"/>
          <w:jc w:val="center"/>
        </w:trPr>
        <w:tc>
          <w:tcPr>
            <w:tcW w:w="431" w:type="dxa"/>
            <w:tcBorders>
              <w:right w:val="single" w:color="000000" w:sz="8" w:space="0"/>
            </w:tcBorders>
            <w:vAlign w:val="center"/>
          </w:tcPr>
          <w:p w14:paraId="0DFC676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w:t>
            </w:r>
          </w:p>
          <w:p w14:paraId="2C2A7B0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4"/>
                <w:szCs w:val="24"/>
              </w:rPr>
            </w:pPr>
          </w:p>
          <w:p w14:paraId="62D827A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设</w:t>
            </w:r>
          </w:p>
          <w:p w14:paraId="5155AAB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4"/>
                <w:szCs w:val="24"/>
              </w:rPr>
            </w:pPr>
          </w:p>
          <w:p w14:paraId="1FCBFA6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内</w:t>
            </w:r>
          </w:p>
          <w:p w14:paraId="574DAD3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4"/>
                <w:szCs w:val="24"/>
              </w:rPr>
            </w:pPr>
          </w:p>
          <w:p w14:paraId="5B33946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容</w:t>
            </w:r>
          </w:p>
        </w:tc>
        <w:tc>
          <w:tcPr>
            <w:tcW w:w="9433" w:type="dxa"/>
            <w:tcBorders>
              <w:left w:val="single" w:color="000000" w:sz="8" w:space="0"/>
            </w:tcBorders>
            <w:vAlign w:val="top"/>
          </w:tcPr>
          <w:p w14:paraId="22E1C59D">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一、项目背景及由来</w:t>
            </w:r>
          </w:p>
          <w:p w14:paraId="085B1AC8">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淄博淄阀工贸有限公司成立于2011</w:t>
            </w:r>
            <w:r>
              <w:rPr>
                <w:rFonts w:hint="eastAsia" w:ascii="Times New Roman" w:hAnsi="Times New Roman" w:cs="Times New Roman"/>
                <w:color w:val="auto"/>
                <w:sz w:val="24"/>
                <w:szCs w:val="24"/>
                <w:lang w:val="en-US" w:eastAsia="zh-CN"/>
              </w:rPr>
              <w:t>年</w:t>
            </w:r>
            <w:r>
              <w:rPr>
                <w:rFonts w:hint="default" w:ascii="Times New Roman" w:hAnsi="Times New Roman" w:eastAsia="宋体" w:cs="Times New Roman"/>
                <w:color w:val="auto"/>
                <w:sz w:val="24"/>
                <w:szCs w:val="24"/>
              </w:rPr>
              <w:t>11</w:t>
            </w:r>
            <w:r>
              <w:rPr>
                <w:rFonts w:hint="eastAsia" w:ascii="Times New Roman" w:hAnsi="Times New Roman" w:cs="Times New Roman"/>
                <w:color w:val="auto"/>
                <w:sz w:val="24"/>
                <w:szCs w:val="24"/>
                <w:lang w:val="en-US" w:eastAsia="zh-CN"/>
              </w:rPr>
              <w:t>月</w:t>
            </w:r>
            <w:r>
              <w:rPr>
                <w:rFonts w:hint="default" w:ascii="Times New Roman" w:hAnsi="Times New Roman" w:eastAsia="宋体" w:cs="Times New Roman"/>
                <w:color w:val="auto"/>
                <w:sz w:val="24"/>
                <w:szCs w:val="24"/>
              </w:rPr>
              <w:t>10</w:t>
            </w:r>
            <w:r>
              <w:rPr>
                <w:rFonts w:hint="eastAsia" w:ascii="Times New Roman" w:hAnsi="Times New Roman" w:cs="Times New Roman"/>
                <w:color w:val="auto"/>
                <w:sz w:val="24"/>
                <w:szCs w:val="24"/>
                <w:lang w:val="en-US" w:eastAsia="zh-CN"/>
              </w:rPr>
              <w:t>日</w:t>
            </w:r>
            <w:r>
              <w:rPr>
                <w:rFonts w:hint="default" w:ascii="Times New Roman" w:hAnsi="Times New Roman" w:eastAsia="宋体" w:cs="Times New Roman"/>
                <w:color w:val="auto"/>
                <w:sz w:val="24"/>
                <w:szCs w:val="24"/>
              </w:rPr>
              <w:t>，法定代表人为司俊杰，统一社会信用代码为91370302586072051C，企业注册地址位于淄川区龙泉镇龙二村，所属行业为通用设备制造业，经营范围包含：机械阀门配件、真空泵配件制造，销售；（有效期限以许可证为准）。五金配件、劳保护品、玻璃制品、化工产品（不含危险和易制毒化学品）、生铁、不锈钢制品销售。（依法须经批准的项目，经相关部门批准后方可开展经营活动）。企业当前经营状态为在业。</w:t>
            </w:r>
          </w:p>
          <w:p w14:paraId="5D665F98">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淄博淄阀工贸有限公司</w:t>
            </w:r>
            <w:r>
              <w:rPr>
                <w:rFonts w:hint="default" w:ascii="Times New Roman" w:hAnsi="Times New Roman" w:eastAsia="宋体" w:cs="Times New Roman"/>
                <w:color w:val="auto"/>
                <w:sz w:val="24"/>
                <w:szCs w:val="24"/>
                <w:highlight w:val="none"/>
              </w:rPr>
              <w:t>于20</w:t>
            </w:r>
            <w:r>
              <w:rPr>
                <w:rFonts w:hint="eastAsia" w:ascii="Times New Roman" w:hAnsi="Times New Roman"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月编制完成了</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淄博淄阀工贸有限公司</w:t>
            </w:r>
            <w:r>
              <w:rPr>
                <w:rFonts w:hint="eastAsia" w:ascii="Times New Roman" w:hAnsi="Times New Roman" w:cs="Times New Roman"/>
                <w:color w:val="auto"/>
                <w:sz w:val="24"/>
                <w:szCs w:val="24"/>
                <w:highlight w:val="none"/>
                <w:lang w:val="en-US" w:eastAsia="zh-CN"/>
              </w:rPr>
              <w:t>4000吨/年机械阀门配件及真空泵配件生产项目</w:t>
            </w:r>
            <w:r>
              <w:rPr>
                <w:rFonts w:hint="default" w:ascii="Times New Roman" w:hAnsi="Times New Roman" w:eastAsia="宋体" w:cs="Times New Roman"/>
                <w:color w:val="auto"/>
                <w:sz w:val="24"/>
                <w:szCs w:val="24"/>
                <w:highlight w:val="none"/>
              </w:rPr>
              <w:t>环境影响报告表</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并于201</w:t>
            </w:r>
            <w:r>
              <w:rPr>
                <w:rFonts w:hint="eastAsia" w:ascii="Times New Roman" w:hAnsi="Times New Roman"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日</w:t>
            </w:r>
            <w:r>
              <w:rPr>
                <w:rFonts w:hint="default" w:ascii="Times New Roman" w:hAnsi="Times New Roman" w:eastAsia="宋体" w:cs="Times New Roman"/>
                <w:color w:val="auto"/>
                <w:sz w:val="24"/>
                <w:szCs w:val="24"/>
                <w:highlight w:val="none"/>
                <w:lang w:val="en-US" w:eastAsia="zh-CN"/>
              </w:rPr>
              <w:t>取得</w:t>
            </w:r>
            <w:r>
              <w:rPr>
                <w:rFonts w:hint="eastAsia" w:ascii="Times New Roman" w:hAnsi="Times New Roman" w:cs="Times New Roman"/>
                <w:color w:val="auto"/>
                <w:sz w:val="24"/>
                <w:szCs w:val="24"/>
                <w:highlight w:val="none"/>
                <w:lang w:val="en-US" w:eastAsia="zh-CN"/>
              </w:rPr>
              <w:t>淄博市环境保护局淄川分局</w:t>
            </w:r>
            <w:r>
              <w:rPr>
                <w:rFonts w:hint="default" w:ascii="Times New Roman" w:hAnsi="Times New Roman" w:eastAsia="宋体" w:cs="Times New Roman"/>
                <w:color w:val="auto"/>
                <w:sz w:val="24"/>
                <w:szCs w:val="24"/>
                <w:highlight w:val="none"/>
              </w:rPr>
              <w:t>审批意见，审批意见文号为</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川环报告表[2010]37号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于</w:t>
            </w:r>
            <w:r>
              <w:rPr>
                <w:rFonts w:hint="eastAsia" w:ascii="Times New Roman" w:hAnsi="Times New Roman" w:cs="Times New Roman"/>
                <w:color w:val="auto"/>
                <w:sz w:val="24"/>
                <w:szCs w:val="24"/>
                <w:highlight w:val="none"/>
                <w:lang w:val="en-US" w:eastAsia="zh-CN"/>
              </w:rPr>
              <w:t>2011</w:t>
            </w:r>
            <w:r>
              <w:rPr>
                <w:rFonts w:hint="default" w:ascii="Times New Roman" w:hAnsi="Times New Roman" w:eastAsia="宋体" w:cs="Times New Roman"/>
                <w:color w:val="auto"/>
                <w:sz w:val="24"/>
                <w:szCs w:val="24"/>
                <w:highlight w:val="none"/>
                <w:lang w:val="en-US" w:eastAsia="zh-CN"/>
              </w:rPr>
              <w:t>年8月</w:t>
            </w:r>
            <w:r>
              <w:rPr>
                <w:rFonts w:hint="eastAsia" w:ascii="Times New Roman" w:hAnsi="Times New Roman"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lang w:val="en-US" w:eastAsia="zh-CN"/>
              </w:rPr>
              <w:t>日</w:t>
            </w:r>
            <w:r>
              <w:rPr>
                <w:rFonts w:hint="eastAsia" w:ascii="Times New Roman" w:hAnsi="Times New Roman" w:cs="Times New Roman"/>
                <w:color w:val="auto"/>
                <w:sz w:val="24"/>
                <w:szCs w:val="24"/>
                <w:highlight w:val="none"/>
                <w:lang w:val="en-US" w:eastAsia="zh-CN"/>
              </w:rPr>
              <w:t>取得原淄川环保分局对该项目的验收意见，文号为川环验[2011]45号</w:t>
            </w:r>
            <w:r>
              <w:rPr>
                <w:rFonts w:hint="default" w:ascii="Times New Roman" w:hAnsi="Times New Roman" w:eastAsia="宋体" w:cs="Times New Roman"/>
                <w:color w:val="auto"/>
                <w:sz w:val="24"/>
                <w:szCs w:val="24"/>
                <w:highlight w:val="none"/>
                <w:lang w:val="en-US" w:eastAsia="zh-CN"/>
              </w:rPr>
              <w:t>。于2020年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月</w:t>
            </w:r>
            <w:r>
              <w:rPr>
                <w:rFonts w:hint="eastAsia" w:ascii="Times New Roman" w:hAnsi="Times New Roman"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lang w:val="en-US" w:eastAsia="zh-CN"/>
              </w:rPr>
              <w:t>日</w:t>
            </w:r>
            <w:r>
              <w:rPr>
                <w:rFonts w:hint="eastAsia" w:ascii="Times New Roman" w:hAnsi="Times New Roman" w:cs="Times New Roman"/>
                <w:color w:val="auto"/>
                <w:sz w:val="24"/>
                <w:szCs w:val="24"/>
                <w:highlight w:val="none"/>
                <w:lang w:val="en-US" w:eastAsia="zh-CN"/>
              </w:rPr>
              <w:t>首次</w:t>
            </w:r>
            <w:r>
              <w:rPr>
                <w:rFonts w:hint="default" w:ascii="Times New Roman" w:hAnsi="Times New Roman" w:eastAsia="宋体" w:cs="Times New Roman"/>
                <w:color w:val="auto"/>
                <w:sz w:val="24"/>
                <w:szCs w:val="24"/>
                <w:highlight w:val="none"/>
                <w:lang w:val="en-US" w:eastAsia="zh-CN"/>
              </w:rPr>
              <w:t>进行了排污</w:t>
            </w:r>
            <w:r>
              <w:rPr>
                <w:rFonts w:hint="eastAsia" w:ascii="Times New Roman" w:hAnsi="Times New Roman" w:cs="Times New Roman"/>
                <w:color w:val="auto"/>
                <w:sz w:val="24"/>
                <w:szCs w:val="24"/>
                <w:highlight w:val="none"/>
                <w:lang w:val="en-US" w:eastAsia="zh-CN"/>
              </w:rPr>
              <w:t>许可申领</w:t>
            </w:r>
            <w:r>
              <w:rPr>
                <w:rFonts w:hint="default" w:ascii="Times New Roman" w:hAnsi="Times New Roman" w:eastAsia="宋体" w:cs="Times New Roman"/>
                <w:color w:val="auto"/>
                <w:sz w:val="24"/>
                <w:szCs w:val="24"/>
                <w:highlight w:val="none"/>
                <w:lang w:val="en-US" w:eastAsia="zh-CN"/>
              </w:rPr>
              <w:t>，2023</w:t>
            </w:r>
            <w:r>
              <w:rPr>
                <w:rFonts w:hint="eastAsia" w:ascii="Times New Roman" w:hAnsi="Times New Roman" w:cs="Times New Roman"/>
                <w:color w:val="auto"/>
                <w:sz w:val="24"/>
                <w:szCs w:val="24"/>
                <w:highlight w:val="none"/>
                <w:lang w:val="en-US" w:eastAsia="zh-CN"/>
              </w:rPr>
              <w:t>年</w:t>
            </w:r>
            <w:r>
              <w:rPr>
                <w:rFonts w:hint="default" w:ascii="Times New Roman" w:hAnsi="Times New Roman" w:eastAsia="宋体"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val="en-US" w:eastAsia="zh-CN"/>
              </w:rPr>
              <w:t>月</w:t>
            </w:r>
            <w:r>
              <w:rPr>
                <w:rFonts w:hint="default" w:ascii="Times New Roman" w:hAnsi="Times New Roman" w:eastAsia="宋体"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日进行了变更，有效期至2028年7月10日，排污</w:t>
            </w:r>
            <w:r>
              <w:rPr>
                <w:rFonts w:hint="default" w:ascii="Times New Roman" w:hAnsi="Times New Roman" w:eastAsia="宋体" w:cs="Times New Roman"/>
                <w:color w:val="auto"/>
                <w:sz w:val="24"/>
                <w:szCs w:val="24"/>
                <w:highlight w:val="none"/>
                <w:lang w:val="en-US" w:eastAsia="zh-CN"/>
              </w:rPr>
              <w:t>编号为91370302586072051C001Q</w:t>
            </w:r>
            <w:r>
              <w:rPr>
                <w:rFonts w:hint="eastAsia" w:ascii="Times New Roman" w:hAnsi="Times New Roman" w:cs="Times New Roman"/>
                <w:color w:val="auto"/>
                <w:sz w:val="24"/>
                <w:szCs w:val="24"/>
                <w:highlight w:val="none"/>
                <w:lang w:val="en-US" w:eastAsia="zh-CN"/>
              </w:rPr>
              <w:t>（附件7）</w:t>
            </w:r>
            <w:r>
              <w:rPr>
                <w:rFonts w:hint="default" w:ascii="Times New Roman" w:hAnsi="Times New Roman" w:eastAsia="宋体" w:cs="Times New Roman"/>
                <w:color w:val="auto"/>
                <w:sz w:val="24"/>
                <w:szCs w:val="24"/>
                <w:highlight w:val="none"/>
                <w:lang w:val="en-US" w:eastAsia="zh-CN"/>
              </w:rPr>
              <w:t>。</w:t>
            </w:r>
          </w:p>
          <w:p w14:paraId="0168704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val="en-US" w:eastAsia="zh-CN"/>
              </w:rPr>
              <w:t>因市场需求以及公司发展需要，</w:t>
            </w:r>
            <w:r>
              <w:rPr>
                <w:rFonts w:hint="eastAsia" w:ascii="Times New Roman" w:hAnsi="Times New Roman" w:cs="Times New Roman"/>
                <w:color w:val="auto"/>
                <w:sz w:val="24"/>
                <w:szCs w:val="24"/>
                <w:highlight w:val="none"/>
                <w:lang w:val="en-US" w:eastAsia="zh-CN"/>
              </w:rPr>
              <w:t>公司拟依托</w:t>
            </w:r>
            <w:r>
              <w:rPr>
                <w:rFonts w:hint="default" w:ascii="Times New Roman" w:hAnsi="Times New Roman" w:cs="Times New Roman"/>
                <w:color w:val="auto"/>
                <w:sz w:val="24"/>
                <w:szCs w:val="24"/>
                <w:highlight w:val="none"/>
                <w:lang w:eastAsia="zh-CN"/>
              </w:rPr>
              <w:t>厂区内</w:t>
            </w:r>
            <w:r>
              <w:rPr>
                <w:rFonts w:hint="eastAsia" w:ascii="Times New Roman" w:hAnsi="Times New Roman" w:cs="Times New Roman"/>
                <w:color w:val="auto"/>
                <w:sz w:val="24"/>
                <w:szCs w:val="24"/>
                <w:highlight w:val="none"/>
                <w:lang w:val="en-US" w:eastAsia="zh-CN"/>
              </w:rPr>
              <w:t>现有</w:t>
            </w:r>
            <w:r>
              <w:rPr>
                <w:rFonts w:hint="default" w:ascii="Times New Roman" w:hAnsi="Times New Roman" w:cs="Times New Roman"/>
                <w:color w:val="auto"/>
                <w:sz w:val="24"/>
                <w:szCs w:val="24"/>
                <w:highlight w:val="none"/>
                <w:lang w:eastAsia="zh-CN"/>
              </w:rPr>
              <w:t>厂房约</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000平</w:t>
            </w:r>
            <w:r>
              <w:rPr>
                <w:rFonts w:hint="eastAsia" w:ascii="Times New Roman" w:hAnsi="Times New Roman" w:cs="Times New Roman"/>
                <w:color w:val="auto"/>
                <w:sz w:val="24"/>
                <w:szCs w:val="24"/>
                <w:highlight w:val="none"/>
                <w:lang w:eastAsia="zh-CN"/>
              </w:rPr>
              <w:t>方米</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对现有生产工艺及设备进行技术改造。项目现有工艺为</w:t>
            </w:r>
            <w:r>
              <w:rPr>
                <w:rFonts w:hint="eastAsia"/>
                <w:color w:val="auto"/>
                <w:lang w:val="en-US" w:eastAsia="zh-CN"/>
              </w:rPr>
              <w:t>砂型铸造工艺，技改项目保留现有砂型铸造工艺，新增覆膜砂、消失模铸造工艺。新上一根排气筒、布袋除尘器及二级活性炭吸附装置，现有排气筒新增二级活性炭吸附装置及更换大风量风机，设备新增</w:t>
            </w:r>
            <w:r>
              <w:rPr>
                <w:rFonts w:hint="eastAsia" w:ascii="Times New Roman" w:hAnsi="Times New Roman" w:cs="Times New Roman"/>
                <w:color w:val="auto"/>
                <w:sz w:val="24"/>
                <w:szCs w:val="24"/>
                <w:highlight w:val="none"/>
                <w:lang w:val="en-US" w:eastAsia="zh-CN"/>
              </w:rPr>
              <w:t>自动射芯机、自动打磨机、履带清理机</w:t>
            </w:r>
            <w:r>
              <w:rPr>
                <w:rFonts w:hint="default" w:ascii="Times New Roman" w:hAnsi="Times New Roman" w:cs="Times New Roman"/>
                <w:color w:val="auto"/>
                <w:sz w:val="24"/>
                <w:szCs w:val="24"/>
                <w:highlight w:val="none"/>
                <w:lang w:eastAsia="zh-CN"/>
              </w:rPr>
              <w:t>等设备，</w:t>
            </w:r>
            <w:r>
              <w:rPr>
                <w:rFonts w:hint="eastAsia" w:ascii="Times New Roman" w:hAnsi="Times New Roman" w:cs="Times New Roman"/>
                <w:color w:val="auto"/>
                <w:sz w:val="24"/>
                <w:szCs w:val="24"/>
                <w:highlight w:val="none"/>
                <w:lang w:val="en-US" w:eastAsia="zh-CN"/>
              </w:rPr>
              <w:t>对现有产品进行升级改造</w:t>
            </w:r>
            <w:r>
              <w:rPr>
                <w:rFonts w:hint="default" w:ascii="Times New Roman" w:hAnsi="Times New Roman" w:cs="Times New Roman"/>
                <w:color w:val="auto"/>
                <w:sz w:val="24"/>
                <w:szCs w:val="24"/>
                <w:highlight w:val="none"/>
                <w:lang w:eastAsia="zh-CN"/>
              </w:rPr>
              <w:t>，达到产品更加优越的质量稳定性</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项目不涉及核心设备及产品、产能变更，建成后产能仍为4000吨机械阀门及泵类配件，技改前后电炉总容量不变、铸造总产能不变</w:t>
            </w:r>
            <w:r>
              <w:rPr>
                <w:rFonts w:hint="default" w:ascii="Times New Roman" w:hAnsi="Times New Roman" w:eastAsia="宋体" w:cs="Times New Roman"/>
                <w:color w:val="auto"/>
                <w:sz w:val="24"/>
                <w:szCs w:val="24"/>
                <w:highlight w:val="none"/>
              </w:rPr>
              <w:t>。</w:t>
            </w:r>
          </w:p>
          <w:p w14:paraId="49EF5C6E">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根据《建设项目分类管理名录》（2021版）的相关规定，项目属于“</w:t>
            </w:r>
            <w:r>
              <w:rPr>
                <w:rFonts w:hint="default" w:ascii="Times New Roman" w:hAnsi="Times New Roman" w:eastAsia="宋体" w:cs="Times New Roman"/>
                <w:color w:val="auto"/>
                <w:sz w:val="24"/>
                <w:szCs w:val="24"/>
              </w:rPr>
              <w:t>三十、金属制品业 33</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中</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铸造及其他金属制品制造 339</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中的</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其他（仅分割、焊接、组装的除外）</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环评类别为“报告表”，即项目应编制环境影响评价报告表。我单位受委托后，通过对该项目进行现场调查和资料搜集，按照国家有关环评技术规范要求，编制完成该项目环境影响报告表。</w:t>
            </w:r>
          </w:p>
          <w:p w14:paraId="2B6E9954">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二、项目建设名称、性质、地点及规模</w:t>
            </w:r>
          </w:p>
          <w:p w14:paraId="27F89EF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（1）项目名称：</w:t>
            </w:r>
            <w:r>
              <w:rPr>
                <w:rFonts w:hint="eastAsia" w:ascii="Times New Roman" w:hAnsi="Times New Roman" w:cs="Times New Roman"/>
                <w:color w:val="auto"/>
                <w:sz w:val="24"/>
                <w:szCs w:val="24"/>
                <w:lang w:eastAsia="zh-CN"/>
              </w:rPr>
              <w:t>年产4000吨机械阀门及泵类配件技改项目</w:t>
            </w:r>
            <w:r>
              <w:rPr>
                <w:rFonts w:hint="default" w:ascii="Times New Roman" w:hAnsi="Times New Roman" w:eastAsia="宋体" w:cs="Times New Roman"/>
                <w:color w:val="auto"/>
                <w:sz w:val="24"/>
                <w:szCs w:val="24"/>
              </w:rPr>
              <w:t>；</w:t>
            </w:r>
          </w:p>
          <w:p w14:paraId="1D11E08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（2）建设单位：</w:t>
            </w:r>
            <w:r>
              <w:rPr>
                <w:rFonts w:hint="eastAsia" w:ascii="Times New Roman" w:hAnsi="Times New Roman" w:cs="Times New Roman"/>
                <w:color w:val="auto"/>
                <w:sz w:val="24"/>
                <w:szCs w:val="24"/>
                <w:lang w:eastAsia="zh-CN"/>
              </w:rPr>
              <w:t>淄博淄阀工贸有限公司</w:t>
            </w:r>
            <w:r>
              <w:rPr>
                <w:rFonts w:hint="default" w:ascii="Times New Roman" w:hAnsi="Times New Roman" w:eastAsia="宋体" w:cs="Times New Roman"/>
                <w:color w:val="auto"/>
                <w:sz w:val="24"/>
                <w:szCs w:val="24"/>
              </w:rPr>
              <w:t>；</w:t>
            </w:r>
          </w:p>
          <w:p w14:paraId="734501E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（3）建设地点：</w:t>
            </w:r>
            <w:r>
              <w:rPr>
                <w:rFonts w:hint="default" w:ascii="Times New Roman" w:hAnsi="Times New Roman" w:cs="Times New Roman"/>
                <w:color w:val="auto"/>
                <w:sz w:val="24"/>
                <w:szCs w:val="24"/>
                <w:lang w:eastAsia="zh-CN"/>
              </w:rPr>
              <w:t>山东省</w:t>
            </w:r>
            <w:r>
              <w:rPr>
                <w:rFonts w:hint="eastAsia" w:ascii="Times New Roman" w:hAnsi="Times New Roman" w:cs="Times New Roman"/>
                <w:color w:val="auto"/>
                <w:sz w:val="24"/>
                <w:szCs w:val="24"/>
                <w:lang w:eastAsia="zh-CN"/>
              </w:rPr>
              <w:t>淄博市淄川区龙泉镇大土屋村西</w:t>
            </w:r>
            <w:r>
              <w:rPr>
                <w:rFonts w:hint="default" w:ascii="Times New Roman" w:hAnsi="Times New Roman" w:eastAsia="宋体" w:cs="Times New Roman"/>
                <w:color w:val="auto"/>
                <w:sz w:val="24"/>
                <w:szCs w:val="24"/>
              </w:rPr>
              <w:t>；</w:t>
            </w:r>
          </w:p>
          <w:p w14:paraId="60F2CD1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（4）建设性质：</w:t>
            </w:r>
            <w:r>
              <w:rPr>
                <w:rFonts w:hint="default" w:ascii="Times New Roman" w:hAnsi="Times New Roman" w:cs="Times New Roman"/>
                <w:color w:val="auto"/>
                <w:sz w:val="24"/>
                <w:szCs w:val="24"/>
                <w:lang w:val="en-US" w:eastAsia="zh-CN"/>
              </w:rPr>
              <w:t>技改</w:t>
            </w:r>
            <w:r>
              <w:rPr>
                <w:rFonts w:hint="default" w:ascii="Times New Roman" w:hAnsi="Times New Roman" w:eastAsia="宋体" w:cs="Times New Roman"/>
                <w:color w:val="auto"/>
                <w:sz w:val="24"/>
                <w:szCs w:val="24"/>
              </w:rPr>
              <w:t>；</w:t>
            </w:r>
          </w:p>
          <w:p w14:paraId="6C99E64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（5）建设内容</w:t>
            </w:r>
            <w:r>
              <w:rPr>
                <w:rFonts w:hint="default" w:ascii="Times New Roman" w:hAnsi="Times New Roman" w:eastAsia="宋体" w:cs="Times New Roman"/>
                <w:color w:val="auto"/>
                <w:sz w:val="24"/>
                <w:szCs w:val="24"/>
                <w:highlight w:val="none"/>
              </w:rPr>
              <w:t>：项目</w:t>
            </w:r>
            <w:r>
              <w:rPr>
                <w:rFonts w:hint="default" w:ascii="Times New Roman" w:hAnsi="Times New Roman" w:cs="Times New Roman"/>
                <w:color w:val="auto"/>
                <w:sz w:val="24"/>
                <w:szCs w:val="24"/>
                <w:highlight w:val="none"/>
                <w:lang w:val="en-US" w:eastAsia="zh-CN"/>
              </w:rPr>
              <w:t>利用厂区</w:t>
            </w:r>
            <w:r>
              <w:rPr>
                <w:rFonts w:hint="default" w:ascii="Times New Roman" w:hAnsi="Times New Roman" w:eastAsia="宋体" w:cs="Times New Roman"/>
                <w:color w:val="auto"/>
                <w:sz w:val="24"/>
                <w:szCs w:val="24"/>
                <w:highlight w:val="none"/>
              </w:rPr>
              <w:t>现有厂房，</w:t>
            </w:r>
            <w:r>
              <w:rPr>
                <w:rFonts w:hint="eastAsia"/>
                <w:color w:val="auto"/>
                <w:lang w:val="en-US" w:eastAsia="zh-CN"/>
              </w:rPr>
              <w:t>技改项目保留现有砂型铸造工艺，新增覆膜砂、消失模铸造工艺。新上一根排气筒、布袋除尘器及二级活性炭吸附装置，现有排气筒新增二级活性炭吸附装置及更换大风量风机，</w:t>
            </w:r>
            <w:r>
              <w:rPr>
                <w:rFonts w:hint="default" w:ascii="Times New Roman" w:hAnsi="Times New Roman" w:cs="Times New Roman"/>
                <w:color w:val="auto"/>
                <w:sz w:val="24"/>
                <w:szCs w:val="24"/>
                <w:highlight w:val="none"/>
                <w:lang w:val="en-US" w:eastAsia="zh-CN"/>
              </w:rPr>
              <w:t>安装</w:t>
            </w:r>
            <w:r>
              <w:rPr>
                <w:rFonts w:hint="eastAsia" w:ascii="Times New Roman" w:hAnsi="Times New Roman" w:cs="Times New Roman"/>
                <w:color w:val="auto"/>
                <w:sz w:val="24"/>
                <w:szCs w:val="24"/>
                <w:highlight w:val="none"/>
                <w:lang w:val="en-US" w:eastAsia="zh-CN"/>
              </w:rPr>
              <w:t>自动射芯机、自动打磨机、履带清理机</w:t>
            </w:r>
            <w:r>
              <w:rPr>
                <w:rFonts w:hint="default" w:ascii="Times New Roman" w:hAnsi="Times New Roman" w:eastAsia="宋体" w:cs="Times New Roman"/>
                <w:color w:val="auto"/>
                <w:sz w:val="24"/>
                <w:szCs w:val="24"/>
                <w:highlight w:val="none"/>
              </w:rPr>
              <w:t>等设备，项目建成后</w:t>
            </w:r>
            <w:r>
              <w:rPr>
                <w:rFonts w:hint="eastAsia" w:ascii="Times New Roman" w:hAnsi="Times New Roman" w:cs="Times New Roman"/>
                <w:color w:val="auto"/>
                <w:sz w:val="24"/>
                <w:szCs w:val="24"/>
                <w:highlight w:val="none"/>
                <w:lang w:val="en-US" w:eastAsia="zh-CN"/>
              </w:rPr>
              <w:t>产品质量提升</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全厂产能不变</w:t>
            </w:r>
            <w:r>
              <w:rPr>
                <w:rFonts w:hint="default" w:ascii="Times New Roman" w:hAnsi="Times New Roman" w:eastAsia="宋体" w:cs="Times New Roman"/>
                <w:color w:val="auto"/>
                <w:sz w:val="24"/>
                <w:szCs w:val="24"/>
                <w:highlight w:val="none"/>
              </w:rPr>
              <w:t>。</w:t>
            </w:r>
          </w:p>
          <w:p w14:paraId="77397D5B">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三、项目组成</w:t>
            </w:r>
          </w:p>
          <w:p w14:paraId="4A59259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项目主要组成见下表：</w:t>
            </w:r>
          </w:p>
          <w:p w14:paraId="3CEBC99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表2-1</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项目主要工程内容</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78"/>
              <w:gridCol w:w="1536"/>
              <w:gridCol w:w="5371"/>
              <w:gridCol w:w="1086"/>
            </w:tblGrid>
            <w:tr w14:paraId="248DAA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tcBorders>
                    <w:tl2br w:val="nil"/>
                    <w:tr2bl w:val="nil"/>
                  </w:tcBorders>
                  <w:vAlign w:val="center"/>
                </w:tcPr>
                <w:p w14:paraId="6DDD7FF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工程名称</w:t>
                  </w:r>
                </w:p>
              </w:tc>
              <w:tc>
                <w:tcPr>
                  <w:tcW w:w="1536" w:type="dxa"/>
                  <w:tcBorders>
                    <w:tl2br w:val="nil"/>
                    <w:tr2bl w:val="nil"/>
                  </w:tcBorders>
                  <w:vAlign w:val="center"/>
                </w:tcPr>
                <w:p w14:paraId="63F3759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工程内容</w:t>
                  </w:r>
                </w:p>
              </w:tc>
              <w:tc>
                <w:tcPr>
                  <w:tcW w:w="5371" w:type="dxa"/>
                  <w:tcBorders>
                    <w:tl2br w:val="nil"/>
                    <w:tr2bl w:val="nil"/>
                  </w:tcBorders>
                  <w:vAlign w:val="center"/>
                </w:tcPr>
                <w:p w14:paraId="252C054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建设内容及规模</w:t>
                  </w:r>
                </w:p>
              </w:tc>
              <w:tc>
                <w:tcPr>
                  <w:tcW w:w="1086" w:type="dxa"/>
                  <w:tcBorders>
                    <w:tl2br w:val="nil"/>
                    <w:tr2bl w:val="nil"/>
                  </w:tcBorders>
                  <w:vAlign w:val="center"/>
                </w:tcPr>
                <w:p w14:paraId="572928A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14:paraId="6AE09A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tcBorders>
                    <w:tl2br w:val="nil"/>
                    <w:tr2bl w:val="nil"/>
                  </w:tcBorders>
                  <w:vAlign w:val="center"/>
                </w:tcPr>
                <w:p w14:paraId="24C8137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1536" w:type="dxa"/>
                  <w:tcBorders>
                    <w:tl2br w:val="nil"/>
                    <w:tr2bl w:val="nil"/>
                  </w:tcBorders>
                  <w:vAlign w:val="center"/>
                </w:tcPr>
                <w:p w14:paraId="58C0CFF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生产车间</w:t>
                  </w:r>
                </w:p>
              </w:tc>
              <w:tc>
                <w:tcPr>
                  <w:tcW w:w="5371" w:type="dxa"/>
                  <w:tcBorders>
                    <w:tl2br w:val="nil"/>
                    <w:tr2bl w:val="nil"/>
                  </w:tcBorders>
                  <w:vAlign w:val="center"/>
                </w:tcPr>
                <w:p w14:paraId="0518C94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砖混</w:t>
                  </w:r>
                  <w:r>
                    <w:rPr>
                      <w:rFonts w:hint="default" w:ascii="Times New Roman" w:hAnsi="Times New Roman" w:eastAsia="宋体" w:cs="Times New Roman"/>
                      <w:color w:val="auto"/>
                      <w:sz w:val="21"/>
                      <w:szCs w:val="21"/>
                      <w:highlight w:val="none"/>
                    </w:rPr>
                    <w:t>结构，1层，占地面积</w:t>
                  </w:r>
                  <w:r>
                    <w:rPr>
                      <w:rFonts w:hint="eastAsia" w:ascii="Times New Roman" w:hAnsi="Times New Roman" w:cs="Times New Roman"/>
                      <w:color w:val="auto"/>
                      <w:sz w:val="21"/>
                      <w:szCs w:val="21"/>
                      <w:highlight w:val="none"/>
                      <w:lang w:val="en-US" w:eastAsia="zh-CN"/>
                    </w:rPr>
                    <w:t>200</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，技改项目保留现有砂型铸造工艺</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新增覆膜砂、消失模铸造工艺。新上一根排气筒、布袋除尘器及二级活性炭吸附装置，现有排气筒新增二级活性炭吸附装置及更换大风量风机，安装</w:t>
                  </w:r>
                  <w:r>
                    <w:rPr>
                      <w:rFonts w:hint="eastAsia" w:ascii="Times New Roman" w:hAnsi="Times New Roman" w:cs="Times New Roman"/>
                      <w:color w:val="auto"/>
                      <w:sz w:val="21"/>
                      <w:szCs w:val="21"/>
                      <w:highlight w:val="none"/>
                      <w:lang w:val="en-US" w:eastAsia="zh-CN"/>
                    </w:rPr>
                    <w:t>自动射芯机、</w:t>
                  </w:r>
                  <w:r>
                    <w:rPr>
                      <w:rFonts w:hint="eastAsia" w:ascii="Calibri" w:hAnsi="Calibri"/>
                      <w:color w:val="auto"/>
                      <w:kern w:val="2"/>
                      <w:sz w:val="21"/>
                      <w:szCs w:val="21"/>
                      <w:highlight w:val="none"/>
                      <w:lang w:val="en-US" w:eastAsia="zh-CN" w:bidi="ar-SA"/>
                    </w:rPr>
                    <w:t>自动打磨机</w:t>
                  </w:r>
                  <w:r>
                    <w:rPr>
                      <w:rFonts w:hint="default" w:ascii="Times New Roman" w:hAnsi="Times New Roman" w:eastAsia="宋体" w:cs="Times New Roman"/>
                      <w:color w:val="auto"/>
                      <w:sz w:val="21"/>
                      <w:szCs w:val="21"/>
                      <w:highlight w:val="none"/>
                    </w:rPr>
                    <w:t>等设备。</w:t>
                  </w:r>
                </w:p>
              </w:tc>
              <w:tc>
                <w:tcPr>
                  <w:tcW w:w="1086" w:type="dxa"/>
                  <w:tcBorders>
                    <w:tl2br w:val="nil"/>
                    <w:tr2bl w:val="nil"/>
                  </w:tcBorders>
                  <w:vAlign w:val="center"/>
                </w:tcPr>
                <w:p w14:paraId="4152E0E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r>
                    <w:rPr>
                      <w:rFonts w:hint="eastAsia" w:ascii="Times New Roman" w:hAnsi="Times New Roman" w:cs="Times New Roman"/>
                      <w:color w:val="auto"/>
                      <w:sz w:val="21"/>
                      <w:szCs w:val="21"/>
                      <w:highlight w:val="none"/>
                      <w:lang w:val="en-US" w:eastAsia="zh-CN"/>
                    </w:rPr>
                    <w:t>车间，新增设备，新增铸造工艺，产能不变</w:t>
                  </w:r>
                </w:p>
              </w:tc>
            </w:tr>
            <w:tr w14:paraId="020216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restart"/>
                  <w:tcBorders>
                    <w:tl2br w:val="nil"/>
                    <w:tr2bl w:val="nil"/>
                  </w:tcBorders>
                  <w:vAlign w:val="center"/>
                </w:tcPr>
                <w:p w14:paraId="74832DD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1536" w:type="dxa"/>
                  <w:tcBorders>
                    <w:tl2br w:val="nil"/>
                    <w:tr2bl w:val="nil"/>
                  </w:tcBorders>
                  <w:shd w:val="clear" w:color="auto" w:fill="auto"/>
                  <w:vAlign w:val="center"/>
                </w:tcPr>
                <w:p w14:paraId="239F273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仓库</w:t>
                  </w:r>
                </w:p>
              </w:tc>
              <w:tc>
                <w:tcPr>
                  <w:tcW w:w="5371" w:type="dxa"/>
                  <w:tcBorders>
                    <w:tl2br w:val="nil"/>
                    <w:tr2bl w:val="nil"/>
                  </w:tcBorders>
                  <w:shd w:val="clear" w:color="auto" w:fill="auto"/>
                  <w:vAlign w:val="center"/>
                </w:tcPr>
                <w:p w14:paraId="3C3B6E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砖混</w:t>
                  </w:r>
                  <w:r>
                    <w:rPr>
                      <w:rFonts w:hint="default" w:ascii="Times New Roman" w:hAnsi="Times New Roman" w:eastAsia="宋体" w:cs="Times New Roman"/>
                      <w:color w:val="auto"/>
                      <w:sz w:val="21"/>
                      <w:szCs w:val="21"/>
                      <w:highlight w:val="none"/>
                    </w:rPr>
                    <w:t>结构，1层，</w:t>
                  </w:r>
                  <w:r>
                    <w:rPr>
                      <w:rFonts w:hint="eastAsia" w:ascii="Times New Roman" w:hAnsi="Times New Roman" w:eastAsia="宋体"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eastAsia" w:ascii="Times New Roman" w:hAnsi="Times New Roman" w:eastAsia="宋体" w:cs="Times New Roman"/>
                      <w:color w:val="auto"/>
                      <w:sz w:val="21"/>
                      <w:szCs w:val="21"/>
                      <w:highlight w:val="none"/>
                      <w:lang w:val="en-US" w:eastAsia="zh-CN"/>
                    </w:rPr>
                    <w:t>，存放覆膜砂</w:t>
                  </w:r>
                </w:p>
              </w:tc>
              <w:tc>
                <w:tcPr>
                  <w:tcW w:w="1086" w:type="dxa"/>
                  <w:tcBorders>
                    <w:tl2br w:val="nil"/>
                    <w:tr2bl w:val="nil"/>
                  </w:tcBorders>
                  <w:vAlign w:val="center"/>
                </w:tcPr>
                <w:p w14:paraId="5F86D21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eastAsia" w:ascii="宋体" w:hAnsi="宋体"/>
                      <w:color w:val="auto"/>
                      <w:sz w:val="21"/>
                      <w:szCs w:val="21"/>
                      <w:lang w:val="en-US" w:eastAsia="zh-CN"/>
                    </w:rPr>
                    <w:t>新建</w:t>
                  </w:r>
                </w:p>
              </w:tc>
            </w:tr>
            <w:tr w14:paraId="0FE00C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1A6CB8C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shd w:val="clear" w:color="auto" w:fill="auto"/>
                  <w:vAlign w:val="center"/>
                </w:tcPr>
                <w:p w14:paraId="45C6B84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配电室</w:t>
                  </w:r>
                </w:p>
              </w:tc>
              <w:tc>
                <w:tcPr>
                  <w:tcW w:w="5371" w:type="dxa"/>
                  <w:tcBorders>
                    <w:tl2br w:val="nil"/>
                    <w:tr2bl w:val="nil"/>
                  </w:tcBorders>
                  <w:shd w:val="clear" w:color="auto" w:fill="auto"/>
                  <w:vAlign w:val="center"/>
                </w:tcPr>
                <w:p w14:paraId="2CFF3CA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砖混</w:t>
                  </w:r>
                  <w:r>
                    <w:rPr>
                      <w:rFonts w:hint="default" w:ascii="Times New Roman" w:hAnsi="Times New Roman" w:eastAsia="宋体" w:cs="Times New Roman"/>
                      <w:color w:val="auto"/>
                      <w:sz w:val="21"/>
                      <w:szCs w:val="21"/>
                      <w:highlight w:val="none"/>
                    </w:rPr>
                    <w:t>结构，1层，</w:t>
                  </w: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p>
              </w:tc>
              <w:tc>
                <w:tcPr>
                  <w:tcW w:w="1086" w:type="dxa"/>
                  <w:tcBorders>
                    <w:tl2br w:val="nil"/>
                    <w:tr2bl w:val="nil"/>
                  </w:tcBorders>
                  <w:shd w:val="clear" w:color="auto" w:fill="auto"/>
                  <w:vAlign w:val="center"/>
                </w:tcPr>
                <w:p w14:paraId="1071BA7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14:paraId="448D20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24C3917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shd w:val="clear" w:color="auto" w:fill="auto"/>
                  <w:vAlign w:val="center"/>
                </w:tcPr>
                <w:p w14:paraId="7DC1B6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办公室</w:t>
                  </w:r>
                </w:p>
              </w:tc>
              <w:tc>
                <w:tcPr>
                  <w:tcW w:w="5371" w:type="dxa"/>
                  <w:tcBorders>
                    <w:tl2br w:val="nil"/>
                    <w:tr2bl w:val="nil"/>
                  </w:tcBorders>
                  <w:shd w:val="clear" w:color="auto" w:fill="auto"/>
                  <w:vAlign w:val="center"/>
                </w:tcPr>
                <w:p w14:paraId="04C2F7C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砖混</w:t>
                  </w:r>
                  <w:r>
                    <w:rPr>
                      <w:rFonts w:hint="default" w:ascii="Times New Roman" w:hAnsi="Times New Roman" w:eastAsia="宋体" w:cs="Times New Roman"/>
                      <w:color w:val="auto"/>
                      <w:sz w:val="21"/>
                      <w:szCs w:val="21"/>
                      <w:highlight w:val="none"/>
                    </w:rPr>
                    <w:t>结构，1层，</w:t>
                  </w:r>
                  <w:r>
                    <w:rPr>
                      <w:rFonts w:hint="eastAsia"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p>
              </w:tc>
              <w:tc>
                <w:tcPr>
                  <w:tcW w:w="1086" w:type="dxa"/>
                  <w:tcBorders>
                    <w:tl2br w:val="nil"/>
                    <w:tr2bl w:val="nil"/>
                  </w:tcBorders>
                  <w:shd w:val="clear" w:color="auto" w:fill="auto"/>
                  <w:vAlign w:val="center"/>
                </w:tcPr>
                <w:p w14:paraId="5EB7CB9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14:paraId="14F5B0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restart"/>
                  <w:tcBorders>
                    <w:tl2br w:val="nil"/>
                    <w:tr2bl w:val="nil"/>
                  </w:tcBorders>
                  <w:vAlign w:val="center"/>
                </w:tcPr>
                <w:p w14:paraId="53236F5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1536" w:type="dxa"/>
                  <w:tcBorders>
                    <w:tl2br w:val="nil"/>
                    <w:tr2bl w:val="nil"/>
                  </w:tcBorders>
                  <w:vAlign w:val="center"/>
                </w:tcPr>
                <w:p w14:paraId="42000AC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供水系统</w:t>
                  </w:r>
                </w:p>
              </w:tc>
              <w:tc>
                <w:tcPr>
                  <w:tcW w:w="5371" w:type="dxa"/>
                  <w:tcBorders>
                    <w:tl2br w:val="nil"/>
                    <w:tr2bl w:val="nil"/>
                  </w:tcBorders>
                  <w:vAlign w:val="center"/>
                </w:tcPr>
                <w:p w14:paraId="631F7A7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由市政自来水公司提供</w:t>
                  </w:r>
                </w:p>
              </w:tc>
              <w:tc>
                <w:tcPr>
                  <w:tcW w:w="1086" w:type="dxa"/>
                  <w:tcBorders>
                    <w:tl2br w:val="nil"/>
                    <w:tr2bl w:val="nil"/>
                  </w:tcBorders>
                  <w:vAlign w:val="center"/>
                </w:tcPr>
                <w:p w14:paraId="33D51D1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w:t>
                  </w:r>
                  <w:r>
                    <w:rPr>
                      <w:rFonts w:hint="default" w:ascii="Times New Roman" w:hAnsi="Times New Roman" w:eastAsia="宋体" w:cs="Times New Roman"/>
                      <w:color w:val="auto"/>
                      <w:sz w:val="21"/>
                      <w:szCs w:val="21"/>
                      <w:lang w:val="en-US" w:eastAsia="zh-CN"/>
                    </w:rPr>
                    <w:t>现有</w:t>
                  </w:r>
                </w:p>
              </w:tc>
            </w:tr>
            <w:tr w14:paraId="67E925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020397B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vAlign w:val="center"/>
                </w:tcPr>
                <w:p w14:paraId="3DABA3B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供电系统</w:t>
                  </w:r>
                </w:p>
              </w:tc>
              <w:tc>
                <w:tcPr>
                  <w:tcW w:w="5371" w:type="dxa"/>
                  <w:tcBorders>
                    <w:tl2br w:val="nil"/>
                    <w:tr2bl w:val="nil"/>
                  </w:tcBorders>
                  <w:vAlign w:val="center"/>
                </w:tcPr>
                <w:p w14:paraId="3D34F6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w:t>
                  </w:r>
                  <w:r>
                    <w:rPr>
                      <w:rFonts w:hint="eastAsia" w:ascii="Times New Roman" w:hAnsi="Times New Roman" w:cs="Times New Roman"/>
                      <w:color w:val="auto"/>
                      <w:sz w:val="21"/>
                      <w:szCs w:val="21"/>
                      <w:highlight w:val="none"/>
                      <w:lang w:eastAsia="zh-CN"/>
                    </w:rPr>
                    <w:t>淄川区</w:t>
                  </w:r>
                  <w:r>
                    <w:rPr>
                      <w:rFonts w:hint="default" w:ascii="Times New Roman" w:hAnsi="Times New Roman" w:eastAsia="宋体" w:cs="Times New Roman"/>
                      <w:color w:val="auto"/>
                      <w:sz w:val="21"/>
                      <w:szCs w:val="21"/>
                      <w:highlight w:val="none"/>
                    </w:rPr>
                    <w:t>供电所提供</w:t>
                  </w:r>
                </w:p>
              </w:tc>
              <w:tc>
                <w:tcPr>
                  <w:tcW w:w="1086" w:type="dxa"/>
                  <w:tcBorders>
                    <w:tl2br w:val="nil"/>
                    <w:tr2bl w:val="nil"/>
                  </w:tcBorders>
                  <w:vAlign w:val="center"/>
                </w:tcPr>
                <w:p w14:paraId="67B4A09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w:t>
                  </w:r>
                  <w:r>
                    <w:rPr>
                      <w:rFonts w:hint="default" w:ascii="Times New Roman" w:hAnsi="Times New Roman" w:eastAsia="宋体" w:cs="Times New Roman"/>
                      <w:color w:val="auto"/>
                      <w:sz w:val="21"/>
                      <w:szCs w:val="21"/>
                      <w:lang w:val="en-US" w:eastAsia="zh-CN"/>
                    </w:rPr>
                    <w:t>现有</w:t>
                  </w:r>
                </w:p>
              </w:tc>
            </w:tr>
            <w:tr w14:paraId="36B04D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72D1FFB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vAlign w:val="center"/>
                </w:tcPr>
                <w:p w14:paraId="5C1B0F6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供热系统</w:t>
                  </w:r>
                </w:p>
              </w:tc>
              <w:tc>
                <w:tcPr>
                  <w:tcW w:w="5371" w:type="dxa"/>
                  <w:tcBorders>
                    <w:tl2br w:val="nil"/>
                    <w:tr2bl w:val="nil"/>
                  </w:tcBorders>
                  <w:vAlign w:val="center"/>
                </w:tcPr>
                <w:p w14:paraId="0841FCA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办公室冬季采用空调取暖</w:t>
                  </w:r>
                </w:p>
              </w:tc>
              <w:tc>
                <w:tcPr>
                  <w:tcW w:w="1086" w:type="dxa"/>
                  <w:tcBorders>
                    <w:tl2br w:val="nil"/>
                    <w:tr2bl w:val="nil"/>
                  </w:tcBorders>
                  <w:vAlign w:val="center"/>
                </w:tcPr>
                <w:p w14:paraId="286E337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w:t>
                  </w:r>
                  <w:r>
                    <w:rPr>
                      <w:rFonts w:hint="default" w:ascii="Times New Roman" w:hAnsi="Times New Roman" w:eastAsia="宋体" w:cs="Times New Roman"/>
                      <w:color w:val="auto"/>
                      <w:sz w:val="21"/>
                      <w:szCs w:val="21"/>
                      <w:lang w:val="en-US" w:eastAsia="zh-CN"/>
                    </w:rPr>
                    <w:t>现有</w:t>
                  </w:r>
                </w:p>
              </w:tc>
            </w:tr>
            <w:tr w14:paraId="37F2A0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4D04ADC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shd w:val="clear" w:color="auto" w:fill="auto"/>
                  <w:vAlign w:val="center"/>
                </w:tcPr>
                <w:p w14:paraId="5D0C2C8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循环</w:t>
                  </w:r>
                  <w:r>
                    <w:rPr>
                      <w:rFonts w:hint="eastAsia" w:ascii="Times New Roman" w:hAnsi="Times New Roman" w:eastAsia="宋体" w:cs="Times New Roman"/>
                      <w:color w:val="auto"/>
                      <w:sz w:val="21"/>
                      <w:szCs w:val="21"/>
                      <w:highlight w:val="none"/>
                      <w:lang w:val="en-US" w:eastAsia="zh-CN"/>
                    </w:rPr>
                    <w:t>水池</w:t>
                  </w:r>
                </w:p>
              </w:tc>
              <w:tc>
                <w:tcPr>
                  <w:tcW w:w="5371" w:type="dxa"/>
                  <w:tcBorders>
                    <w:tl2br w:val="nil"/>
                    <w:tr2bl w:val="nil"/>
                  </w:tcBorders>
                  <w:shd w:val="clear" w:color="auto" w:fill="auto"/>
                  <w:vAlign w:val="center"/>
                </w:tcPr>
                <w:p w14:paraId="0EBA2B3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rPr>
                    <w:t>m</w:t>
                  </w:r>
                  <w:r>
                    <w:rPr>
                      <w:rFonts w:hint="eastAsia" w:ascii="Times New Roman" w:hAnsi="Times New Roman" w:cs="Times New Roman"/>
                      <w:color w:val="auto"/>
                      <w:sz w:val="21"/>
                      <w:szCs w:val="21"/>
                      <w:highlight w:val="none"/>
                      <w:vertAlign w:val="superscript"/>
                      <w:lang w:val="en-US" w:eastAsia="zh-CN"/>
                    </w:rPr>
                    <w:t>3</w:t>
                  </w:r>
                </w:p>
              </w:tc>
              <w:tc>
                <w:tcPr>
                  <w:tcW w:w="1086" w:type="dxa"/>
                  <w:tcBorders>
                    <w:tl2br w:val="nil"/>
                    <w:tr2bl w:val="nil"/>
                  </w:tcBorders>
                  <w:vAlign w:val="center"/>
                </w:tcPr>
                <w:p w14:paraId="30E95D1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w:t>
                  </w:r>
                  <w:r>
                    <w:rPr>
                      <w:rFonts w:hint="default" w:ascii="Times New Roman" w:hAnsi="Times New Roman" w:eastAsia="宋体" w:cs="Times New Roman"/>
                      <w:color w:val="auto"/>
                      <w:sz w:val="21"/>
                      <w:szCs w:val="21"/>
                      <w:lang w:val="en-US" w:eastAsia="zh-CN"/>
                    </w:rPr>
                    <w:t>现有</w:t>
                  </w:r>
                </w:p>
              </w:tc>
            </w:tr>
            <w:tr w14:paraId="3C9F3B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restart"/>
                  <w:tcBorders>
                    <w:tl2br w:val="nil"/>
                    <w:tr2bl w:val="nil"/>
                  </w:tcBorders>
                  <w:vAlign w:val="center"/>
                </w:tcPr>
                <w:p w14:paraId="5E39139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1536" w:type="dxa"/>
                  <w:tcBorders>
                    <w:tl2br w:val="nil"/>
                    <w:tr2bl w:val="nil"/>
                  </w:tcBorders>
                  <w:vAlign w:val="center"/>
                </w:tcPr>
                <w:p w14:paraId="1C27731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废气处理控制</w:t>
                  </w:r>
                </w:p>
              </w:tc>
              <w:tc>
                <w:tcPr>
                  <w:tcW w:w="5371" w:type="dxa"/>
                  <w:tcBorders>
                    <w:tl2br w:val="nil"/>
                    <w:tr2bl w:val="nil"/>
                  </w:tcBorders>
                  <w:vAlign w:val="center"/>
                </w:tcPr>
                <w:p w14:paraId="135FF887">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有组织废气：</w:t>
                  </w:r>
                  <w:r>
                    <w:rPr>
                      <w:rFonts w:hint="eastAsia" w:ascii="Times New Roman" w:hAnsi="Times New Roman" w:eastAsia="宋体" w:cs="Times New Roman"/>
                      <w:color w:val="auto"/>
                      <w:sz w:val="21"/>
                      <w:szCs w:val="21"/>
                      <w:highlight w:val="none"/>
                      <w:lang w:val="en-US" w:eastAsia="zh-CN"/>
                    </w:rPr>
                    <w:t>电炉熔化及浇注过程产生的</w:t>
                  </w:r>
                  <w:r>
                    <w:rPr>
                      <w:rFonts w:hint="default" w:ascii="Times New Roman" w:hAnsi="Times New Roman" w:eastAsia="宋体" w:cs="Times New Roman"/>
                      <w:color w:val="auto"/>
                      <w:sz w:val="21"/>
                      <w:szCs w:val="21"/>
                      <w:highlight w:val="none"/>
                      <w:lang w:val="en-US" w:eastAsia="zh-CN"/>
                    </w:rPr>
                    <w:t>颗粒物、VOCs</w:t>
                  </w:r>
                  <w:r>
                    <w:rPr>
                      <w:rFonts w:hint="eastAsia" w:ascii="Times New Roman" w:hAnsi="Times New Roman" w:cs="Times New Roman"/>
                      <w:color w:val="auto"/>
                      <w:sz w:val="21"/>
                      <w:szCs w:val="21"/>
                      <w:highlight w:val="none"/>
                      <w:lang w:val="en-US" w:eastAsia="zh-CN"/>
                    </w:rPr>
                    <w:t>、酚类、甲醛、苯乙烯、臭气浓度</w:t>
                  </w:r>
                  <w:r>
                    <w:rPr>
                      <w:rFonts w:hint="eastAsia" w:ascii="Times New Roman" w:hAnsi="Times New Roman" w:eastAsia="宋体" w:cs="Times New Roman"/>
                      <w:color w:val="auto"/>
                      <w:sz w:val="21"/>
                      <w:szCs w:val="21"/>
                      <w:highlight w:val="none"/>
                      <w:lang w:val="en-US" w:eastAsia="zh-CN"/>
                    </w:rPr>
                    <w:t>经集气罩收集后，经“布袋除尘器+二级活性炭装置”处理后，通过15m排气筒DA001、DA002</w:t>
                  </w:r>
                  <w:r>
                    <w:rPr>
                      <w:rFonts w:hint="default" w:ascii="Times New Roman" w:hAnsi="Times New Roman" w:eastAsia="宋体" w:cs="Times New Roman"/>
                      <w:color w:val="auto"/>
                      <w:sz w:val="21"/>
                      <w:szCs w:val="21"/>
                      <w:highlight w:val="none"/>
                      <w:lang w:val="en-US" w:eastAsia="zh-CN"/>
                    </w:rPr>
                    <w:t>有组织</w:t>
                  </w:r>
                  <w:r>
                    <w:rPr>
                      <w:rFonts w:hint="eastAsia" w:ascii="Times New Roman" w:hAnsi="Times New Roman" w:eastAsia="宋体" w:cs="Times New Roman"/>
                      <w:color w:val="auto"/>
                      <w:sz w:val="21"/>
                      <w:szCs w:val="21"/>
                      <w:highlight w:val="none"/>
                      <w:lang w:val="en-US" w:eastAsia="zh-CN"/>
                    </w:rPr>
                    <w:t>排放。</w:t>
                  </w:r>
                </w:p>
                <w:p w14:paraId="0152DB63">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混砂、</w:t>
                  </w:r>
                  <w:r>
                    <w:rPr>
                      <w:rFonts w:hint="default" w:ascii="Times New Roman" w:hAnsi="Times New Roman" w:eastAsia="宋体" w:cs="Times New Roman"/>
                      <w:color w:val="auto"/>
                      <w:sz w:val="21"/>
                      <w:szCs w:val="21"/>
                      <w:highlight w:val="none"/>
                      <w:lang w:val="en-US" w:eastAsia="zh-CN"/>
                    </w:rPr>
                    <w:t>清模、翻箱落砂</w:t>
                  </w:r>
                  <w:r>
                    <w:rPr>
                      <w:rFonts w:hint="eastAsia" w:ascii="Times New Roman" w:hAnsi="Times New Roman" w:eastAsia="宋体" w:cs="Times New Roman"/>
                      <w:color w:val="auto"/>
                      <w:sz w:val="21"/>
                      <w:szCs w:val="21"/>
                      <w:highlight w:val="none"/>
                      <w:lang w:val="en-US" w:eastAsia="zh-CN"/>
                    </w:rPr>
                    <w:t>工序产生的颗粒物经集气罩收集后，由“布袋除尘器+二级活性炭装置”处理后，通过15m排气筒DA002</w:t>
                  </w:r>
                  <w:r>
                    <w:rPr>
                      <w:rFonts w:hint="default" w:ascii="Times New Roman" w:hAnsi="Times New Roman" w:eastAsia="宋体" w:cs="Times New Roman"/>
                      <w:color w:val="auto"/>
                      <w:sz w:val="21"/>
                      <w:szCs w:val="21"/>
                      <w:highlight w:val="none"/>
                      <w:lang w:val="en-US" w:eastAsia="zh-CN"/>
                    </w:rPr>
                    <w:t>有组织</w:t>
                  </w:r>
                  <w:r>
                    <w:rPr>
                      <w:rFonts w:hint="eastAsia" w:ascii="Times New Roman" w:hAnsi="Times New Roman" w:eastAsia="宋体" w:cs="Times New Roman"/>
                      <w:color w:val="auto"/>
                      <w:sz w:val="21"/>
                      <w:szCs w:val="21"/>
                      <w:highlight w:val="none"/>
                      <w:lang w:val="en-US" w:eastAsia="zh-CN"/>
                    </w:rPr>
                    <w:t>排放。</w:t>
                  </w:r>
                </w:p>
                <w:p w14:paraId="6D4FBFD7">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制芯、制壳</w:t>
                  </w:r>
                  <w:r>
                    <w:rPr>
                      <w:rFonts w:hint="eastAsia" w:ascii="Times New Roman" w:hAnsi="Times New Roman" w:eastAsia="宋体" w:cs="Times New Roman"/>
                      <w:color w:val="auto"/>
                      <w:sz w:val="21"/>
                      <w:szCs w:val="21"/>
                      <w:highlight w:val="none"/>
                      <w:lang w:val="en-US" w:eastAsia="zh-CN"/>
                    </w:rPr>
                    <w:t>产生的</w:t>
                  </w:r>
                  <w:r>
                    <w:rPr>
                      <w:rFonts w:hint="default" w:ascii="Times New Roman" w:hAnsi="Times New Roman" w:eastAsia="宋体" w:cs="Times New Roman"/>
                      <w:color w:val="auto"/>
                      <w:sz w:val="21"/>
                      <w:szCs w:val="21"/>
                      <w:highlight w:val="none"/>
                      <w:lang w:val="en-US" w:eastAsia="zh-CN"/>
                    </w:rPr>
                    <w:t>颗粒物、VOCs</w:t>
                  </w:r>
                  <w:r>
                    <w:rPr>
                      <w:rFonts w:hint="eastAsia" w:ascii="Times New Roman" w:hAnsi="Times New Roman" w:cs="Times New Roman"/>
                      <w:color w:val="auto"/>
                      <w:sz w:val="21"/>
                      <w:szCs w:val="21"/>
                      <w:highlight w:val="none"/>
                      <w:lang w:val="en-US" w:eastAsia="zh-CN"/>
                    </w:rPr>
                    <w:t>、酚类、甲醛</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去冒口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装箱</w:t>
                  </w:r>
                  <w:r>
                    <w:rPr>
                      <w:rFonts w:hint="eastAsia" w:ascii="Times New Roman" w:hAnsi="Times New Roman" w:eastAsia="宋体" w:cs="Times New Roman"/>
                      <w:color w:val="auto"/>
                      <w:sz w:val="21"/>
                      <w:szCs w:val="21"/>
                      <w:highlight w:val="none"/>
                      <w:lang w:val="en-US" w:eastAsia="zh-CN"/>
                    </w:rPr>
                    <w:t>工序过程产生的</w:t>
                  </w:r>
                  <w:r>
                    <w:rPr>
                      <w:rFonts w:hint="default" w:ascii="Times New Roman" w:hAnsi="Times New Roman" w:eastAsia="宋体" w:cs="Times New Roman"/>
                      <w:color w:val="auto"/>
                      <w:sz w:val="21"/>
                      <w:szCs w:val="21"/>
                      <w:highlight w:val="none"/>
                      <w:lang w:val="en-US" w:eastAsia="zh-CN"/>
                    </w:rPr>
                    <w:t>颗粒物</w:t>
                  </w:r>
                  <w:r>
                    <w:rPr>
                      <w:rFonts w:hint="eastAsia" w:ascii="Times New Roman" w:hAnsi="Times New Roman" w:eastAsia="宋体" w:cs="Times New Roman"/>
                      <w:color w:val="auto"/>
                      <w:sz w:val="21"/>
                      <w:szCs w:val="21"/>
                      <w:highlight w:val="none"/>
                      <w:lang w:val="en-US" w:eastAsia="zh-CN"/>
                    </w:rPr>
                    <w:t>及</w:t>
                  </w:r>
                  <w:r>
                    <w:rPr>
                      <w:rFonts w:hint="default" w:ascii="Times New Roman" w:hAnsi="Times New Roman" w:eastAsia="宋体" w:cs="Times New Roman"/>
                      <w:color w:val="auto"/>
                      <w:sz w:val="21"/>
                      <w:szCs w:val="21"/>
                      <w:highlight w:val="none"/>
                      <w:lang w:val="en-US" w:eastAsia="zh-CN"/>
                    </w:rPr>
                    <w:t>模型切割</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烘干</w:t>
                  </w:r>
                  <w:r>
                    <w:rPr>
                      <w:rFonts w:hint="eastAsia" w:ascii="Times New Roman" w:hAnsi="Times New Roman" w:eastAsia="宋体" w:cs="Times New Roman"/>
                      <w:color w:val="auto"/>
                      <w:sz w:val="21"/>
                      <w:szCs w:val="21"/>
                      <w:highlight w:val="none"/>
                      <w:lang w:val="en-US" w:eastAsia="zh-CN"/>
                    </w:rPr>
                    <w:t>工序产生的</w:t>
                  </w:r>
                  <w:r>
                    <w:rPr>
                      <w:rFonts w:hint="default" w:ascii="Times New Roman" w:hAnsi="Times New Roman" w:eastAsia="宋体" w:cs="Times New Roman"/>
                      <w:color w:val="auto"/>
                      <w:sz w:val="21"/>
                      <w:szCs w:val="21"/>
                      <w:highlight w:val="none"/>
                      <w:lang w:val="en-US" w:eastAsia="zh-CN"/>
                    </w:rPr>
                    <w:t>VOCs</w:t>
                  </w:r>
                  <w:r>
                    <w:rPr>
                      <w:rFonts w:hint="eastAsia" w:ascii="Times New Roman" w:hAnsi="Times New Roman" w:cs="Times New Roman"/>
                      <w:color w:val="auto"/>
                      <w:sz w:val="21"/>
                      <w:szCs w:val="21"/>
                      <w:highlight w:val="none"/>
                      <w:lang w:val="en-US" w:eastAsia="zh-CN"/>
                    </w:rPr>
                    <w:t>、苯乙烯、臭气浓度</w:t>
                  </w:r>
                  <w:r>
                    <w:rPr>
                      <w:rFonts w:hint="eastAsia" w:ascii="Times New Roman" w:hAnsi="Times New Roman" w:eastAsia="宋体" w:cs="Times New Roman"/>
                      <w:color w:val="auto"/>
                      <w:sz w:val="21"/>
                      <w:szCs w:val="21"/>
                      <w:highlight w:val="none"/>
                      <w:lang w:val="en-US" w:eastAsia="zh-CN"/>
                    </w:rPr>
                    <w:t>经集气罩收集后，由“布袋除尘器+二级活性炭装置”处理后，通过15m排气筒DA003</w:t>
                  </w:r>
                  <w:r>
                    <w:rPr>
                      <w:rFonts w:hint="default" w:ascii="Times New Roman" w:hAnsi="Times New Roman" w:eastAsia="宋体" w:cs="Times New Roman"/>
                      <w:color w:val="auto"/>
                      <w:sz w:val="21"/>
                      <w:szCs w:val="21"/>
                      <w:highlight w:val="none"/>
                      <w:lang w:val="en-US" w:eastAsia="zh-CN"/>
                    </w:rPr>
                    <w:t>有组织</w:t>
                  </w:r>
                  <w:r>
                    <w:rPr>
                      <w:rFonts w:hint="eastAsia" w:ascii="Times New Roman" w:hAnsi="Times New Roman" w:eastAsia="宋体" w:cs="Times New Roman"/>
                      <w:color w:val="auto"/>
                      <w:sz w:val="21"/>
                      <w:szCs w:val="21"/>
                      <w:highlight w:val="none"/>
                      <w:lang w:val="en-US" w:eastAsia="zh-CN"/>
                    </w:rPr>
                    <w:t>排放。</w:t>
                  </w:r>
                </w:p>
                <w:p w14:paraId="1E79EAD6">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抛丸</w:t>
                  </w:r>
                  <w:r>
                    <w:rPr>
                      <w:rFonts w:hint="eastAsia" w:ascii="Times New Roman" w:hAnsi="Times New Roman" w:eastAsia="宋体" w:cs="Times New Roman"/>
                      <w:color w:val="auto"/>
                      <w:sz w:val="21"/>
                      <w:szCs w:val="21"/>
                      <w:highlight w:val="none"/>
                      <w:lang w:val="en-US" w:eastAsia="zh-CN"/>
                    </w:rPr>
                    <w:t>工序产生的</w:t>
                  </w:r>
                  <w:r>
                    <w:rPr>
                      <w:rFonts w:hint="default" w:ascii="Times New Roman" w:hAnsi="Times New Roman" w:eastAsia="宋体" w:cs="Times New Roman"/>
                      <w:color w:val="auto"/>
                      <w:sz w:val="21"/>
                      <w:szCs w:val="21"/>
                      <w:highlight w:val="none"/>
                      <w:lang w:val="en-US" w:eastAsia="zh-CN"/>
                    </w:rPr>
                    <w:t>颗粒物</w:t>
                  </w:r>
                  <w:r>
                    <w:rPr>
                      <w:rFonts w:hint="eastAsia" w:ascii="Times New Roman" w:hAnsi="Times New Roman" w:eastAsia="宋体" w:cs="Times New Roman"/>
                      <w:color w:val="auto"/>
                      <w:sz w:val="21"/>
                      <w:szCs w:val="21"/>
                      <w:highlight w:val="none"/>
                      <w:lang w:val="en-US" w:eastAsia="zh-CN"/>
                    </w:rPr>
                    <w:t>经</w:t>
                  </w:r>
                  <w:r>
                    <w:rPr>
                      <w:rFonts w:hint="eastAsia" w:ascii="Times New Roman" w:hAnsi="Times New Roman" w:cs="Times New Roman"/>
                      <w:color w:val="auto"/>
                      <w:sz w:val="21"/>
                      <w:szCs w:val="21"/>
                      <w:highlight w:val="none"/>
                      <w:lang w:val="en-US" w:eastAsia="zh-CN"/>
                    </w:rPr>
                    <w:t>负压管道</w:t>
                  </w:r>
                  <w:r>
                    <w:rPr>
                      <w:rFonts w:hint="eastAsia" w:ascii="Times New Roman" w:hAnsi="Times New Roman" w:eastAsia="宋体" w:cs="Times New Roman"/>
                      <w:color w:val="auto"/>
                      <w:sz w:val="21"/>
                      <w:szCs w:val="21"/>
                      <w:highlight w:val="none"/>
                      <w:lang w:val="en-US" w:eastAsia="zh-CN"/>
                    </w:rPr>
                    <w:t>收集后，由“布袋除尘器+二级活性炭装置”处理后，通过15m排气筒DA001、DA003</w:t>
                  </w:r>
                  <w:r>
                    <w:rPr>
                      <w:rFonts w:hint="default" w:ascii="Times New Roman" w:hAnsi="Times New Roman" w:eastAsia="宋体" w:cs="Times New Roman"/>
                      <w:color w:val="auto"/>
                      <w:sz w:val="21"/>
                      <w:szCs w:val="21"/>
                      <w:highlight w:val="none"/>
                      <w:lang w:val="en-US" w:eastAsia="zh-CN"/>
                    </w:rPr>
                    <w:t>有组织</w:t>
                  </w:r>
                  <w:r>
                    <w:rPr>
                      <w:rFonts w:hint="eastAsia" w:ascii="Times New Roman" w:hAnsi="Times New Roman" w:eastAsia="宋体" w:cs="Times New Roman"/>
                      <w:color w:val="auto"/>
                      <w:sz w:val="21"/>
                      <w:szCs w:val="21"/>
                      <w:highlight w:val="none"/>
                      <w:lang w:val="en-US" w:eastAsia="zh-CN"/>
                    </w:rPr>
                    <w:t>排放。</w:t>
                  </w:r>
                </w:p>
                <w:p w14:paraId="67783318">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both"/>
                    <w:textAlignment w:val="baseline"/>
                    <w:rPr>
                      <w:rFonts w:hint="eastAsia" w:ascii="Times New Roman" w:hAnsi="Times New Roman" w:eastAsia="宋体" w:cs="Times New Roman"/>
                      <w:color w:val="auto"/>
                      <w:sz w:val="21"/>
                      <w:szCs w:val="21"/>
                      <w:highlight w:val="none"/>
                      <w:lang w:eastAsia="zh-CN"/>
                    </w:rPr>
                  </w:pPr>
                  <w:r>
                    <w:rPr>
                      <w:rFonts w:hint="eastAsia"/>
                      <w:color w:val="auto"/>
                      <w:sz w:val="21"/>
                      <w:szCs w:val="21"/>
                      <w:highlight w:val="none"/>
                      <w:lang w:val="en-US" w:eastAsia="zh-CN"/>
                    </w:rPr>
                    <w:t>无组织废气：未经集气罩收集的废气经洒水降尘后无组织排放。</w:t>
                  </w:r>
                  <w:r>
                    <w:rPr>
                      <w:color w:val="auto"/>
                      <w:sz w:val="21"/>
                      <w:szCs w:val="21"/>
                      <w:highlight w:val="none"/>
                    </w:rPr>
                    <w:t>焊接烟尘经移动式焊接烟尘净化器处理后无组织排放</w:t>
                  </w:r>
                  <w:r>
                    <w:rPr>
                      <w:rFonts w:hint="eastAsia"/>
                      <w:color w:val="auto"/>
                      <w:sz w:val="21"/>
                      <w:szCs w:val="21"/>
                      <w:highlight w:val="none"/>
                      <w:lang w:eastAsia="zh-CN"/>
                    </w:rPr>
                    <w:t>。</w:t>
                  </w:r>
                </w:p>
              </w:tc>
              <w:tc>
                <w:tcPr>
                  <w:tcW w:w="1086" w:type="dxa"/>
                  <w:tcBorders>
                    <w:tl2br w:val="nil"/>
                    <w:tr2bl w:val="nil"/>
                  </w:tcBorders>
                  <w:vAlign w:val="center"/>
                </w:tcPr>
                <w:p w14:paraId="7C61181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DA001、DA002排气筒新增二级活性炭，更换大风量风机；新增DA003排气筒，配套环保设施为布袋除尘器+二级活性炭装置</w:t>
                  </w:r>
                  <w:r>
                    <w:rPr>
                      <w:rFonts w:hint="eastAsia" w:ascii="Times New Roman" w:hAnsi="Times New Roman" w:cs="Times New Roman"/>
                      <w:color w:val="auto"/>
                      <w:sz w:val="21"/>
                      <w:szCs w:val="21"/>
                      <w:highlight w:val="none"/>
                      <w:lang w:val="en-US" w:eastAsia="zh-CN"/>
                    </w:rPr>
                    <w:t>；新增焊接工序。</w:t>
                  </w:r>
                </w:p>
              </w:tc>
            </w:tr>
            <w:tr w14:paraId="601AF5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4EC6697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vAlign w:val="center"/>
                </w:tcPr>
                <w:p w14:paraId="78DEF41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废水处理控制</w:t>
                  </w:r>
                </w:p>
              </w:tc>
              <w:tc>
                <w:tcPr>
                  <w:tcW w:w="5371" w:type="dxa"/>
                  <w:tcBorders>
                    <w:tl2br w:val="nil"/>
                    <w:tr2bl w:val="nil"/>
                  </w:tcBorders>
                  <w:vAlign w:val="center"/>
                </w:tcPr>
                <w:p w14:paraId="0D3F945C">
                  <w:pPr>
                    <w:pStyle w:val="22"/>
                    <w:spacing w:before="46" w:line="219" w:lineRule="auto"/>
                    <w:ind w:left="13"/>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本项目无废水产生及排放</w:t>
                  </w:r>
                </w:p>
              </w:tc>
              <w:tc>
                <w:tcPr>
                  <w:tcW w:w="1086" w:type="dxa"/>
                  <w:tcBorders>
                    <w:tl2br w:val="nil"/>
                    <w:tr2bl w:val="nil"/>
                  </w:tcBorders>
                  <w:vAlign w:val="center"/>
                </w:tcPr>
                <w:p w14:paraId="4BCCB7B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w:t>
                  </w:r>
                </w:p>
              </w:tc>
            </w:tr>
            <w:tr w14:paraId="34E109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69C2500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vAlign w:val="center"/>
                </w:tcPr>
                <w:p w14:paraId="4F29D57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固废处理控制</w:t>
                  </w:r>
                </w:p>
              </w:tc>
              <w:tc>
                <w:tcPr>
                  <w:tcW w:w="5371" w:type="dxa"/>
                  <w:tcBorders>
                    <w:tl2br w:val="nil"/>
                    <w:tr2bl w:val="nil"/>
                  </w:tcBorders>
                  <w:vAlign w:val="center"/>
                </w:tcPr>
                <w:p w14:paraId="2F37DEA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一般固废集中收集后</w:t>
                  </w:r>
                  <w:r>
                    <w:rPr>
                      <w:rFonts w:hint="eastAsia" w:ascii="Times New Roman" w:hAnsi="Times New Roman" w:cs="Times New Roman"/>
                      <w:color w:val="auto"/>
                      <w:sz w:val="21"/>
                      <w:szCs w:val="21"/>
                      <w:highlight w:val="none"/>
                      <w:lang w:val="en-US" w:eastAsia="zh-CN"/>
                    </w:rPr>
                    <w:t>暂存固废间合理处置</w:t>
                  </w:r>
                  <w:r>
                    <w:rPr>
                      <w:rFonts w:hint="default" w:ascii="Times New Roman" w:hAnsi="Times New Roman" w:eastAsia="宋体" w:cs="Times New Roman"/>
                      <w:color w:val="auto"/>
                      <w:sz w:val="21"/>
                      <w:szCs w:val="21"/>
                      <w:highlight w:val="none"/>
                    </w:rPr>
                    <w:t>。危险废物暂存于危废暂存间，委托有资质单位安全处置。</w:t>
                  </w:r>
                </w:p>
                <w:p w14:paraId="3BEE066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生活垃圾：暂存于垃圾桶内，委托环卫部门定期清运。</w:t>
                  </w:r>
                </w:p>
              </w:tc>
              <w:tc>
                <w:tcPr>
                  <w:tcW w:w="1086" w:type="dxa"/>
                  <w:tcBorders>
                    <w:tl2br w:val="nil"/>
                    <w:tr2bl w:val="nil"/>
                  </w:tcBorders>
                  <w:vAlign w:val="center"/>
                </w:tcPr>
                <w:p w14:paraId="38920B0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新建</w:t>
                  </w:r>
                </w:p>
              </w:tc>
            </w:tr>
            <w:tr w14:paraId="22DCF0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78" w:type="dxa"/>
                  <w:vMerge w:val="continue"/>
                  <w:tcBorders>
                    <w:tl2br w:val="nil"/>
                    <w:tr2bl w:val="nil"/>
                  </w:tcBorders>
                  <w:vAlign w:val="center"/>
                </w:tcPr>
                <w:p w14:paraId="732C7EE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c>
                <w:tcPr>
                  <w:tcW w:w="1536" w:type="dxa"/>
                  <w:tcBorders>
                    <w:tl2br w:val="nil"/>
                    <w:tr2bl w:val="nil"/>
                  </w:tcBorders>
                  <w:vAlign w:val="center"/>
                </w:tcPr>
                <w:p w14:paraId="5E7545B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噪声处理控制</w:t>
                  </w:r>
                </w:p>
              </w:tc>
              <w:tc>
                <w:tcPr>
                  <w:tcW w:w="5371" w:type="dxa"/>
                  <w:tcBorders>
                    <w:tl2br w:val="nil"/>
                    <w:tr2bl w:val="nil"/>
                  </w:tcBorders>
                  <w:vAlign w:val="center"/>
                </w:tcPr>
                <w:p w14:paraId="7F866F8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选用低噪声设备，基础减振，隔声消声</w:t>
                  </w:r>
                </w:p>
              </w:tc>
              <w:tc>
                <w:tcPr>
                  <w:tcW w:w="1086" w:type="dxa"/>
                  <w:tcBorders>
                    <w:tl2br w:val="nil"/>
                    <w:tr2bl w:val="nil"/>
                  </w:tcBorders>
                  <w:vAlign w:val="center"/>
                </w:tcPr>
                <w:p w14:paraId="235DB3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bl>
          <w:p w14:paraId="327BE375">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四、主要产品及产能</w:t>
            </w:r>
          </w:p>
          <w:p w14:paraId="1CF8D95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项目主要产品及产能信息见表2-2。</w:t>
            </w:r>
          </w:p>
          <w:p w14:paraId="02574B0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表2-2</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项目主要产品及产能信息表</w:t>
            </w:r>
          </w:p>
          <w:tbl>
            <w:tblPr>
              <w:tblStyle w:val="21"/>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73"/>
              <w:gridCol w:w="1173"/>
              <w:gridCol w:w="1282"/>
              <w:gridCol w:w="1814"/>
              <w:gridCol w:w="1814"/>
              <w:gridCol w:w="1815"/>
            </w:tblGrid>
            <w:tr w14:paraId="17CD72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46" w:type="dxa"/>
                  <w:gridSpan w:val="2"/>
                  <w:vAlign w:val="center"/>
                </w:tcPr>
                <w:p w14:paraId="2B157F7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产品名称</w:t>
                  </w:r>
                </w:p>
              </w:tc>
              <w:tc>
                <w:tcPr>
                  <w:tcW w:w="1282" w:type="dxa"/>
                  <w:vAlign w:val="center"/>
                </w:tcPr>
                <w:p w14:paraId="50F523A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814" w:type="dxa"/>
                  <w:vAlign w:val="center"/>
                </w:tcPr>
                <w:p w14:paraId="784756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cs="Times New Roman"/>
                      <w:b/>
                      <w:bCs/>
                      <w:color w:val="auto"/>
                      <w:sz w:val="21"/>
                      <w:szCs w:val="21"/>
                      <w:lang w:val="en-US" w:eastAsia="zh-CN"/>
                    </w:rPr>
                    <w:t>技改前产能</w:t>
                  </w:r>
                </w:p>
              </w:tc>
              <w:tc>
                <w:tcPr>
                  <w:tcW w:w="1814" w:type="dxa"/>
                  <w:vAlign w:val="center"/>
                </w:tcPr>
                <w:p w14:paraId="6D85D93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技改后产能</w:t>
                  </w:r>
                </w:p>
              </w:tc>
              <w:tc>
                <w:tcPr>
                  <w:tcW w:w="1815" w:type="dxa"/>
                  <w:vAlign w:val="center"/>
                </w:tcPr>
                <w:p w14:paraId="2E1837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备注</w:t>
                  </w:r>
                </w:p>
              </w:tc>
            </w:tr>
            <w:tr w14:paraId="4FEF64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73" w:type="dxa"/>
                  <w:vMerge w:val="restart"/>
                  <w:vAlign w:val="center"/>
                </w:tcPr>
                <w:p w14:paraId="2A0BDCD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机械阀门及泵类配件</w:t>
                  </w:r>
                </w:p>
              </w:tc>
              <w:tc>
                <w:tcPr>
                  <w:tcW w:w="1173" w:type="dxa"/>
                  <w:vAlign w:val="center"/>
                </w:tcPr>
                <w:p w14:paraId="36AB49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砂型铸造</w:t>
                  </w:r>
                </w:p>
              </w:tc>
              <w:tc>
                <w:tcPr>
                  <w:tcW w:w="1282" w:type="dxa"/>
                  <w:vAlign w:val="center"/>
                </w:tcPr>
                <w:p w14:paraId="1D68FEE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val="en-US" w:eastAsia="zh-CN"/>
                    </w:rPr>
                    <w:t>/a</w:t>
                  </w:r>
                </w:p>
              </w:tc>
              <w:tc>
                <w:tcPr>
                  <w:tcW w:w="1814" w:type="dxa"/>
                  <w:vAlign w:val="center"/>
                </w:tcPr>
                <w:p w14:paraId="7AF08FF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4000</w:t>
                  </w:r>
                </w:p>
              </w:tc>
              <w:tc>
                <w:tcPr>
                  <w:tcW w:w="1814" w:type="dxa"/>
                  <w:shd w:val="clear" w:color="auto" w:fill="auto"/>
                  <w:vAlign w:val="center"/>
                </w:tcPr>
                <w:p w14:paraId="7BF2CA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800</w:t>
                  </w:r>
                </w:p>
              </w:tc>
              <w:tc>
                <w:tcPr>
                  <w:tcW w:w="1815" w:type="dxa"/>
                  <w:vAlign w:val="center"/>
                </w:tcPr>
                <w:p w14:paraId="6C86B6B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-3200</w:t>
                  </w:r>
                </w:p>
              </w:tc>
            </w:tr>
            <w:tr w14:paraId="2E4F0B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73" w:type="dxa"/>
                  <w:vMerge w:val="continue"/>
                  <w:vAlign w:val="center"/>
                </w:tcPr>
                <w:p w14:paraId="657DAD3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p>
              </w:tc>
              <w:tc>
                <w:tcPr>
                  <w:tcW w:w="1173" w:type="dxa"/>
                  <w:vAlign w:val="center"/>
                </w:tcPr>
                <w:p w14:paraId="6EE7D92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覆膜砂铸造</w:t>
                  </w:r>
                </w:p>
              </w:tc>
              <w:tc>
                <w:tcPr>
                  <w:tcW w:w="1282" w:type="dxa"/>
                  <w:shd w:val="clear" w:color="auto" w:fill="auto"/>
                  <w:vAlign w:val="center"/>
                </w:tcPr>
                <w:p w14:paraId="59AF7A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val="en-US" w:eastAsia="zh-CN"/>
                    </w:rPr>
                    <w:t>/a</w:t>
                  </w:r>
                </w:p>
              </w:tc>
              <w:tc>
                <w:tcPr>
                  <w:tcW w:w="1814" w:type="dxa"/>
                  <w:vAlign w:val="center"/>
                </w:tcPr>
                <w:p w14:paraId="453B495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814" w:type="dxa"/>
                  <w:shd w:val="clear" w:color="auto" w:fill="auto"/>
                  <w:vAlign w:val="center"/>
                </w:tcPr>
                <w:p w14:paraId="56B2B49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2200</w:t>
                  </w:r>
                </w:p>
              </w:tc>
              <w:tc>
                <w:tcPr>
                  <w:tcW w:w="1815" w:type="dxa"/>
                  <w:vAlign w:val="center"/>
                </w:tcPr>
                <w:p w14:paraId="6305BD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+2200</w:t>
                  </w:r>
                </w:p>
              </w:tc>
            </w:tr>
            <w:tr w14:paraId="3E4A1D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73" w:type="dxa"/>
                  <w:vMerge w:val="continue"/>
                  <w:vAlign w:val="center"/>
                </w:tcPr>
                <w:p w14:paraId="7C237E3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p>
              </w:tc>
              <w:tc>
                <w:tcPr>
                  <w:tcW w:w="1173" w:type="dxa"/>
                  <w:vAlign w:val="center"/>
                </w:tcPr>
                <w:p w14:paraId="159F57A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消失模铸造</w:t>
                  </w:r>
                </w:p>
              </w:tc>
              <w:tc>
                <w:tcPr>
                  <w:tcW w:w="1282" w:type="dxa"/>
                  <w:shd w:val="clear" w:color="auto" w:fill="auto"/>
                  <w:vAlign w:val="center"/>
                </w:tcPr>
                <w:p w14:paraId="06D81A4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val="en-US" w:eastAsia="zh-CN"/>
                    </w:rPr>
                    <w:t>/a</w:t>
                  </w:r>
                </w:p>
              </w:tc>
              <w:tc>
                <w:tcPr>
                  <w:tcW w:w="1814" w:type="dxa"/>
                  <w:vAlign w:val="center"/>
                </w:tcPr>
                <w:p w14:paraId="57F055B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814" w:type="dxa"/>
                  <w:shd w:val="clear" w:color="auto" w:fill="auto"/>
                  <w:vAlign w:val="center"/>
                </w:tcPr>
                <w:p w14:paraId="7272C1F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1000</w:t>
                  </w:r>
                </w:p>
              </w:tc>
              <w:tc>
                <w:tcPr>
                  <w:tcW w:w="1815" w:type="dxa"/>
                  <w:vAlign w:val="center"/>
                </w:tcPr>
                <w:p w14:paraId="459DC44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+1000</w:t>
                  </w:r>
                </w:p>
              </w:tc>
            </w:tr>
            <w:tr w14:paraId="69C3C7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2346" w:type="dxa"/>
                  <w:gridSpan w:val="2"/>
                  <w:vAlign w:val="center"/>
                </w:tcPr>
                <w:p w14:paraId="7029DDB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合计</w:t>
                  </w:r>
                </w:p>
              </w:tc>
              <w:tc>
                <w:tcPr>
                  <w:tcW w:w="1282" w:type="dxa"/>
                  <w:shd w:val="clear" w:color="auto" w:fill="auto"/>
                  <w:vAlign w:val="center"/>
                </w:tcPr>
                <w:p w14:paraId="172FBD3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val="en-US" w:eastAsia="zh-CN"/>
                    </w:rPr>
                    <w:t>/a</w:t>
                  </w:r>
                </w:p>
              </w:tc>
              <w:tc>
                <w:tcPr>
                  <w:tcW w:w="1814" w:type="dxa"/>
                  <w:vAlign w:val="center"/>
                </w:tcPr>
                <w:p w14:paraId="4A1D2ED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4000</w:t>
                  </w:r>
                </w:p>
              </w:tc>
              <w:tc>
                <w:tcPr>
                  <w:tcW w:w="1814" w:type="dxa"/>
                  <w:shd w:val="clear" w:color="auto" w:fill="auto"/>
                  <w:vAlign w:val="center"/>
                </w:tcPr>
                <w:p w14:paraId="5444AC7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4000</w:t>
                  </w:r>
                </w:p>
              </w:tc>
              <w:tc>
                <w:tcPr>
                  <w:tcW w:w="1815" w:type="dxa"/>
                  <w:vAlign w:val="center"/>
                </w:tcPr>
                <w:p w14:paraId="6AFF1A2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bl>
          <w:p w14:paraId="751842C5">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五、主要生产设施</w:t>
            </w:r>
          </w:p>
          <w:p w14:paraId="0B09F88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项目主要生产设备见表2-3。</w:t>
            </w:r>
          </w:p>
          <w:p w14:paraId="747D5EB8">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表2-3</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主要设备一览表</w:t>
            </w:r>
          </w:p>
          <w:tbl>
            <w:tblPr>
              <w:tblStyle w:val="21"/>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4"/>
              <w:gridCol w:w="1278"/>
              <w:gridCol w:w="1115"/>
              <w:gridCol w:w="942"/>
              <w:gridCol w:w="1447"/>
              <w:gridCol w:w="1301"/>
              <w:gridCol w:w="1103"/>
              <w:gridCol w:w="1221"/>
            </w:tblGrid>
            <w:tr w14:paraId="355F70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vAlign w:val="center"/>
                </w:tcPr>
                <w:p w14:paraId="00BBA7B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1278" w:type="dxa"/>
                  <w:vAlign w:val="center"/>
                </w:tcPr>
                <w:p w14:paraId="550735B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设备名称</w:t>
                  </w:r>
                </w:p>
              </w:tc>
              <w:tc>
                <w:tcPr>
                  <w:tcW w:w="1115" w:type="dxa"/>
                  <w:vAlign w:val="center"/>
                </w:tcPr>
                <w:p w14:paraId="209022C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规格型号</w:t>
                  </w:r>
                </w:p>
              </w:tc>
              <w:tc>
                <w:tcPr>
                  <w:tcW w:w="942" w:type="dxa"/>
                  <w:vAlign w:val="center"/>
                </w:tcPr>
                <w:p w14:paraId="001A6E4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val="en-US" w:eastAsia="zh-CN"/>
                    </w:rPr>
                    <w:t>单位</w:t>
                  </w:r>
                </w:p>
              </w:tc>
              <w:tc>
                <w:tcPr>
                  <w:tcW w:w="1447" w:type="dxa"/>
                  <w:vAlign w:val="center"/>
                </w:tcPr>
                <w:p w14:paraId="1F6FED0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eastAsia" w:ascii="Times New Roman" w:hAnsi="Times New Roman" w:cs="Times New Roman"/>
                      <w:b/>
                      <w:bCs/>
                      <w:color w:val="auto"/>
                      <w:sz w:val="21"/>
                      <w:szCs w:val="21"/>
                      <w:lang w:val="en-US" w:eastAsia="zh-CN"/>
                    </w:rPr>
                    <w:t>技改前</w:t>
                  </w:r>
                  <w:r>
                    <w:rPr>
                      <w:rFonts w:hint="default" w:ascii="Times New Roman" w:hAnsi="Times New Roman" w:cs="Times New Roman"/>
                      <w:b/>
                      <w:bCs/>
                      <w:color w:val="auto"/>
                      <w:sz w:val="21"/>
                      <w:szCs w:val="21"/>
                    </w:rPr>
                    <w:t>数量</w:t>
                  </w:r>
                </w:p>
              </w:tc>
              <w:tc>
                <w:tcPr>
                  <w:tcW w:w="1301" w:type="dxa"/>
                  <w:vAlign w:val="center"/>
                </w:tcPr>
                <w:p w14:paraId="76DF87C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技改新增数量</w:t>
                  </w:r>
                </w:p>
              </w:tc>
              <w:tc>
                <w:tcPr>
                  <w:tcW w:w="1103" w:type="dxa"/>
                  <w:vAlign w:val="center"/>
                </w:tcPr>
                <w:p w14:paraId="34A860E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技改后全厂</w:t>
                  </w:r>
                </w:p>
              </w:tc>
              <w:tc>
                <w:tcPr>
                  <w:tcW w:w="1221" w:type="dxa"/>
                  <w:vAlign w:val="center"/>
                </w:tcPr>
                <w:p w14:paraId="1E8FC9B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备注</w:t>
                  </w:r>
                </w:p>
              </w:tc>
            </w:tr>
            <w:tr w14:paraId="050B6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vAlign w:val="center"/>
                </w:tcPr>
                <w:p w14:paraId="66122BD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278" w:type="dxa"/>
                  <w:shd w:val="clear" w:color="auto" w:fill="auto"/>
                  <w:vAlign w:val="center"/>
                </w:tcPr>
                <w:p w14:paraId="132345B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电炉</w:t>
                  </w:r>
                </w:p>
              </w:tc>
              <w:tc>
                <w:tcPr>
                  <w:tcW w:w="1115" w:type="dxa"/>
                  <w:shd w:val="clear" w:color="auto" w:fill="auto"/>
                  <w:vAlign w:val="center"/>
                </w:tcPr>
                <w:p w14:paraId="249A4C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1t</w:t>
                  </w:r>
                </w:p>
              </w:tc>
              <w:tc>
                <w:tcPr>
                  <w:tcW w:w="942" w:type="dxa"/>
                  <w:shd w:val="clear" w:color="auto" w:fill="auto"/>
                  <w:vAlign w:val="center"/>
                </w:tcPr>
                <w:p w14:paraId="7EA6FCE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22D3716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301" w:type="dxa"/>
                  <w:shd w:val="clear" w:color="auto" w:fill="auto"/>
                  <w:vAlign w:val="center"/>
                </w:tcPr>
                <w:p w14:paraId="6E05F87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103" w:type="dxa"/>
                  <w:shd w:val="clear" w:color="auto" w:fill="auto"/>
                  <w:vAlign w:val="center"/>
                </w:tcPr>
                <w:p w14:paraId="0D4A613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221" w:type="dxa"/>
                  <w:vAlign w:val="center"/>
                </w:tcPr>
                <w:p w14:paraId="2EC24AF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不变</w:t>
                  </w:r>
                </w:p>
              </w:tc>
            </w:tr>
            <w:tr w14:paraId="6FE742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vAlign w:val="center"/>
                </w:tcPr>
                <w:p w14:paraId="1AFAAA3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278" w:type="dxa"/>
                  <w:shd w:val="clear" w:color="auto" w:fill="auto"/>
                  <w:vAlign w:val="center"/>
                </w:tcPr>
                <w:p w14:paraId="395F925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cs="Times New Roman"/>
                      <w:color w:val="auto"/>
                      <w:sz w:val="21"/>
                      <w:szCs w:val="21"/>
                      <w:lang w:val="en-US" w:eastAsia="zh-CN"/>
                    </w:rPr>
                    <w:t>混砂机</w:t>
                  </w:r>
                </w:p>
              </w:tc>
              <w:tc>
                <w:tcPr>
                  <w:tcW w:w="1115" w:type="dxa"/>
                  <w:shd w:val="clear" w:color="auto" w:fill="auto"/>
                  <w:vAlign w:val="center"/>
                </w:tcPr>
                <w:p w14:paraId="02F996A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09AAA4D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39313B6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301" w:type="dxa"/>
                  <w:shd w:val="clear" w:color="auto" w:fill="auto"/>
                  <w:vAlign w:val="center"/>
                </w:tcPr>
                <w:p w14:paraId="768FFB7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103" w:type="dxa"/>
                  <w:shd w:val="clear" w:color="auto" w:fill="auto"/>
                  <w:vAlign w:val="center"/>
                </w:tcPr>
                <w:p w14:paraId="289EAFA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45A824D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cs="Times New Roman"/>
                      <w:color w:val="auto"/>
                      <w:sz w:val="21"/>
                      <w:szCs w:val="21"/>
                      <w:lang w:val="en-US" w:eastAsia="zh-CN"/>
                    </w:rPr>
                    <w:t>不变</w:t>
                  </w:r>
                </w:p>
              </w:tc>
            </w:tr>
            <w:tr w14:paraId="0B4026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vAlign w:val="center"/>
                </w:tcPr>
                <w:p w14:paraId="056C481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278" w:type="dxa"/>
                  <w:shd w:val="clear" w:color="auto" w:fill="auto"/>
                  <w:vAlign w:val="center"/>
                </w:tcPr>
                <w:p w14:paraId="66DA645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抛丸机</w:t>
                  </w:r>
                </w:p>
              </w:tc>
              <w:tc>
                <w:tcPr>
                  <w:tcW w:w="1115" w:type="dxa"/>
                  <w:shd w:val="clear" w:color="auto" w:fill="auto"/>
                  <w:vAlign w:val="center"/>
                </w:tcPr>
                <w:p w14:paraId="6275F27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238732D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1C51532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301" w:type="dxa"/>
                  <w:shd w:val="clear" w:color="auto" w:fill="auto"/>
                  <w:vAlign w:val="center"/>
                </w:tcPr>
                <w:p w14:paraId="04913AA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103" w:type="dxa"/>
                  <w:shd w:val="clear" w:color="auto" w:fill="auto"/>
                  <w:vAlign w:val="center"/>
                </w:tcPr>
                <w:p w14:paraId="3921ACB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16E6F2E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cs="Times New Roman"/>
                      <w:color w:val="auto"/>
                      <w:sz w:val="21"/>
                      <w:szCs w:val="21"/>
                      <w:lang w:val="en-US" w:eastAsia="zh-CN"/>
                    </w:rPr>
                    <w:t>不变</w:t>
                  </w:r>
                </w:p>
              </w:tc>
            </w:tr>
            <w:tr w14:paraId="72B675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vAlign w:val="center"/>
                </w:tcPr>
                <w:p w14:paraId="0DA71EF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278" w:type="dxa"/>
                  <w:shd w:val="clear" w:color="auto" w:fill="auto"/>
                  <w:vAlign w:val="center"/>
                </w:tcPr>
                <w:p w14:paraId="737BEF8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行车</w:t>
                  </w:r>
                </w:p>
              </w:tc>
              <w:tc>
                <w:tcPr>
                  <w:tcW w:w="1115" w:type="dxa"/>
                  <w:shd w:val="clear" w:color="auto" w:fill="auto"/>
                  <w:vAlign w:val="center"/>
                </w:tcPr>
                <w:p w14:paraId="661BB01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2t</w:t>
                  </w:r>
                </w:p>
              </w:tc>
              <w:tc>
                <w:tcPr>
                  <w:tcW w:w="942" w:type="dxa"/>
                  <w:shd w:val="clear" w:color="auto" w:fill="auto"/>
                  <w:vAlign w:val="center"/>
                </w:tcPr>
                <w:p w14:paraId="1233218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027C09E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301" w:type="dxa"/>
                  <w:shd w:val="clear" w:color="auto" w:fill="auto"/>
                  <w:vAlign w:val="center"/>
                </w:tcPr>
                <w:p w14:paraId="53CE3C0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1103" w:type="dxa"/>
                  <w:shd w:val="clear" w:color="auto" w:fill="auto"/>
                  <w:vAlign w:val="center"/>
                </w:tcPr>
                <w:p w14:paraId="39A5EB8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1221" w:type="dxa"/>
                  <w:vAlign w:val="center"/>
                </w:tcPr>
                <w:p w14:paraId="628D03A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新增4台</w:t>
                  </w:r>
                </w:p>
              </w:tc>
            </w:tr>
            <w:tr w14:paraId="01C6A1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vAlign w:val="center"/>
                </w:tcPr>
                <w:p w14:paraId="28F71A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278" w:type="dxa"/>
                  <w:shd w:val="clear" w:color="auto" w:fill="auto"/>
                  <w:vAlign w:val="center"/>
                </w:tcPr>
                <w:p w14:paraId="4C2D7D0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冷却塔</w:t>
                  </w:r>
                </w:p>
              </w:tc>
              <w:tc>
                <w:tcPr>
                  <w:tcW w:w="1115" w:type="dxa"/>
                  <w:shd w:val="clear" w:color="auto" w:fill="auto"/>
                  <w:vAlign w:val="center"/>
                </w:tcPr>
                <w:p w14:paraId="5B25F80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2FC514F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en-US"/>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493C484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301" w:type="dxa"/>
                  <w:shd w:val="clear" w:color="auto" w:fill="auto"/>
                  <w:vAlign w:val="center"/>
                </w:tcPr>
                <w:p w14:paraId="59A290E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103" w:type="dxa"/>
                  <w:shd w:val="clear" w:color="auto" w:fill="auto"/>
                  <w:vAlign w:val="center"/>
                </w:tcPr>
                <w:p w14:paraId="76056C8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33C22C5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不变</w:t>
                  </w:r>
                </w:p>
              </w:tc>
            </w:tr>
            <w:tr w14:paraId="5F0CCD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vAlign w:val="center"/>
                </w:tcPr>
                <w:p w14:paraId="0E1A45D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c>
                <w:tcPr>
                  <w:tcW w:w="1278" w:type="dxa"/>
                  <w:shd w:val="clear" w:color="auto" w:fill="auto"/>
                  <w:vAlign w:val="center"/>
                </w:tcPr>
                <w:p w14:paraId="2EF4F3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自动射芯机</w:t>
                  </w:r>
                </w:p>
              </w:tc>
              <w:tc>
                <w:tcPr>
                  <w:tcW w:w="1115" w:type="dxa"/>
                  <w:shd w:val="clear" w:color="auto" w:fill="auto"/>
                  <w:vAlign w:val="center"/>
                </w:tcPr>
                <w:p w14:paraId="0787A0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15BEA95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1F565D8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13D4C85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1103" w:type="dxa"/>
                  <w:shd w:val="clear" w:color="auto" w:fill="auto"/>
                  <w:vAlign w:val="center"/>
                </w:tcPr>
                <w:p w14:paraId="2271A35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1221" w:type="dxa"/>
                  <w:vAlign w:val="center"/>
                </w:tcPr>
                <w:p w14:paraId="7F99033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新增5台</w:t>
                  </w:r>
                </w:p>
              </w:tc>
            </w:tr>
            <w:tr w14:paraId="568808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3EE766F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7</w:t>
                  </w:r>
                </w:p>
              </w:tc>
              <w:tc>
                <w:tcPr>
                  <w:tcW w:w="1278" w:type="dxa"/>
                  <w:shd w:val="clear" w:color="auto" w:fill="auto"/>
                  <w:vAlign w:val="center"/>
                </w:tcPr>
                <w:p w14:paraId="1224C75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自动打磨机</w:t>
                  </w:r>
                </w:p>
              </w:tc>
              <w:tc>
                <w:tcPr>
                  <w:tcW w:w="1115" w:type="dxa"/>
                  <w:shd w:val="clear" w:color="auto" w:fill="auto"/>
                  <w:vAlign w:val="center"/>
                </w:tcPr>
                <w:p w14:paraId="74C397C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3B06213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5E3E304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75EF511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280244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6C060AC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新增1台</w:t>
                  </w:r>
                </w:p>
              </w:tc>
            </w:tr>
            <w:tr w14:paraId="4AD219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7139B07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8</w:t>
                  </w:r>
                </w:p>
              </w:tc>
              <w:tc>
                <w:tcPr>
                  <w:tcW w:w="1278" w:type="dxa"/>
                  <w:shd w:val="clear" w:color="auto" w:fill="auto"/>
                  <w:vAlign w:val="center"/>
                </w:tcPr>
                <w:p w14:paraId="41EF479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履带式清理机（抛丸机）</w:t>
                  </w:r>
                </w:p>
              </w:tc>
              <w:tc>
                <w:tcPr>
                  <w:tcW w:w="1115" w:type="dxa"/>
                  <w:shd w:val="clear" w:color="auto" w:fill="auto"/>
                  <w:vAlign w:val="center"/>
                </w:tcPr>
                <w:p w14:paraId="74C42C7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290522B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474589A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7015F4C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5EC93E6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79DE989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新增1台</w:t>
                  </w:r>
                </w:p>
              </w:tc>
            </w:tr>
            <w:tr w14:paraId="345E8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3EDF556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9</w:t>
                  </w:r>
                </w:p>
              </w:tc>
              <w:tc>
                <w:tcPr>
                  <w:tcW w:w="1278" w:type="dxa"/>
                  <w:shd w:val="clear" w:color="auto" w:fill="auto"/>
                  <w:vAlign w:val="center"/>
                </w:tcPr>
                <w:p w14:paraId="60728EC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空压机组</w:t>
                  </w:r>
                </w:p>
              </w:tc>
              <w:tc>
                <w:tcPr>
                  <w:tcW w:w="1115" w:type="dxa"/>
                  <w:shd w:val="clear" w:color="auto" w:fill="auto"/>
                  <w:vAlign w:val="center"/>
                </w:tcPr>
                <w:p w14:paraId="5611A4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2A68C1E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0D51182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74DA90D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103" w:type="dxa"/>
                  <w:shd w:val="clear" w:color="auto" w:fill="auto"/>
                  <w:vAlign w:val="center"/>
                </w:tcPr>
                <w:p w14:paraId="6E298A2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221" w:type="dxa"/>
                  <w:vAlign w:val="center"/>
                </w:tcPr>
                <w:p w14:paraId="6B617D8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新增2台</w:t>
                  </w:r>
                </w:p>
              </w:tc>
            </w:tr>
            <w:tr w14:paraId="2A9770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365C1E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10</w:t>
                  </w:r>
                </w:p>
              </w:tc>
              <w:tc>
                <w:tcPr>
                  <w:tcW w:w="1278" w:type="dxa"/>
                  <w:shd w:val="clear" w:color="auto" w:fill="auto"/>
                  <w:vAlign w:val="center"/>
                </w:tcPr>
                <w:p w14:paraId="559D327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自动上砂</w:t>
                  </w:r>
                </w:p>
              </w:tc>
              <w:tc>
                <w:tcPr>
                  <w:tcW w:w="1115" w:type="dxa"/>
                  <w:shd w:val="clear" w:color="auto" w:fill="auto"/>
                  <w:vAlign w:val="center"/>
                </w:tcPr>
                <w:p w14:paraId="6D7D750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1D587FE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套</w:t>
                  </w:r>
                </w:p>
              </w:tc>
              <w:tc>
                <w:tcPr>
                  <w:tcW w:w="1447" w:type="dxa"/>
                  <w:shd w:val="clear" w:color="auto" w:fill="auto"/>
                  <w:vAlign w:val="center"/>
                </w:tcPr>
                <w:p w14:paraId="01377F8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6D97206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049EBD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6D86264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新增1台</w:t>
                  </w:r>
                </w:p>
              </w:tc>
            </w:tr>
            <w:tr w14:paraId="60D594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31BB96D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11</w:t>
                  </w:r>
                </w:p>
              </w:tc>
              <w:tc>
                <w:tcPr>
                  <w:tcW w:w="1278" w:type="dxa"/>
                  <w:shd w:val="clear" w:color="auto" w:fill="auto"/>
                  <w:vAlign w:val="center"/>
                </w:tcPr>
                <w:p w14:paraId="127C754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砂轮机</w:t>
                  </w:r>
                </w:p>
              </w:tc>
              <w:tc>
                <w:tcPr>
                  <w:tcW w:w="1115" w:type="dxa"/>
                  <w:shd w:val="clear" w:color="auto" w:fill="auto"/>
                  <w:vAlign w:val="center"/>
                </w:tcPr>
                <w:p w14:paraId="10AB35E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5FEE490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套</w:t>
                  </w:r>
                </w:p>
              </w:tc>
              <w:tc>
                <w:tcPr>
                  <w:tcW w:w="1447" w:type="dxa"/>
                  <w:shd w:val="clear" w:color="auto" w:fill="auto"/>
                  <w:vAlign w:val="center"/>
                </w:tcPr>
                <w:p w14:paraId="0F4BE26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12A8A67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103" w:type="dxa"/>
                  <w:shd w:val="clear" w:color="auto" w:fill="auto"/>
                  <w:vAlign w:val="center"/>
                </w:tcPr>
                <w:p w14:paraId="18E6873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221" w:type="dxa"/>
                  <w:vAlign w:val="center"/>
                </w:tcPr>
                <w:p w14:paraId="4803673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新增2台</w:t>
                  </w:r>
                </w:p>
              </w:tc>
            </w:tr>
            <w:tr w14:paraId="089711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51EEB04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12</w:t>
                  </w:r>
                </w:p>
              </w:tc>
              <w:tc>
                <w:tcPr>
                  <w:tcW w:w="1278" w:type="dxa"/>
                  <w:shd w:val="clear" w:color="auto" w:fill="auto"/>
                  <w:vAlign w:val="center"/>
                </w:tcPr>
                <w:p w14:paraId="2DD68C7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角磨机</w:t>
                  </w:r>
                </w:p>
              </w:tc>
              <w:tc>
                <w:tcPr>
                  <w:tcW w:w="1115" w:type="dxa"/>
                  <w:shd w:val="clear" w:color="auto" w:fill="auto"/>
                  <w:vAlign w:val="center"/>
                </w:tcPr>
                <w:p w14:paraId="6476F88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3C3AFE4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4DC319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1DA49B0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103" w:type="dxa"/>
                  <w:shd w:val="clear" w:color="auto" w:fill="auto"/>
                  <w:vAlign w:val="center"/>
                </w:tcPr>
                <w:p w14:paraId="1B71298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221" w:type="dxa"/>
                  <w:vAlign w:val="center"/>
                </w:tcPr>
                <w:p w14:paraId="13D1A6B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新增3台</w:t>
                  </w:r>
                </w:p>
              </w:tc>
            </w:tr>
            <w:tr w14:paraId="200923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5B2EA6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13</w:t>
                  </w:r>
                </w:p>
              </w:tc>
              <w:tc>
                <w:tcPr>
                  <w:tcW w:w="1278" w:type="dxa"/>
                  <w:shd w:val="clear" w:color="auto" w:fill="auto"/>
                  <w:vAlign w:val="center"/>
                </w:tcPr>
                <w:p w14:paraId="697BDDC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电焊机</w:t>
                  </w:r>
                </w:p>
              </w:tc>
              <w:tc>
                <w:tcPr>
                  <w:tcW w:w="1115" w:type="dxa"/>
                  <w:shd w:val="clear" w:color="auto" w:fill="auto"/>
                  <w:vAlign w:val="center"/>
                </w:tcPr>
                <w:p w14:paraId="59F55C7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3473D86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38805D1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38BD8B7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06C7D6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765FC64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新增1台</w:t>
                  </w:r>
                </w:p>
              </w:tc>
            </w:tr>
            <w:tr w14:paraId="750551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73B13FA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14</w:t>
                  </w:r>
                </w:p>
              </w:tc>
              <w:tc>
                <w:tcPr>
                  <w:tcW w:w="1278" w:type="dxa"/>
                  <w:shd w:val="clear" w:color="auto" w:fill="auto"/>
                  <w:vAlign w:val="center"/>
                </w:tcPr>
                <w:p w14:paraId="276235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焊烟净化器</w:t>
                  </w:r>
                </w:p>
              </w:tc>
              <w:tc>
                <w:tcPr>
                  <w:tcW w:w="1115" w:type="dxa"/>
                  <w:shd w:val="clear" w:color="auto" w:fill="auto"/>
                  <w:vAlign w:val="center"/>
                </w:tcPr>
                <w:p w14:paraId="2382827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345162A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32B4B81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53B7E88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3B1EE3C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679A757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新增1台</w:t>
                  </w:r>
                </w:p>
              </w:tc>
            </w:tr>
            <w:tr w14:paraId="26CAF1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2030EFB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15</w:t>
                  </w:r>
                </w:p>
              </w:tc>
              <w:tc>
                <w:tcPr>
                  <w:tcW w:w="1278" w:type="dxa"/>
                  <w:shd w:val="clear" w:color="auto" w:fill="auto"/>
                  <w:vAlign w:val="center"/>
                </w:tcPr>
                <w:p w14:paraId="51305A2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泡沫切割机</w:t>
                  </w:r>
                </w:p>
              </w:tc>
              <w:tc>
                <w:tcPr>
                  <w:tcW w:w="1115" w:type="dxa"/>
                  <w:shd w:val="clear" w:color="auto" w:fill="auto"/>
                  <w:vAlign w:val="center"/>
                </w:tcPr>
                <w:p w14:paraId="49A09B1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60ABADE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1F69AD8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4F6C5B7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7CEC0B2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vAlign w:val="center"/>
                </w:tcPr>
                <w:p w14:paraId="06002B4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新增1台</w:t>
                  </w:r>
                </w:p>
              </w:tc>
            </w:tr>
            <w:tr w14:paraId="6B8DF5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50CB4D1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16</w:t>
                  </w:r>
                </w:p>
              </w:tc>
              <w:tc>
                <w:tcPr>
                  <w:tcW w:w="1278" w:type="dxa"/>
                  <w:shd w:val="clear" w:color="auto" w:fill="auto"/>
                  <w:vAlign w:val="center"/>
                </w:tcPr>
                <w:p w14:paraId="19E7329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热风烘干机</w:t>
                  </w:r>
                </w:p>
              </w:tc>
              <w:tc>
                <w:tcPr>
                  <w:tcW w:w="1115" w:type="dxa"/>
                  <w:shd w:val="clear" w:color="auto" w:fill="auto"/>
                  <w:vAlign w:val="center"/>
                </w:tcPr>
                <w:p w14:paraId="1CF0EDB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136C7FF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2F47456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4D87A48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5B92014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shd w:val="clear" w:color="auto" w:fill="auto"/>
                  <w:vAlign w:val="center"/>
                </w:tcPr>
                <w:p w14:paraId="399219C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新增1台</w:t>
                  </w:r>
                </w:p>
              </w:tc>
            </w:tr>
            <w:tr w14:paraId="421332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4" w:type="dxa"/>
                  <w:shd w:val="clear" w:color="auto" w:fill="auto"/>
                  <w:vAlign w:val="center"/>
                </w:tcPr>
                <w:p w14:paraId="1C60986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17</w:t>
                  </w:r>
                </w:p>
              </w:tc>
              <w:tc>
                <w:tcPr>
                  <w:tcW w:w="1278" w:type="dxa"/>
                  <w:shd w:val="clear" w:color="auto" w:fill="auto"/>
                  <w:vAlign w:val="center"/>
                </w:tcPr>
                <w:p w14:paraId="670EED4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退火炉</w:t>
                  </w:r>
                </w:p>
              </w:tc>
              <w:tc>
                <w:tcPr>
                  <w:tcW w:w="1115" w:type="dxa"/>
                  <w:shd w:val="clear" w:color="auto" w:fill="auto"/>
                  <w:vAlign w:val="center"/>
                </w:tcPr>
                <w:p w14:paraId="7E5F69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942" w:type="dxa"/>
                  <w:shd w:val="clear" w:color="auto" w:fill="auto"/>
                  <w:vAlign w:val="center"/>
                </w:tcPr>
                <w:p w14:paraId="4073055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台</w:t>
                  </w:r>
                </w:p>
              </w:tc>
              <w:tc>
                <w:tcPr>
                  <w:tcW w:w="1447" w:type="dxa"/>
                  <w:shd w:val="clear" w:color="auto" w:fill="auto"/>
                  <w:vAlign w:val="center"/>
                </w:tcPr>
                <w:p w14:paraId="59330F9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301" w:type="dxa"/>
                  <w:shd w:val="clear" w:color="auto" w:fill="auto"/>
                  <w:vAlign w:val="center"/>
                </w:tcPr>
                <w:p w14:paraId="461B4DF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103" w:type="dxa"/>
                  <w:shd w:val="clear" w:color="auto" w:fill="auto"/>
                  <w:vAlign w:val="center"/>
                </w:tcPr>
                <w:p w14:paraId="4747AB6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21" w:type="dxa"/>
                  <w:shd w:val="clear" w:color="auto" w:fill="auto"/>
                  <w:vAlign w:val="center"/>
                </w:tcPr>
                <w:p w14:paraId="4620B04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新增1台</w:t>
                  </w:r>
                </w:p>
              </w:tc>
            </w:tr>
          </w:tbl>
          <w:p w14:paraId="3A9C0EC6">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六、原料及动力消耗</w:t>
            </w:r>
          </w:p>
          <w:p w14:paraId="1A6870D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项目原辅材料及消耗见下表</w:t>
            </w:r>
            <w:r>
              <w:rPr>
                <w:rFonts w:hint="default" w:ascii="Times New Roman" w:hAnsi="Times New Roman" w:eastAsia="宋体" w:cs="Times New Roman"/>
                <w:color w:val="auto"/>
                <w:sz w:val="24"/>
                <w:szCs w:val="24"/>
                <w:lang w:eastAsia="zh-CN"/>
              </w:rPr>
              <w:t>。</w:t>
            </w:r>
          </w:p>
          <w:p w14:paraId="71C2E004">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表2-4</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原辅材料及能耗表</w:t>
            </w:r>
          </w:p>
          <w:tbl>
            <w:tblPr>
              <w:tblStyle w:val="21"/>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5"/>
              <w:gridCol w:w="2172"/>
              <w:gridCol w:w="1313"/>
              <w:gridCol w:w="1424"/>
              <w:gridCol w:w="1298"/>
              <w:gridCol w:w="1859"/>
            </w:tblGrid>
            <w:tr w14:paraId="0A215E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6ACC529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172" w:type="dxa"/>
                  <w:vAlign w:val="center"/>
                </w:tcPr>
                <w:p w14:paraId="79BBC38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313" w:type="dxa"/>
                  <w:vAlign w:val="center"/>
                </w:tcPr>
                <w:p w14:paraId="77B8FB2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424" w:type="dxa"/>
                  <w:vAlign w:val="center"/>
                </w:tcPr>
                <w:p w14:paraId="3CFCD37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val="en-US" w:eastAsia="zh-CN"/>
                    </w:rPr>
                    <w:t>技改前</w:t>
                  </w:r>
                  <w:r>
                    <w:rPr>
                      <w:rFonts w:hint="default" w:ascii="Times New Roman" w:hAnsi="Times New Roman" w:eastAsia="宋体" w:cs="Times New Roman"/>
                      <w:b/>
                      <w:bCs/>
                      <w:color w:val="auto"/>
                      <w:sz w:val="21"/>
                      <w:szCs w:val="21"/>
                    </w:rPr>
                    <w:t>用量</w:t>
                  </w:r>
                </w:p>
              </w:tc>
              <w:tc>
                <w:tcPr>
                  <w:tcW w:w="1298" w:type="dxa"/>
                  <w:vAlign w:val="center"/>
                </w:tcPr>
                <w:p w14:paraId="684C180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val="en-US" w:eastAsia="zh-CN"/>
                    </w:rPr>
                    <w:t>技改后</w:t>
                  </w:r>
                  <w:r>
                    <w:rPr>
                      <w:rFonts w:hint="default" w:ascii="Times New Roman" w:hAnsi="Times New Roman" w:eastAsia="宋体" w:cs="Times New Roman"/>
                      <w:b/>
                      <w:bCs/>
                      <w:color w:val="auto"/>
                      <w:sz w:val="21"/>
                      <w:szCs w:val="21"/>
                    </w:rPr>
                    <w:t>用量</w:t>
                  </w:r>
                </w:p>
              </w:tc>
              <w:tc>
                <w:tcPr>
                  <w:tcW w:w="1859" w:type="dxa"/>
                  <w:vAlign w:val="center"/>
                </w:tcPr>
                <w:p w14:paraId="282A972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14:paraId="15A001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76662E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172" w:type="dxa"/>
                  <w:shd w:val="clear" w:color="auto" w:fill="auto"/>
                  <w:vAlign w:val="center"/>
                </w:tcPr>
                <w:p w14:paraId="3FBBA0C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生铁</w:t>
                  </w:r>
                </w:p>
              </w:tc>
              <w:tc>
                <w:tcPr>
                  <w:tcW w:w="1313" w:type="dxa"/>
                  <w:shd w:val="clear" w:color="auto" w:fill="auto"/>
                  <w:vAlign w:val="center"/>
                </w:tcPr>
                <w:p w14:paraId="4F663E7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5BD0EBC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4015</w:t>
                  </w:r>
                </w:p>
              </w:tc>
              <w:tc>
                <w:tcPr>
                  <w:tcW w:w="1298" w:type="dxa"/>
                  <w:shd w:val="clear" w:color="auto" w:fill="auto"/>
                  <w:vAlign w:val="center"/>
                </w:tcPr>
                <w:p w14:paraId="357C015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4015</w:t>
                  </w:r>
                </w:p>
              </w:tc>
              <w:tc>
                <w:tcPr>
                  <w:tcW w:w="1859" w:type="dxa"/>
                  <w:shd w:val="clear" w:color="auto" w:fill="auto"/>
                  <w:vAlign w:val="center"/>
                </w:tcPr>
                <w:p w14:paraId="4D010F2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汽运、散装</w:t>
                  </w:r>
                </w:p>
              </w:tc>
            </w:tr>
            <w:tr w14:paraId="200A50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6A4263F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172" w:type="dxa"/>
                  <w:shd w:val="clear" w:color="auto" w:fill="auto"/>
                  <w:vAlign w:val="center"/>
                </w:tcPr>
                <w:p w14:paraId="683E97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海砂</w:t>
                  </w:r>
                </w:p>
              </w:tc>
              <w:tc>
                <w:tcPr>
                  <w:tcW w:w="1313" w:type="dxa"/>
                  <w:shd w:val="clear" w:color="auto" w:fill="auto"/>
                  <w:vAlign w:val="center"/>
                </w:tcPr>
                <w:p w14:paraId="0F11B15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0F8B176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1298" w:type="dxa"/>
                  <w:shd w:val="clear" w:color="auto" w:fill="auto"/>
                  <w:vAlign w:val="center"/>
                </w:tcPr>
                <w:p w14:paraId="6253B6E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859" w:type="dxa"/>
                  <w:shd w:val="clear" w:color="auto" w:fill="auto"/>
                  <w:vAlign w:val="center"/>
                </w:tcPr>
                <w:p w14:paraId="6703C50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汽运、袋装</w:t>
                  </w:r>
                </w:p>
              </w:tc>
            </w:tr>
            <w:tr w14:paraId="75C58E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197E013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172" w:type="dxa"/>
                  <w:shd w:val="clear" w:color="auto" w:fill="auto"/>
                  <w:vAlign w:val="center"/>
                </w:tcPr>
                <w:p w14:paraId="4A899AD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膨润土</w:t>
                  </w:r>
                </w:p>
              </w:tc>
              <w:tc>
                <w:tcPr>
                  <w:tcW w:w="1313" w:type="dxa"/>
                  <w:shd w:val="clear" w:color="auto" w:fill="auto"/>
                  <w:vAlign w:val="center"/>
                </w:tcPr>
                <w:p w14:paraId="0BB52F6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64D66DF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1298" w:type="dxa"/>
                  <w:shd w:val="clear" w:color="auto" w:fill="auto"/>
                  <w:vAlign w:val="center"/>
                </w:tcPr>
                <w:p w14:paraId="3706DE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859" w:type="dxa"/>
                  <w:shd w:val="clear" w:color="auto" w:fill="auto"/>
                  <w:vAlign w:val="center"/>
                </w:tcPr>
                <w:p w14:paraId="7B6ACAB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汽运、袋装</w:t>
                  </w:r>
                </w:p>
              </w:tc>
            </w:tr>
            <w:tr w14:paraId="3DD0C8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194869B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2172" w:type="dxa"/>
                  <w:shd w:val="clear" w:color="auto" w:fill="auto"/>
                  <w:vAlign w:val="center"/>
                </w:tcPr>
                <w:p w14:paraId="1250FF8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钢丸</w:t>
                  </w:r>
                </w:p>
              </w:tc>
              <w:tc>
                <w:tcPr>
                  <w:tcW w:w="1313" w:type="dxa"/>
                  <w:shd w:val="clear" w:color="auto" w:fill="auto"/>
                  <w:vAlign w:val="center"/>
                </w:tcPr>
                <w:p w14:paraId="0D0F62B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1E512D0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298" w:type="dxa"/>
                  <w:shd w:val="clear" w:color="auto" w:fill="auto"/>
                  <w:vAlign w:val="center"/>
                </w:tcPr>
                <w:p w14:paraId="28F61CD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859" w:type="dxa"/>
                  <w:shd w:val="clear" w:color="auto" w:fill="auto"/>
                  <w:vAlign w:val="center"/>
                </w:tcPr>
                <w:p w14:paraId="46DD04E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汽运、袋装</w:t>
                  </w:r>
                </w:p>
              </w:tc>
            </w:tr>
            <w:tr w14:paraId="7EB2ED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2A275FD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2172" w:type="dxa"/>
                  <w:shd w:val="clear" w:color="auto" w:fill="auto"/>
                  <w:vAlign w:val="center"/>
                </w:tcPr>
                <w:p w14:paraId="07C3BAB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覆膜砂</w:t>
                  </w:r>
                </w:p>
              </w:tc>
              <w:tc>
                <w:tcPr>
                  <w:tcW w:w="1313" w:type="dxa"/>
                  <w:shd w:val="clear" w:color="auto" w:fill="auto"/>
                  <w:vAlign w:val="center"/>
                </w:tcPr>
                <w:p w14:paraId="1F597C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2ED6C19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298" w:type="dxa"/>
                  <w:shd w:val="clear" w:color="auto" w:fill="auto"/>
                  <w:vAlign w:val="center"/>
                </w:tcPr>
                <w:p w14:paraId="52C1CB7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600</w:t>
                  </w:r>
                </w:p>
              </w:tc>
              <w:tc>
                <w:tcPr>
                  <w:tcW w:w="1859" w:type="dxa"/>
                  <w:shd w:val="clear" w:color="auto" w:fill="auto"/>
                  <w:vAlign w:val="center"/>
                </w:tcPr>
                <w:p w14:paraId="11B5474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汽运、袋装</w:t>
                  </w:r>
                </w:p>
              </w:tc>
            </w:tr>
            <w:tr w14:paraId="7D0F4F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shd w:val="clear" w:color="auto" w:fill="auto"/>
                  <w:vAlign w:val="center"/>
                </w:tcPr>
                <w:p w14:paraId="649812D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6</w:t>
                  </w:r>
                </w:p>
              </w:tc>
              <w:tc>
                <w:tcPr>
                  <w:tcW w:w="2172" w:type="dxa"/>
                  <w:shd w:val="clear" w:color="auto" w:fill="auto"/>
                  <w:vAlign w:val="center"/>
                </w:tcPr>
                <w:p w14:paraId="331BA9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聚苯乙烯泡沫</w:t>
                  </w:r>
                </w:p>
              </w:tc>
              <w:tc>
                <w:tcPr>
                  <w:tcW w:w="1313" w:type="dxa"/>
                  <w:shd w:val="clear" w:color="auto" w:fill="auto"/>
                  <w:vAlign w:val="center"/>
                </w:tcPr>
                <w:p w14:paraId="2A3E502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5AF53B5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298" w:type="dxa"/>
                  <w:shd w:val="clear" w:color="auto" w:fill="auto"/>
                  <w:vAlign w:val="center"/>
                </w:tcPr>
                <w:p w14:paraId="55BEA38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859" w:type="dxa"/>
                  <w:shd w:val="clear" w:color="auto" w:fill="auto"/>
                  <w:vAlign w:val="center"/>
                </w:tcPr>
                <w:p w14:paraId="4354363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汽运、散装</w:t>
                  </w:r>
                </w:p>
              </w:tc>
            </w:tr>
            <w:tr w14:paraId="64DA13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shd w:val="clear" w:color="auto" w:fill="auto"/>
                  <w:vAlign w:val="center"/>
                </w:tcPr>
                <w:p w14:paraId="2B3EA28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7</w:t>
                  </w:r>
                </w:p>
              </w:tc>
              <w:tc>
                <w:tcPr>
                  <w:tcW w:w="2172" w:type="dxa"/>
                  <w:shd w:val="clear" w:color="auto" w:fill="auto"/>
                  <w:vAlign w:val="center"/>
                </w:tcPr>
                <w:p w14:paraId="2346AF2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耐火涂料</w:t>
                  </w:r>
                </w:p>
                <w:p w14:paraId="5ABBB18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（锆英粉涂料）</w:t>
                  </w:r>
                </w:p>
              </w:tc>
              <w:tc>
                <w:tcPr>
                  <w:tcW w:w="1313" w:type="dxa"/>
                  <w:shd w:val="clear" w:color="auto" w:fill="auto"/>
                  <w:vAlign w:val="center"/>
                </w:tcPr>
                <w:p w14:paraId="5CE5B88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24F3F45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298" w:type="dxa"/>
                  <w:shd w:val="clear" w:color="auto" w:fill="auto"/>
                  <w:vAlign w:val="center"/>
                </w:tcPr>
                <w:p w14:paraId="403F8ED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859" w:type="dxa"/>
                  <w:shd w:val="clear" w:color="auto" w:fill="auto"/>
                  <w:vAlign w:val="center"/>
                </w:tcPr>
                <w:p w14:paraId="586CD7B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汽运、桶装</w:t>
                  </w:r>
                </w:p>
              </w:tc>
            </w:tr>
            <w:tr w14:paraId="1AA619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shd w:val="clear" w:color="auto" w:fill="auto"/>
                  <w:vAlign w:val="center"/>
                </w:tcPr>
                <w:p w14:paraId="3C73E01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w:t>
                  </w:r>
                </w:p>
              </w:tc>
              <w:tc>
                <w:tcPr>
                  <w:tcW w:w="2172" w:type="dxa"/>
                  <w:shd w:val="clear" w:color="auto" w:fill="auto"/>
                  <w:vAlign w:val="center"/>
                </w:tcPr>
                <w:p w14:paraId="56C28A5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焊条</w:t>
                  </w:r>
                </w:p>
              </w:tc>
              <w:tc>
                <w:tcPr>
                  <w:tcW w:w="1313" w:type="dxa"/>
                  <w:shd w:val="clear" w:color="auto" w:fill="auto"/>
                  <w:vAlign w:val="center"/>
                </w:tcPr>
                <w:p w14:paraId="07136C4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吨</w:t>
                  </w:r>
                </w:p>
              </w:tc>
              <w:tc>
                <w:tcPr>
                  <w:tcW w:w="1424" w:type="dxa"/>
                  <w:shd w:val="clear" w:color="auto" w:fill="auto"/>
                  <w:vAlign w:val="center"/>
                </w:tcPr>
                <w:p w14:paraId="0D4C7E5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298" w:type="dxa"/>
                  <w:shd w:val="clear" w:color="auto" w:fill="auto"/>
                  <w:vAlign w:val="center"/>
                </w:tcPr>
                <w:p w14:paraId="4F8FF99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1859" w:type="dxa"/>
                  <w:vAlign w:val="center"/>
                </w:tcPr>
                <w:p w14:paraId="150341F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0942E9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37ABCFF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9</w:t>
                  </w:r>
                </w:p>
              </w:tc>
              <w:tc>
                <w:tcPr>
                  <w:tcW w:w="2172" w:type="dxa"/>
                  <w:vAlign w:val="center"/>
                </w:tcPr>
                <w:p w14:paraId="7C6AA47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自来水</w:t>
                  </w:r>
                </w:p>
              </w:tc>
              <w:tc>
                <w:tcPr>
                  <w:tcW w:w="1313" w:type="dxa"/>
                  <w:vAlign w:val="center"/>
                </w:tcPr>
                <w:p w14:paraId="789F142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/a</w:t>
                  </w:r>
                </w:p>
              </w:tc>
              <w:tc>
                <w:tcPr>
                  <w:tcW w:w="1424" w:type="dxa"/>
                  <w:shd w:val="clear" w:color="auto" w:fill="auto"/>
                  <w:vAlign w:val="center"/>
                </w:tcPr>
                <w:p w14:paraId="7264AB9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675</w:t>
                  </w:r>
                </w:p>
              </w:tc>
              <w:tc>
                <w:tcPr>
                  <w:tcW w:w="1298" w:type="dxa"/>
                  <w:shd w:val="clear" w:color="auto" w:fill="auto"/>
                  <w:vAlign w:val="center"/>
                </w:tcPr>
                <w:p w14:paraId="747265D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675</w:t>
                  </w:r>
                </w:p>
              </w:tc>
              <w:tc>
                <w:tcPr>
                  <w:tcW w:w="1859" w:type="dxa"/>
                  <w:vAlign w:val="center"/>
                </w:tcPr>
                <w:p w14:paraId="1A3DEDD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淄川区</w:t>
                  </w:r>
                  <w:r>
                    <w:rPr>
                      <w:rFonts w:hint="default" w:ascii="Times New Roman" w:hAnsi="Times New Roman" w:eastAsia="宋体" w:cs="Times New Roman"/>
                      <w:color w:val="auto"/>
                      <w:sz w:val="21"/>
                      <w:szCs w:val="21"/>
                    </w:rPr>
                    <w:t>给水管网</w:t>
                  </w:r>
                </w:p>
              </w:tc>
            </w:tr>
            <w:tr w14:paraId="191998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005" w:type="dxa"/>
                  <w:vAlign w:val="center"/>
                </w:tcPr>
                <w:p w14:paraId="02F297F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2172" w:type="dxa"/>
                  <w:vAlign w:val="center"/>
                </w:tcPr>
                <w:p w14:paraId="21FB596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w:t>
                  </w:r>
                </w:p>
              </w:tc>
              <w:tc>
                <w:tcPr>
                  <w:tcW w:w="1313" w:type="dxa"/>
                  <w:vAlign w:val="center"/>
                </w:tcPr>
                <w:p w14:paraId="6E4DA13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万kWh/a</w:t>
                  </w:r>
                </w:p>
              </w:tc>
              <w:tc>
                <w:tcPr>
                  <w:tcW w:w="1424" w:type="dxa"/>
                  <w:shd w:val="clear" w:color="auto" w:fill="auto"/>
                  <w:vAlign w:val="center"/>
                </w:tcPr>
                <w:p w14:paraId="7E907C8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300</w:t>
                  </w:r>
                </w:p>
              </w:tc>
              <w:tc>
                <w:tcPr>
                  <w:tcW w:w="1298" w:type="dxa"/>
                  <w:shd w:val="clear" w:color="auto" w:fill="auto"/>
                  <w:vAlign w:val="center"/>
                </w:tcPr>
                <w:p w14:paraId="3B164A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350</w:t>
                  </w:r>
                </w:p>
              </w:tc>
              <w:tc>
                <w:tcPr>
                  <w:tcW w:w="1859" w:type="dxa"/>
                  <w:vAlign w:val="center"/>
                </w:tcPr>
                <w:p w14:paraId="01C93AC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淄川区</w:t>
                  </w:r>
                  <w:r>
                    <w:rPr>
                      <w:rFonts w:hint="default" w:ascii="Times New Roman" w:hAnsi="Times New Roman" w:eastAsia="宋体" w:cs="Times New Roman"/>
                      <w:color w:val="auto"/>
                      <w:sz w:val="21"/>
                      <w:szCs w:val="21"/>
                    </w:rPr>
                    <w:t>供电网</w:t>
                  </w:r>
                </w:p>
              </w:tc>
            </w:tr>
          </w:tbl>
          <w:p w14:paraId="7406FA12">
            <w:pPr>
              <w:pStyle w:val="2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表</w:t>
            </w:r>
            <w:r>
              <w:rPr>
                <w:rFonts w:hint="eastAsia" w:ascii="Times New Roman" w:hAnsi="Times New Roman" w:eastAsia="宋体" w:cs="Times New Roman"/>
                <w:b/>
                <w:bCs/>
                <w:color w:val="auto"/>
                <w:sz w:val="24"/>
                <w:szCs w:val="24"/>
                <w:highlight w:val="none"/>
                <w:lang w:val="en-US" w:eastAsia="zh-CN"/>
              </w:rPr>
              <w:t>2-</w:t>
            </w:r>
            <w:r>
              <w:rPr>
                <w:rFonts w:hint="eastAsia" w:ascii="Times New Roman" w:hAnsi="Times New Roman" w:cs="Times New Roman"/>
                <w:b/>
                <w:bCs/>
                <w:color w:val="auto"/>
                <w:sz w:val="24"/>
                <w:szCs w:val="24"/>
                <w:highlight w:val="none"/>
                <w:lang w:val="en-US" w:eastAsia="zh-CN"/>
              </w:rPr>
              <w:t xml:space="preserve">5 </w:t>
            </w:r>
            <w:r>
              <w:rPr>
                <w:rFonts w:hint="eastAsia" w:ascii="Times New Roman" w:hAnsi="Times New Roman" w:eastAsia="宋体" w:cs="Times New Roman"/>
                <w:b/>
                <w:bCs/>
                <w:color w:val="auto"/>
                <w:sz w:val="24"/>
                <w:szCs w:val="24"/>
                <w:highlight w:val="none"/>
                <w:lang w:eastAsia="zh-CN"/>
              </w:rPr>
              <w:t>项目主要成分理化性质一览表</w:t>
            </w:r>
          </w:p>
          <w:tbl>
            <w:tblPr>
              <w:tblStyle w:val="16"/>
              <w:tblW w:w="907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58"/>
              <w:gridCol w:w="1239"/>
              <w:gridCol w:w="6874"/>
            </w:tblGrid>
            <w:tr w14:paraId="5C9B734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58" w:type="dxa"/>
                  <w:tcBorders>
                    <w:tl2br w:val="nil"/>
                    <w:tr2bl w:val="nil"/>
                  </w:tcBorders>
                  <w:noWrap w:val="0"/>
                  <w:vAlign w:val="center"/>
                </w:tcPr>
                <w:p w14:paraId="08B656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b/>
                      <w:bCs/>
                      <w:color w:val="auto"/>
                      <w:spacing w:val="4"/>
                      <w:sz w:val="21"/>
                      <w:szCs w:val="21"/>
                      <w:lang w:eastAsia="zh-CN"/>
                    </w:rPr>
                  </w:pPr>
                  <w:r>
                    <w:rPr>
                      <w:rFonts w:hint="eastAsia" w:ascii="宋体" w:hAnsi="宋体" w:eastAsia="宋体" w:cs="宋体"/>
                      <w:b/>
                      <w:bCs/>
                      <w:color w:val="auto"/>
                      <w:spacing w:val="4"/>
                      <w:sz w:val="21"/>
                      <w:szCs w:val="21"/>
                      <w:lang w:eastAsia="zh-CN"/>
                    </w:rPr>
                    <w:t>序号</w:t>
                  </w:r>
                </w:p>
              </w:tc>
              <w:tc>
                <w:tcPr>
                  <w:tcW w:w="1239" w:type="dxa"/>
                  <w:tcBorders>
                    <w:tl2br w:val="nil"/>
                    <w:tr2bl w:val="nil"/>
                  </w:tcBorders>
                  <w:noWrap w:val="0"/>
                  <w:vAlign w:val="center"/>
                </w:tcPr>
                <w:p w14:paraId="0AD927C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b/>
                      <w:bCs/>
                      <w:color w:val="auto"/>
                      <w:spacing w:val="4"/>
                      <w:sz w:val="21"/>
                      <w:szCs w:val="21"/>
                      <w:lang w:eastAsia="zh-CN"/>
                    </w:rPr>
                  </w:pPr>
                  <w:r>
                    <w:rPr>
                      <w:rFonts w:hint="eastAsia" w:ascii="宋体" w:hAnsi="宋体" w:eastAsia="宋体" w:cs="宋体"/>
                      <w:b/>
                      <w:bCs/>
                      <w:color w:val="auto"/>
                      <w:spacing w:val="4"/>
                      <w:sz w:val="21"/>
                      <w:szCs w:val="21"/>
                      <w:lang w:eastAsia="zh-CN"/>
                    </w:rPr>
                    <w:t>物质名称</w:t>
                  </w:r>
                </w:p>
              </w:tc>
              <w:tc>
                <w:tcPr>
                  <w:tcW w:w="6874" w:type="dxa"/>
                  <w:tcBorders>
                    <w:tl2br w:val="nil"/>
                    <w:tr2bl w:val="nil"/>
                  </w:tcBorders>
                  <w:noWrap w:val="0"/>
                  <w:vAlign w:val="center"/>
                </w:tcPr>
                <w:p w14:paraId="7A70519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b/>
                      <w:bCs/>
                      <w:color w:val="auto"/>
                      <w:spacing w:val="4"/>
                      <w:sz w:val="21"/>
                      <w:szCs w:val="21"/>
                      <w:lang w:eastAsia="zh-CN"/>
                    </w:rPr>
                  </w:pPr>
                  <w:r>
                    <w:rPr>
                      <w:rFonts w:hint="eastAsia" w:ascii="宋体" w:hAnsi="宋体" w:eastAsia="宋体" w:cs="宋体"/>
                      <w:b/>
                      <w:bCs/>
                      <w:color w:val="auto"/>
                      <w:spacing w:val="4"/>
                      <w:sz w:val="21"/>
                      <w:szCs w:val="21"/>
                      <w:lang w:eastAsia="zh-CN"/>
                    </w:rPr>
                    <w:t>理化性质</w:t>
                  </w:r>
                </w:p>
              </w:tc>
            </w:tr>
            <w:tr w14:paraId="7C04E04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8" w:type="dxa"/>
                  <w:tcBorders>
                    <w:tl2br w:val="nil"/>
                    <w:tr2bl w:val="nil"/>
                  </w:tcBorders>
                  <w:noWrap w:val="0"/>
                  <w:vAlign w:val="center"/>
                </w:tcPr>
                <w:p w14:paraId="7DF604E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239" w:type="dxa"/>
                  <w:tcBorders>
                    <w:tl2br w:val="nil"/>
                    <w:tr2bl w:val="nil"/>
                  </w:tcBorders>
                  <w:noWrap w:val="0"/>
                  <w:vAlign w:val="center"/>
                </w:tcPr>
                <w:p w14:paraId="1C75F18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覆膜砂</w:t>
                  </w:r>
                </w:p>
              </w:tc>
              <w:tc>
                <w:tcPr>
                  <w:tcW w:w="6874" w:type="dxa"/>
                  <w:tcBorders>
                    <w:tl2br w:val="nil"/>
                    <w:tr2bl w:val="nil"/>
                  </w:tcBorders>
                  <w:noWrap w:val="0"/>
                  <w:vAlign w:val="center"/>
                </w:tcPr>
                <w:p w14:paraId="576CA79A">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覆膜砂precoatedsand。砂粒表面在造型前即覆有一层固体树脂膜的型砂或芯砂。有冷法和热发两种覆膜工艺：冷法用乙醇将树脂溶解，并在混砂过程中加入乌洛托品，使二者包覆在砂粒表面，乙醇挥发，得覆膜砂；热法把砂预热到一定温度，加树脂使其熔融，搅拌使树脂包覆在砂粒表面，加乌洛托品水溶液及润滑剂，冷却、破碎、筛分得覆膜砂。 用于铸钢件、铸铁件。</w:t>
                  </w:r>
                </w:p>
              </w:tc>
            </w:tr>
            <w:tr w14:paraId="3702961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8" w:type="dxa"/>
                  <w:tcBorders>
                    <w:tl2br w:val="nil"/>
                    <w:tr2bl w:val="nil"/>
                  </w:tcBorders>
                  <w:noWrap w:val="0"/>
                  <w:vAlign w:val="center"/>
                </w:tcPr>
                <w:p w14:paraId="5FF19DB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239" w:type="dxa"/>
                  <w:tcBorders>
                    <w:tl2br w:val="nil"/>
                    <w:tr2bl w:val="nil"/>
                  </w:tcBorders>
                  <w:noWrap w:val="0"/>
                  <w:vAlign w:val="center"/>
                </w:tcPr>
                <w:p w14:paraId="4F2D7F9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聚苯乙烯泡沫塑料</w:t>
                  </w:r>
                </w:p>
              </w:tc>
              <w:tc>
                <w:tcPr>
                  <w:tcW w:w="6874" w:type="dxa"/>
                  <w:tcBorders>
                    <w:tl2br w:val="nil"/>
                    <w:tr2bl w:val="nil"/>
                  </w:tcBorders>
                  <w:noWrap w:val="0"/>
                  <w:vAlign w:val="center"/>
                </w:tcPr>
                <w:p w14:paraId="06CF1817">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both"/>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聚苯乙烯泡沫塑料是以聚苯乙烯树脂为主体，加入发泡剂等添加剂制成，它是使用最多的一种缓冲材料。它具有闭孔结构，吸水性小，有优良的抗水性；密度小，一般为0.015～0.03；机械强度好，缓冲性能优异</w:t>
                  </w:r>
                  <w:r>
                    <w:rPr>
                      <w:rFonts w:hint="eastAsia" w:ascii="Times New Roman" w:hAnsi="Times New Roman"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加工性好，易于模塑成型；着色性好，温度适应性强，抗放射性优异等优点，而且尺寸精度高,结构均匀。因此在外墙保温中其占有率很高。但燃烧时会放出污染环境的苯乙烯气体。</w:t>
                  </w:r>
                </w:p>
              </w:tc>
            </w:tr>
            <w:tr w14:paraId="58C57C9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8" w:type="dxa"/>
                  <w:tcBorders>
                    <w:tl2br w:val="nil"/>
                    <w:tr2bl w:val="nil"/>
                  </w:tcBorders>
                  <w:noWrap w:val="0"/>
                  <w:vAlign w:val="center"/>
                </w:tcPr>
                <w:p w14:paraId="2876328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239" w:type="dxa"/>
                  <w:tcBorders>
                    <w:tl2br w:val="nil"/>
                    <w:tr2bl w:val="nil"/>
                  </w:tcBorders>
                  <w:noWrap w:val="0"/>
                  <w:vAlign w:val="center"/>
                </w:tcPr>
                <w:p w14:paraId="7AA37C8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锆英粉涂料</w:t>
                  </w:r>
                </w:p>
              </w:tc>
              <w:tc>
                <w:tcPr>
                  <w:tcW w:w="6874" w:type="dxa"/>
                  <w:tcBorders>
                    <w:tl2br w:val="nil"/>
                    <w:tr2bl w:val="nil"/>
                  </w:tcBorders>
                  <w:noWrap w:val="0"/>
                  <w:vAlign w:val="center"/>
                </w:tcPr>
                <w:p w14:paraId="132A7E57">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both"/>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使用锆英粉涂料，由锆英粉、膨润土、硅溶胶等混合而成。提高泡沫模具的刚度，防止造型时变形，防止铸件产生机械粘砂和热化学粘砂，确保置换气体在浇注过程中能够顺利排出，防止铸件内部产生气孔。</w:t>
                  </w:r>
                </w:p>
              </w:tc>
            </w:tr>
            <w:tr w14:paraId="2EFAC10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8" w:type="dxa"/>
                  <w:tcBorders>
                    <w:tl2br w:val="nil"/>
                    <w:tr2bl w:val="nil"/>
                  </w:tcBorders>
                  <w:noWrap w:val="0"/>
                  <w:vAlign w:val="center"/>
                </w:tcPr>
                <w:p w14:paraId="6A41BD2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239" w:type="dxa"/>
                  <w:tcBorders>
                    <w:tl2br w:val="nil"/>
                    <w:tr2bl w:val="nil"/>
                  </w:tcBorders>
                  <w:shd w:val="clear" w:color="auto" w:fill="auto"/>
                  <w:noWrap w:val="0"/>
                  <w:vAlign w:val="center"/>
                </w:tcPr>
                <w:p w14:paraId="655F995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生铁</w:t>
                  </w:r>
                </w:p>
              </w:tc>
              <w:tc>
                <w:tcPr>
                  <w:tcW w:w="6874" w:type="dxa"/>
                  <w:tcBorders>
                    <w:tl2br w:val="nil"/>
                    <w:tr2bl w:val="nil"/>
                  </w:tcBorders>
                  <w:noWrap w:val="0"/>
                  <w:vAlign w:val="center"/>
                </w:tcPr>
                <w:p w14:paraId="6DBBB17B">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both"/>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生铁是指含碳量大于2%的铁碳合金，根据生铁里碳存在形态的不同，又可分为炼钢生铁、铸造生铁和球墨铸铁等，其特点为坚硬、耐磨、铸造性好，但生铁脆，不能锻压。 工业生铁含碳量一般在2.11%--4.3%，并含C、Si、Mn、S、P等元素，是用铁矿石经高炉冶炼的产品。</w:t>
                  </w:r>
                </w:p>
              </w:tc>
            </w:tr>
            <w:tr w14:paraId="2817E91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0" w:type="auto"/>
                  <w:vAlign w:val="center"/>
                </w:tcPr>
                <w:p w14:paraId="3F2079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239" w:type="dxa"/>
                  <w:shd w:val="clear" w:color="auto" w:fill="auto"/>
                  <w:vAlign w:val="center"/>
                </w:tcPr>
                <w:p w14:paraId="0E9395E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海砂</w:t>
                  </w:r>
                </w:p>
              </w:tc>
              <w:tc>
                <w:tcPr>
                  <w:tcW w:w="6874" w:type="dxa"/>
                  <w:vAlign w:val="center"/>
                </w:tcPr>
                <w:p w14:paraId="12EE151B">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both"/>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海中的砂石。颗粒度较大的为砂，一般以厘米为单位；粒径较小的为沙，通常以毫米以单位；两者都是纯天然的，经海水冲刷、滚动、碰撞、打磨而成。</w:t>
                  </w:r>
                </w:p>
              </w:tc>
            </w:tr>
            <w:tr w14:paraId="342E23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0" w:type="auto"/>
                  <w:vAlign w:val="center"/>
                </w:tcPr>
                <w:p w14:paraId="5809F66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239" w:type="dxa"/>
                  <w:shd w:val="clear" w:color="auto" w:fill="auto"/>
                  <w:vAlign w:val="center"/>
                </w:tcPr>
                <w:p w14:paraId="54BD218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膨润土</w:t>
                  </w:r>
                </w:p>
              </w:tc>
              <w:tc>
                <w:tcPr>
                  <w:tcW w:w="6874" w:type="dxa"/>
                  <w:vAlign w:val="center"/>
                </w:tcPr>
                <w:p w14:paraId="5EB12CCE">
                  <w:pPr>
                    <w:keepNext w:val="0"/>
                    <w:keepLines w:val="0"/>
                    <w:pageBreakBefore w:val="0"/>
                    <w:widowControl/>
                    <w:kinsoku/>
                    <w:wordWrap/>
                    <w:overflowPunct/>
                    <w:topLinePunct w:val="0"/>
                    <w:autoSpaceDE w:val="0"/>
                    <w:autoSpaceDN w:val="0"/>
                    <w:bidi w:val="0"/>
                    <w:adjustRightInd w:val="0"/>
                    <w:snapToGrid w:val="0"/>
                    <w:spacing w:line="240" w:lineRule="auto"/>
                    <w:ind w:firstLine="420" w:firstLineChars="200"/>
                    <w:jc w:val="both"/>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膨润土，也叫斑脱岩，是以</w:t>
                  </w:r>
                  <w:r>
                    <w:rPr>
                      <w:rFonts w:hint="default" w:ascii="Times New Roman" w:hAnsi="Times New Roman" w:eastAsia="宋体" w:cs="Times New Roman"/>
                      <w:color w:val="auto"/>
                      <w:sz w:val="21"/>
                      <w:szCs w:val="21"/>
                      <w:lang w:val="en-US" w:eastAsia="zh-CN"/>
                    </w:rPr>
                    <w:fldChar w:fldCharType="begin"/>
                  </w:r>
                  <w:r>
                    <w:rPr>
                      <w:rFonts w:hint="default" w:ascii="Times New Roman" w:hAnsi="Times New Roman" w:eastAsia="宋体" w:cs="Times New Roman"/>
                      <w:color w:val="auto"/>
                      <w:sz w:val="21"/>
                      <w:szCs w:val="21"/>
                      <w:lang w:val="en-US" w:eastAsia="zh-CN"/>
                    </w:rPr>
                    <w:instrText xml:space="preserve"> HYPERLINK "https://baike.sogou.com/lemma/ShowInnerLink.htm?lemmaId=43684&amp;ss_c=ssc.citiao.link" \t "https://baike.sogou.com/_blank" </w:instrText>
                  </w:r>
                  <w:r>
                    <w:rPr>
                      <w:rFonts w:hint="default" w:ascii="Times New Roman" w:hAnsi="Times New Roman" w:eastAsia="宋体" w:cs="Times New Roman"/>
                      <w:color w:val="auto"/>
                      <w:sz w:val="21"/>
                      <w:szCs w:val="21"/>
                      <w:lang w:val="en-US" w:eastAsia="zh-CN"/>
                    </w:rPr>
                    <w:fldChar w:fldCharType="separate"/>
                  </w:r>
                  <w:r>
                    <w:rPr>
                      <w:rFonts w:hint="default" w:ascii="Times New Roman" w:hAnsi="Times New Roman" w:eastAsia="宋体" w:cs="Times New Roman"/>
                      <w:color w:val="auto"/>
                      <w:sz w:val="21"/>
                      <w:szCs w:val="21"/>
                      <w:lang w:val="en-US" w:eastAsia="zh-CN"/>
                    </w:rPr>
                    <w:t>蒙脱石</w:t>
                  </w:r>
                  <w:r>
                    <w:rPr>
                      <w:rFonts w:hint="default" w:ascii="Times New Roman" w:hAnsi="Times New Roman" w:eastAsia="宋体" w:cs="Times New Roman"/>
                      <w:color w:val="auto"/>
                      <w:sz w:val="21"/>
                      <w:szCs w:val="21"/>
                      <w:lang w:val="en-US" w:eastAsia="zh-CN"/>
                    </w:rPr>
                    <w:fldChar w:fldCharType="end"/>
                  </w:r>
                  <w:r>
                    <w:rPr>
                      <w:rFonts w:hint="default" w:ascii="Times New Roman" w:hAnsi="Times New Roman" w:eastAsia="宋体" w:cs="Times New Roman"/>
                      <w:color w:val="auto"/>
                      <w:sz w:val="21"/>
                      <w:szCs w:val="21"/>
                      <w:lang w:val="en-US" w:eastAsia="zh-CN"/>
                    </w:rPr>
                    <w:t>为主要矿物成分的非金属矿产，也是一种用途广泛的天然矿物材料。它由于有良好的物理化学性能，可做净化脱色剂、粘结剂、触变剂、悬浮剂、催化剂等，广泛用于农业、轻工业及化妆品、药品等领域。中国膨润土的储量居世界第一位，种类齐全，分布广。</w:t>
                  </w:r>
                </w:p>
              </w:tc>
            </w:tr>
          </w:tbl>
          <w:p w14:paraId="46ECA6C9">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七、公用工程</w:t>
            </w:r>
          </w:p>
          <w:p w14:paraId="51DC945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1、给排水</w:t>
            </w:r>
          </w:p>
          <w:p w14:paraId="24C9FF2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①给水</w:t>
            </w:r>
          </w:p>
          <w:p w14:paraId="4E7133F2">
            <w:pPr>
              <w:keepNext w:val="0"/>
              <w:keepLines w:val="0"/>
              <w:pageBreakBefore w:val="0"/>
              <w:widowControl/>
              <w:numPr>
                <w:ilvl w:val="0"/>
                <w:numId w:val="3"/>
              </w:numPr>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生活用水</w:t>
            </w:r>
          </w:p>
          <w:p w14:paraId="71CFDE56">
            <w:pPr>
              <w:keepNext w:val="0"/>
              <w:keepLines w:val="0"/>
              <w:pageBreakBefore w:val="0"/>
              <w:widowControl/>
              <w:numPr>
                <w:ilvl w:val="0"/>
                <w:numId w:val="0"/>
              </w:numPr>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w:t>
            </w:r>
            <w:r>
              <w:rPr>
                <w:rFonts w:hint="eastAsia" w:ascii="Times New Roman" w:hAnsi="Times New Roman" w:cs="Times New Roman"/>
                <w:color w:val="auto"/>
                <w:sz w:val="24"/>
                <w:szCs w:val="24"/>
                <w:highlight w:val="none"/>
                <w:lang w:val="en-US" w:eastAsia="zh-CN"/>
              </w:rPr>
              <w:t>不新增</w:t>
            </w:r>
            <w:r>
              <w:rPr>
                <w:rFonts w:hint="default" w:ascii="Times New Roman" w:hAnsi="Times New Roman" w:eastAsia="宋体" w:cs="Times New Roman"/>
                <w:color w:val="auto"/>
                <w:sz w:val="24"/>
                <w:szCs w:val="24"/>
                <w:highlight w:val="none"/>
              </w:rPr>
              <w:t>劳动定员，</w:t>
            </w:r>
            <w:r>
              <w:rPr>
                <w:rFonts w:hint="eastAsia" w:ascii="Times New Roman" w:hAnsi="Times New Roman" w:cs="Times New Roman"/>
                <w:color w:val="auto"/>
                <w:sz w:val="24"/>
                <w:szCs w:val="24"/>
                <w:highlight w:val="none"/>
                <w:lang w:val="en-US" w:eastAsia="zh-CN"/>
              </w:rPr>
              <w:t>无新增生活用水</w:t>
            </w:r>
            <w:r>
              <w:rPr>
                <w:rFonts w:hint="default" w:ascii="Times New Roman" w:hAnsi="Times New Roman" w:eastAsia="宋体" w:cs="Times New Roman"/>
                <w:color w:val="auto"/>
                <w:sz w:val="24"/>
                <w:szCs w:val="24"/>
                <w:highlight w:val="none"/>
              </w:rPr>
              <w:t>。</w:t>
            </w:r>
          </w:p>
          <w:p w14:paraId="731AC19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生产用水</w:t>
            </w:r>
          </w:p>
          <w:p w14:paraId="6105BC4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项目不新增生产用水（砂型铸造产能由4000t/a降为800t/a，混砂用水减少320m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p>
          <w:p w14:paraId="11D5A54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②排水</w:t>
            </w:r>
          </w:p>
          <w:p w14:paraId="7472B06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排水采用雨、污分流及清、污分流制，雨水单独收集后外排。</w:t>
            </w:r>
          </w:p>
          <w:p w14:paraId="03B7542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eastAsia" w:ascii="Times New Roman" w:hAnsi="Times New Roman" w:cs="Times New Roman"/>
                <w:color w:val="auto"/>
                <w:sz w:val="24"/>
                <w:szCs w:val="24"/>
                <w:highlight w:val="none"/>
                <w:lang w:val="en-US" w:eastAsia="zh-CN"/>
              </w:rPr>
              <w:t>无新增生产废水及生活污水产生</w:t>
            </w:r>
            <w:r>
              <w:rPr>
                <w:rFonts w:hint="default" w:ascii="Times New Roman" w:hAnsi="Times New Roman" w:eastAsia="宋体" w:cs="Times New Roman"/>
                <w:color w:val="auto"/>
                <w:sz w:val="24"/>
                <w:szCs w:val="24"/>
                <w:highlight w:val="none"/>
              </w:rPr>
              <w:t>。</w:t>
            </w:r>
          </w:p>
          <w:p w14:paraId="2DDA45BD">
            <w:pPr>
              <w:pStyle w:val="14"/>
              <w:ind w:left="0" w:leftChars="0" w:firstLine="0" w:firstLineChars="0"/>
              <w:jc w:val="center"/>
              <w:rPr>
                <w:rFonts w:hint="default"/>
                <w:color w:val="auto"/>
              </w:rPr>
            </w:pPr>
            <w:r>
              <w:rPr>
                <w:color w:val="auto"/>
              </w:rPr>
              <w:drawing>
                <wp:inline distT="0" distB="0" distL="114300" distR="114300">
                  <wp:extent cx="5295900" cy="27622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5295900" cy="2762250"/>
                          </a:xfrm>
                          <a:prstGeom prst="rect">
                            <a:avLst/>
                          </a:prstGeom>
                          <a:noFill/>
                          <a:ln>
                            <a:noFill/>
                          </a:ln>
                        </pic:spPr>
                      </pic:pic>
                    </a:graphicData>
                  </a:graphic>
                </wp:inline>
              </w:drawing>
            </w:r>
          </w:p>
          <w:p w14:paraId="014B742A">
            <w:pPr>
              <w:keepNext w:val="0"/>
              <w:keepLines w:val="0"/>
              <w:pageBreakBefore w:val="0"/>
              <w:widowControl/>
              <w:kinsoku w:val="0"/>
              <w:wordWrap/>
              <w:overflowPunct/>
              <w:topLinePunct w:val="0"/>
              <w:autoSpaceDE w:val="0"/>
              <w:autoSpaceDN w:val="0"/>
              <w:bidi w:val="0"/>
              <w:adjustRightInd w:val="0"/>
              <w:snapToGrid w:val="0"/>
              <w:spacing w:after="0" w:afterLines="30" w:line="240" w:lineRule="auto"/>
              <w:ind w:firstLine="0" w:firstLineChars="0"/>
              <w:jc w:val="center"/>
              <w:textAlignment w:val="baseline"/>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图2-</w:t>
            </w:r>
            <w:r>
              <w:rPr>
                <w:rFonts w:hint="eastAsia" w:ascii="Times New Roman" w:hAnsi="Times New Roman" w:cs="Times New Roman"/>
                <w:b/>
                <w:bCs/>
                <w:color w:val="auto"/>
                <w:sz w:val="24"/>
                <w:szCs w:val="24"/>
                <w:highlight w:val="none"/>
                <w:lang w:val="en-US" w:eastAsia="zh-CN"/>
              </w:rPr>
              <w:t xml:space="preserve">1 </w:t>
            </w:r>
            <w:r>
              <w:rPr>
                <w:rFonts w:hint="eastAsia" w:ascii="Times New Roman" w:hAnsi="Times New Roman" w:eastAsia="宋体" w:cs="Times New Roman"/>
                <w:b/>
                <w:bCs/>
                <w:color w:val="auto"/>
                <w:sz w:val="24"/>
                <w:szCs w:val="24"/>
                <w:highlight w:val="none"/>
                <w:lang w:val="en-US" w:eastAsia="zh-CN"/>
              </w:rPr>
              <w:t>技改后全厂</w:t>
            </w:r>
            <w:r>
              <w:rPr>
                <w:rFonts w:hint="default" w:ascii="Times New Roman" w:hAnsi="Times New Roman" w:eastAsia="宋体" w:cs="Times New Roman"/>
                <w:b/>
                <w:bCs/>
                <w:color w:val="auto"/>
                <w:sz w:val="24"/>
                <w:szCs w:val="24"/>
                <w:highlight w:val="none"/>
              </w:rPr>
              <w:t>水平衡图（单位：m</w:t>
            </w:r>
            <w:r>
              <w:rPr>
                <w:rFonts w:hint="default" w:ascii="Times New Roman" w:hAnsi="Times New Roman" w:eastAsia="宋体" w:cs="Times New Roman"/>
                <w:b/>
                <w:bCs/>
                <w:color w:val="auto"/>
                <w:sz w:val="24"/>
                <w:szCs w:val="24"/>
                <w:highlight w:val="none"/>
                <w:vertAlign w:val="superscript"/>
              </w:rPr>
              <w:t>3</w:t>
            </w:r>
            <w:r>
              <w:rPr>
                <w:rFonts w:hint="default" w:ascii="Times New Roman" w:hAnsi="Times New Roman" w:eastAsia="宋体" w:cs="Times New Roman"/>
                <w:b/>
                <w:bCs/>
                <w:color w:val="auto"/>
                <w:sz w:val="24"/>
                <w:szCs w:val="24"/>
                <w:highlight w:val="none"/>
              </w:rPr>
              <w:t>/a）</w:t>
            </w:r>
          </w:p>
          <w:p w14:paraId="6FBF41A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2、供电：项目用电由供电管网供给，年用电量</w:t>
            </w:r>
            <w:r>
              <w:rPr>
                <w:rFonts w:hint="eastAsia" w:ascii="Times New Roman" w:hAnsi="Times New Roman" w:cs="Times New Roman"/>
                <w:color w:val="auto"/>
                <w:sz w:val="24"/>
                <w:szCs w:val="24"/>
                <w:lang w:val="en-US" w:eastAsia="zh-CN"/>
              </w:rPr>
              <w:t>350</w:t>
            </w:r>
            <w:r>
              <w:rPr>
                <w:rFonts w:hint="default" w:ascii="Times New Roman" w:hAnsi="Times New Roman" w:eastAsia="宋体" w:cs="Times New Roman"/>
                <w:color w:val="auto"/>
                <w:sz w:val="24"/>
                <w:szCs w:val="24"/>
              </w:rPr>
              <w:t>万kWh。</w:t>
            </w:r>
          </w:p>
          <w:p w14:paraId="2FB3081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3、供暖：项目冬季办公室采用空调供暖。</w:t>
            </w:r>
          </w:p>
          <w:p w14:paraId="7FA25B8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八、职工人数及工作制度</w:t>
            </w:r>
          </w:p>
          <w:p w14:paraId="1A762E0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eastAsia" w:ascii="Times New Roman" w:hAnsi="Times New Roman" w:cs="Times New Roman"/>
                <w:color w:val="auto"/>
                <w:sz w:val="24"/>
                <w:szCs w:val="24"/>
                <w:lang w:val="en-US" w:eastAsia="zh-CN"/>
              </w:rPr>
              <w:t>不新增</w:t>
            </w:r>
            <w:r>
              <w:rPr>
                <w:rFonts w:hint="default" w:ascii="Times New Roman" w:hAnsi="Times New Roman" w:eastAsia="宋体" w:cs="Times New Roman"/>
                <w:color w:val="auto"/>
                <w:sz w:val="24"/>
                <w:szCs w:val="24"/>
              </w:rPr>
              <w:t>劳动定员，全年营运300天，每天工作8h，年工作2400h。</w:t>
            </w:r>
          </w:p>
          <w:p w14:paraId="6F5C8E1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九、平面布置分析</w:t>
            </w:r>
          </w:p>
          <w:p w14:paraId="7E846D5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本项目总占地</w:t>
            </w:r>
            <w:r>
              <w:rPr>
                <w:rFonts w:hint="default" w:ascii="Times New Roman" w:hAnsi="Times New Roman" w:eastAsia="宋体" w:cs="Times New Roman"/>
                <w:color w:val="auto"/>
                <w:sz w:val="24"/>
                <w:szCs w:val="24"/>
                <w:highlight w:val="none"/>
              </w:rPr>
              <w:t>面积</w:t>
            </w:r>
            <w:r>
              <w:rPr>
                <w:rFonts w:hint="eastAsia" w:ascii="Times New Roman" w:hAnsi="Times New Roman"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rPr>
              <w:t>00m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rPr>
              <w:t>厂区平面布置情况见附图。项目总平面布置严格执行国家颁布的防火、采光、安全等规范，满足工艺要求，并力求做到物流运输简捷，生产联系通畅，尽可能节约用地。各设备按照工艺流程依次布置，利于生产，便于管理，节约投资。综上所述，本项目平面布置合理。</w:t>
            </w:r>
          </w:p>
        </w:tc>
      </w:tr>
      <w:tr w14:paraId="78B19B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72" w:hRule="atLeast"/>
          <w:jc w:val="center"/>
        </w:trPr>
        <w:tc>
          <w:tcPr>
            <w:tcW w:w="431" w:type="dxa"/>
            <w:tcBorders>
              <w:right w:val="single" w:color="000000" w:sz="8" w:space="0"/>
            </w:tcBorders>
            <w:vAlign w:val="center"/>
          </w:tcPr>
          <w:p w14:paraId="2C590678">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工艺流程和产排污环节</w:t>
            </w:r>
          </w:p>
        </w:tc>
        <w:tc>
          <w:tcPr>
            <w:tcW w:w="9433" w:type="dxa"/>
            <w:tcBorders>
              <w:left w:val="single" w:color="000000" w:sz="8" w:space="0"/>
            </w:tcBorders>
            <w:vAlign w:val="top"/>
          </w:tcPr>
          <w:p w14:paraId="297626C8">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一、施工期</w:t>
            </w:r>
          </w:p>
          <w:p w14:paraId="7632E879">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本项目属于</w:t>
            </w:r>
            <w:r>
              <w:rPr>
                <w:rFonts w:hint="eastAsia" w:ascii="Times New Roman" w:hAnsi="Times New Roman" w:cs="Times New Roman"/>
                <w:color w:val="auto"/>
                <w:sz w:val="24"/>
                <w:szCs w:val="32"/>
                <w:lang w:val="en-US" w:eastAsia="zh-CN"/>
              </w:rPr>
              <w:t>技改</w:t>
            </w:r>
            <w:r>
              <w:rPr>
                <w:rFonts w:hint="default" w:ascii="Times New Roman" w:hAnsi="Times New Roman" w:cs="Times New Roman"/>
                <w:color w:val="auto"/>
                <w:sz w:val="24"/>
                <w:szCs w:val="32"/>
                <w:lang w:val="en-US" w:eastAsia="zh-CN"/>
              </w:rPr>
              <w:t>项目，其环境影响期包括项目施工期和营运期。项目</w:t>
            </w:r>
            <w:r>
              <w:rPr>
                <w:rFonts w:hint="eastAsia" w:ascii="Times New Roman" w:hAnsi="Times New Roman" w:cs="Times New Roman"/>
                <w:color w:val="auto"/>
                <w:sz w:val="24"/>
                <w:szCs w:val="32"/>
                <w:lang w:val="en-US" w:eastAsia="zh-CN"/>
              </w:rPr>
              <w:t>依托</w:t>
            </w:r>
            <w:r>
              <w:rPr>
                <w:rFonts w:hint="default" w:ascii="Times New Roman" w:hAnsi="Times New Roman" w:cs="Times New Roman"/>
                <w:color w:val="auto"/>
                <w:sz w:val="24"/>
                <w:szCs w:val="32"/>
                <w:lang w:val="en-US" w:eastAsia="zh-CN"/>
              </w:rPr>
              <w:t>现有车间，新建一座</w:t>
            </w:r>
            <w:r>
              <w:rPr>
                <w:rFonts w:hint="eastAsia" w:ascii="Times New Roman" w:hAnsi="Times New Roman" w:cs="Times New Roman"/>
                <w:color w:val="auto"/>
                <w:sz w:val="24"/>
                <w:szCs w:val="32"/>
                <w:lang w:val="en-US" w:eastAsia="zh-CN"/>
              </w:rPr>
              <w:t>仓库</w:t>
            </w:r>
            <w:r>
              <w:rPr>
                <w:rFonts w:hint="default" w:ascii="Times New Roman" w:hAnsi="Times New Roman" w:cs="Times New Roman"/>
                <w:color w:val="auto"/>
                <w:sz w:val="24"/>
                <w:szCs w:val="32"/>
                <w:lang w:val="en-US" w:eastAsia="zh-CN"/>
              </w:rPr>
              <w:t>。施工期间清理场地、地基开挖、基础工程、主体工程、装修工程等建设工序将产生噪音、扬尘、固体废弃物、少量污水和废气等污染物。</w:t>
            </w:r>
          </w:p>
          <w:p w14:paraId="5B0377BD">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rFonts w:hint="default" w:ascii="Times New Roman" w:hAnsi="Times New Roman" w:cs="Times New Roman"/>
                <w:b/>
                <w:bCs/>
                <w:color w:val="auto"/>
                <w:lang w:val="en-US" w:eastAsia="zh-CN"/>
              </w:rPr>
            </w:pPr>
            <w:r>
              <w:rPr>
                <w:rFonts w:hint="default" w:ascii="Times New Roman" w:hAnsi="Times New Roman" w:eastAsia="新宋体" w:cs="Times New Roman"/>
                <w:color w:val="auto"/>
              </w:rPr>
              <mc:AlternateContent>
                <mc:Choice Requires="wpg">
                  <w:drawing>
                    <wp:anchor distT="0" distB="0" distL="114300" distR="114300" simplePos="0" relativeHeight="251670528" behindDoc="1" locked="0" layoutInCell="1" allowOverlap="1">
                      <wp:simplePos x="0" y="0"/>
                      <wp:positionH relativeFrom="column">
                        <wp:posOffset>-31750</wp:posOffset>
                      </wp:positionH>
                      <wp:positionV relativeFrom="paragraph">
                        <wp:posOffset>160655</wp:posOffset>
                      </wp:positionV>
                      <wp:extent cx="5715000" cy="5109210"/>
                      <wp:effectExtent l="4445" t="8255" r="14605" b="6985"/>
                      <wp:wrapNone/>
                      <wp:docPr id="105" name="组合 105"/>
                      <wp:cNvGraphicFramePr/>
                      <a:graphic xmlns:a="http://schemas.openxmlformats.org/drawingml/2006/main">
                        <a:graphicData uri="http://schemas.microsoft.com/office/word/2010/wordprocessingGroup">
                          <wpg:wgp>
                            <wpg:cNvGrpSpPr>
                              <a:grpSpLocks noRot="1"/>
                            </wpg:cNvGrpSpPr>
                            <wpg:grpSpPr>
                              <a:xfrm>
                                <a:off x="0" y="0"/>
                                <a:ext cx="5715000" cy="5109210"/>
                                <a:chOff x="0" y="0"/>
                                <a:chExt cx="7826" cy="6658"/>
                              </a:xfrm>
                            </wpg:grpSpPr>
                            <wps:wsp>
                              <wps:cNvPr id="4" name="矩形 4"/>
                              <wps:cNvSpPr>
                                <a:spLocks noChangeAspect="1" noTextEdit="1"/>
                              </wps:cNvSpPr>
                              <wps:spPr>
                                <a:xfrm>
                                  <a:off x="0" y="0"/>
                                  <a:ext cx="7826" cy="6658"/>
                                </a:xfrm>
                                <a:prstGeom prst="rect">
                                  <a:avLst/>
                                </a:prstGeom>
                                <a:noFill/>
                                <a:ln w="0" cap="flat" cmpd="sng">
                                  <a:solidFill>
                                    <a:srgbClr val="FFFFFF"/>
                                  </a:solidFill>
                                  <a:prstDash val="solid"/>
                                  <a:miter/>
                                  <a:headEnd type="none" w="med" len="med"/>
                                  <a:tailEnd type="none" w="med" len="med"/>
                                </a:ln>
                              </wps:spPr>
                              <wps:bodyPr upright="1"/>
                            </wps:wsp>
                            <wps:wsp>
                              <wps:cNvPr id="17" name="矩形 17"/>
                              <wps:cNvSpPr/>
                              <wps:spPr>
                                <a:xfrm>
                                  <a:off x="313" y="1359"/>
                                  <a:ext cx="1251" cy="429"/>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14:paraId="010EC8D6">
                                    <w:pPr>
                                      <w:ind w:left="178" w:leftChars="-1" w:right="-341" w:rightChars="-142" w:hanging="180"/>
                                      <w:rPr>
                                        <w:rFonts w:hint="eastAsia" w:ascii="仿宋_GB2312" w:eastAsia="仿宋_GB2312"/>
                                        <w:b/>
                                        <w:sz w:val="24"/>
                                      </w:rPr>
                                    </w:pPr>
                                    <w:r>
                                      <w:rPr>
                                        <w:rFonts w:hint="eastAsia" w:ascii="仿宋_GB2312" w:eastAsia="仿宋_GB2312"/>
                                        <w:b/>
                                        <w:sz w:val="24"/>
                                      </w:rPr>
                                      <w:t>基础工程</w:t>
                                    </w:r>
                                  </w:p>
                                </w:txbxContent>
                              </wps:txbx>
                              <wps:bodyPr upright="1"/>
                            </wps:wsp>
                            <wps:wsp>
                              <wps:cNvPr id="21" name="矩形 21"/>
                              <wps:cNvSpPr/>
                              <wps:spPr>
                                <a:xfrm>
                                  <a:off x="313" y="2310"/>
                                  <a:ext cx="1251" cy="430"/>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14:paraId="584E38AC">
                                    <w:pPr>
                                      <w:jc w:val="center"/>
                                      <w:rPr>
                                        <w:rFonts w:hint="eastAsia" w:ascii="仿宋_GB2312" w:eastAsia="仿宋_GB2312"/>
                                        <w:b/>
                                        <w:sz w:val="24"/>
                                      </w:rPr>
                                    </w:pPr>
                                    <w:r>
                                      <w:rPr>
                                        <w:rFonts w:hint="eastAsia" w:ascii="仿宋_GB2312" w:eastAsia="仿宋_GB2312"/>
                                        <w:b/>
                                        <w:sz w:val="24"/>
                                      </w:rPr>
                                      <w:t>主体工程</w:t>
                                    </w:r>
                                  </w:p>
                                  <w:p w14:paraId="4BA93195">
                                    <w:pPr>
                                      <w:jc w:val="center"/>
                                      <w:rPr>
                                        <w:rFonts w:hint="eastAsia"/>
                                      </w:rPr>
                                    </w:pPr>
                                  </w:p>
                                </w:txbxContent>
                              </wps:txbx>
                              <wps:bodyPr upright="1"/>
                            </wps:wsp>
                            <wps:wsp>
                              <wps:cNvPr id="31" name="矩形 31"/>
                              <wps:cNvSpPr/>
                              <wps:spPr>
                                <a:xfrm>
                                  <a:off x="313" y="3261"/>
                                  <a:ext cx="1252" cy="429"/>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14:paraId="25102F5F">
                                    <w:pPr>
                                      <w:jc w:val="center"/>
                                      <w:rPr>
                                        <w:rFonts w:hint="eastAsia" w:ascii="仿宋_GB2312" w:eastAsia="仿宋_GB2312"/>
                                        <w:b/>
                                        <w:sz w:val="24"/>
                                      </w:rPr>
                                    </w:pPr>
                                    <w:r>
                                      <w:rPr>
                                        <w:rFonts w:hint="eastAsia" w:ascii="仿宋_GB2312" w:eastAsia="仿宋_GB2312"/>
                                        <w:b/>
                                        <w:sz w:val="24"/>
                                      </w:rPr>
                                      <w:t>装饰工程</w:t>
                                    </w:r>
                                  </w:p>
                                </w:txbxContent>
                              </wps:txbx>
                              <wps:bodyPr upright="1"/>
                            </wps:wsp>
                            <wps:wsp>
                              <wps:cNvPr id="32" name="矩形 32"/>
                              <wps:cNvSpPr/>
                              <wps:spPr>
                                <a:xfrm>
                                  <a:off x="313" y="4212"/>
                                  <a:ext cx="1252" cy="430"/>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14:paraId="60AFA4BA">
                                    <w:pPr>
                                      <w:jc w:val="center"/>
                                      <w:rPr>
                                        <w:rFonts w:hint="eastAsia" w:ascii="仿宋_GB2312" w:eastAsia="仿宋_GB2312"/>
                                        <w:b/>
                                        <w:sz w:val="24"/>
                                      </w:rPr>
                                    </w:pPr>
                                    <w:r>
                                      <w:rPr>
                                        <w:rFonts w:hint="eastAsia" w:ascii="仿宋_GB2312" w:eastAsia="仿宋_GB2312"/>
                                        <w:b/>
                                        <w:sz w:val="24"/>
                                      </w:rPr>
                                      <w:t>设施安装</w:t>
                                    </w:r>
                                  </w:p>
                                </w:txbxContent>
                              </wps:txbx>
                              <wps:bodyPr upright="1"/>
                            </wps:wsp>
                            <wps:wsp>
                              <wps:cNvPr id="34" name="直接连接符 34"/>
                              <wps:cNvCnPr/>
                              <wps:spPr>
                                <a:xfrm>
                                  <a:off x="940" y="1767"/>
                                  <a:ext cx="0" cy="544"/>
                                </a:xfrm>
                                <a:prstGeom prst="line">
                                  <a:avLst/>
                                </a:prstGeom>
                                <a:ln w="9525" cap="flat" cmpd="sng">
                                  <a:solidFill>
                                    <a:srgbClr val="000000"/>
                                  </a:solidFill>
                                  <a:prstDash val="solid"/>
                                  <a:headEnd type="none" w="med" len="med"/>
                                  <a:tailEnd type="triangle" w="med" len="med"/>
                                </a:ln>
                              </wps:spPr>
                              <wps:bodyPr upright="1"/>
                            </wps:wsp>
                            <wps:wsp>
                              <wps:cNvPr id="39" name="直接连接符 39"/>
                              <wps:cNvCnPr/>
                              <wps:spPr>
                                <a:xfrm>
                                  <a:off x="940" y="2718"/>
                                  <a:ext cx="0" cy="544"/>
                                </a:xfrm>
                                <a:prstGeom prst="line">
                                  <a:avLst/>
                                </a:prstGeom>
                                <a:ln w="9525" cap="flat" cmpd="sng">
                                  <a:solidFill>
                                    <a:srgbClr val="000000"/>
                                  </a:solidFill>
                                  <a:prstDash val="solid"/>
                                  <a:headEnd type="none" w="med" len="med"/>
                                  <a:tailEnd type="triangle" w="med" len="med"/>
                                </a:ln>
                              </wps:spPr>
                              <wps:bodyPr upright="1"/>
                            </wps:wsp>
                            <wps:wsp>
                              <wps:cNvPr id="41" name="直接连接符 41"/>
                              <wps:cNvCnPr/>
                              <wps:spPr>
                                <a:xfrm>
                                  <a:off x="940" y="3669"/>
                                  <a:ext cx="0" cy="544"/>
                                </a:xfrm>
                                <a:prstGeom prst="line">
                                  <a:avLst/>
                                </a:prstGeom>
                                <a:ln w="9525" cap="flat" cmpd="sng">
                                  <a:solidFill>
                                    <a:srgbClr val="000000"/>
                                  </a:solidFill>
                                  <a:prstDash val="solid"/>
                                  <a:headEnd type="none" w="med" len="med"/>
                                  <a:tailEnd type="triangle" w="med" len="med"/>
                                </a:ln>
                              </wps:spPr>
                              <wps:bodyPr upright="1"/>
                            </wps:wsp>
                            <wps:wsp>
                              <wps:cNvPr id="42" name="直接连接符 42"/>
                              <wps:cNvCnPr/>
                              <wps:spPr>
                                <a:xfrm>
                                  <a:off x="940" y="4620"/>
                                  <a:ext cx="0" cy="408"/>
                                </a:xfrm>
                                <a:prstGeom prst="line">
                                  <a:avLst/>
                                </a:prstGeom>
                                <a:ln w="9525" cap="flat" cmpd="sng">
                                  <a:solidFill>
                                    <a:srgbClr val="000000"/>
                                  </a:solidFill>
                                  <a:prstDash val="solid"/>
                                  <a:headEnd type="none" w="med" len="med"/>
                                  <a:tailEnd type="triangle" w="med" len="med"/>
                                </a:ln>
                              </wps:spPr>
                              <wps:bodyPr upright="1"/>
                            </wps:wsp>
                            <wps:wsp>
                              <wps:cNvPr id="44" name="矩形 44"/>
                              <wps:cNvSpPr/>
                              <wps:spPr>
                                <a:xfrm>
                                  <a:off x="313" y="5027"/>
                                  <a:ext cx="1251" cy="430"/>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14:paraId="1146F840">
                                    <w:pPr>
                                      <w:jc w:val="center"/>
                                      <w:rPr>
                                        <w:rFonts w:hint="eastAsia" w:ascii="仿宋_GB2312" w:eastAsia="仿宋_GB2312"/>
                                        <w:b/>
                                        <w:sz w:val="24"/>
                                      </w:rPr>
                                    </w:pPr>
                                    <w:r>
                                      <w:rPr>
                                        <w:rFonts w:hint="eastAsia" w:ascii="仿宋_GB2312" w:eastAsia="仿宋_GB2312"/>
                                        <w:b/>
                                        <w:sz w:val="24"/>
                                      </w:rPr>
                                      <w:t>工程验收</w:t>
                                    </w:r>
                                  </w:p>
                                </w:txbxContent>
                              </wps:txbx>
                              <wps:bodyPr upright="1"/>
                            </wps:wsp>
                            <wps:wsp>
                              <wps:cNvPr id="45" name="矩形 45"/>
                              <wps:cNvSpPr/>
                              <wps:spPr>
                                <a:xfrm>
                                  <a:off x="313" y="6114"/>
                                  <a:ext cx="1251" cy="430"/>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14:paraId="7813EC36">
                                    <w:pPr>
                                      <w:jc w:val="center"/>
                                      <w:rPr>
                                        <w:rFonts w:hint="eastAsia" w:ascii="仿宋_GB2312" w:eastAsia="仿宋_GB2312"/>
                                        <w:b/>
                                        <w:sz w:val="24"/>
                                      </w:rPr>
                                    </w:pPr>
                                    <w:r>
                                      <w:rPr>
                                        <w:rFonts w:hint="eastAsia" w:ascii="仿宋_GB2312" w:eastAsia="仿宋_GB2312"/>
                                        <w:b/>
                                        <w:sz w:val="24"/>
                                      </w:rPr>
                                      <w:t>工程运营</w:t>
                                    </w:r>
                                  </w:p>
                                </w:txbxContent>
                              </wps:txbx>
                              <wps:bodyPr upright="1"/>
                            </wps:wsp>
                            <wps:wsp>
                              <wps:cNvPr id="46" name="直接连接符 46"/>
                              <wps:cNvCnPr/>
                              <wps:spPr>
                                <a:xfrm>
                                  <a:off x="939" y="5436"/>
                                  <a:ext cx="0" cy="679"/>
                                </a:xfrm>
                                <a:prstGeom prst="line">
                                  <a:avLst/>
                                </a:prstGeom>
                                <a:ln w="9525" cap="flat" cmpd="sng">
                                  <a:solidFill>
                                    <a:srgbClr val="000000"/>
                                  </a:solidFill>
                                  <a:prstDash val="solid"/>
                                  <a:headEnd type="none" w="med" len="med"/>
                                  <a:tailEnd type="triangle" w="med" len="med"/>
                                </a:ln>
                              </wps:spPr>
                              <wps:bodyPr upright="1"/>
                            </wps:wsp>
                            <wps:wsp>
                              <wps:cNvPr id="50" name="直接连接符 50"/>
                              <wps:cNvCnPr/>
                              <wps:spPr>
                                <a:xfrm>
                                  <a:off x="938" y="817"/>
                                  <a:ext cx="0" cy="544"/>
                                </a:xfrm>
                                <a:prstGeom prst="line">
                                  <a:avLst/>
                                </a:prstGeom>
                                <a:ln w="9525" cap="flat" cmpd="sng">
                                  <a:solidFill>
                                    <a:srgbClr val="000000"/>
                                  </a:solidFill>
                                  <a:prstDash val="solid"/>
                                  <a:headEnd type="none" w="med" len="med"/>
                                  <a:tailEnd type="triangle" w="med" len="med"/>
                                </a:ln>
                              </wps:spPr>
                              <wps:bodyPr upright="1"/>
                            </wps:wsp>
                            <wps:wsp>
                              <wps:cNvPr id="51" name="矩形 51"/>
                              <wps:cNvSpPr/>
                              <wps:spPr>
                                <a:xfrm>
                                  <a:off x="313" y="410"/>
                                  <a:ext cx="1251" cy="429"/>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14:paraId="323F32C5">
                                    <w:pPr>
                                      <w:jc w:val="center"/>
                                      <w:rPr>
                                        <w:rFonts w:hint="eastAsia" w:ascii="仿宋_GB2312" w:eastAsia="仿宋_GB2312"/>
                                        <w:b/>
                                        <w:sz w:val="24"/>
                                      </w:rPr>
                                    </w:pPr>
                                    <w:r>
                                      <w:rPr>
                                        <w:rFonts w:hint="eastAsia" w:ascii="仿宋_GB2312" w:eastAsia="仿宋_GB2312"/>
                                        <w:b/>
                                        <w:sz w:val="24"/>
                                      </w:rPr>
                                      <w:t>地基开挖</w:t>
                                    </w:r>
                                  </w:p>
                                </w:txbxContent>
                              </wps:txbx>
                              <wps:bodyPr upright="1"/>
                            </wps:wsp>
                            <wps:wsp>
                              <wps:cNvPr id="55" name="直接连接符 55"/>
                              <wps:cNvCnPr/>
                              <wps:spPr>
                                <a:xfrm>
                                  <a:off x="1565" y="680"/>
                                  <a:ext cx="470" cy="0"/>
                                </a:xfrm>
                                <a:prstGeom prst="line">
                                  <a:avLst/>
                                </a:prstGeom>
                                <a:ln w="9525" cap="flat" cmpd="sng">
                                  <a:solidFill>
                                    <a:srgbClr val="000000"/>
                                  </a:solidFill>
                                  <a:prstDash val="solid"/>
                                  <a:headEnd type="none" w="med" len="med"/>
                                  <a:tailEnd type="none" w="med" len="med"/>
                                </a:ln>
                              </wps:spPr>
                              <wps:bodyPr upright="1"/>
                            </wps:wsp>
                            <wps:wsp>
                              <wps:cNvPr id="56" name="直接连接符 56"/>
                              <wps:cNvCnPr/>
                              <wps:spPr>
                                <a:xfrm>
                                  <a:off x="2035" y="680"/>
                                  <a:ext cx="0" cy="3668"/>
                                </a:xfrm>
                                <a:prstGeom prst="line">
                                  <a:avLst/>
                                </a:prstGeom>
                                <a:ln w="9525" cap="flat" cmpd="sng">
                                  <a:solidFill>
                                    <a:srgbClr val="000000"/>
                                  </a:solidFill>
                                  <a:prstDash val="solid"/>
                                  <a:headEnd type="none" w="med" len="med"/>
                                  <a:tailEnd type="none" w="med" len="med"/>
                                </a:ln>
                              </wps:spPr>
                              <wps:bodyPr upright="1"/>
                            </wps:wsp>
                            <wps:wsp>
                              <wps:cNvPr id="58" name="直接连接符 58"/>
                              <wps:cNvCnPr/>
                              <wps:spPr>
                                <a:xfrm>
                                  <a:off x="1565" y="4348"/>
                                  <a:ext cx="470" cy="0"/>
                                </a:xfrm>
                                <a:prstGeom prst="line">
                                  <a:avLst/>
                                </a:prstGeom>
                                <a:ln w="9525" cap="flat" cmpd="sng">
                                  <a:solidFill>
                                    <a:srgbClr val="000000"/>
                                  </a:solidFill>
                                  <a:prstDash val="solid"/>
                                  <a:headEnd type="none" w="med" len="med"/>
                                  <a:tailEnd type="none" w="med" len="med"/>
                                </a:ln>
                              </wps:spPr>
                              <wps:bodyPr upright="1"/>
                            </wps:wsp>
                            <wps:wsp>
                              <wps:cNvPr id="59" name="直接连接符 59"/>
                              <wps:cNvCnPr/>
                              <wps:spPr>
                                <a:xfrm>
                                  <a:off x="1565" y="3533"/>
                                  <a:ext cx="470" cy="1"/>
                                </a:xfrm>
                                <a:prstGeom prst="line">
                                  <a:avLst/>
                                </a:prstGeom>
                                <a:ln w="9525" cap="flat" cmpd="sng">
                                  <a:solidFill>
                                    <a:srgbClr val="000000"/>
                                  </a:solidFill>
                                  <a:prstDash val="solid"/>
                                  <a:headEnd type="none" w="med" len="med"/>
                                  <a:tailEnd type="none" w="med" len="med"/>
                                </a:ln>
                              </wps:spPr>
                              <wps:bodyPr upright="1"/>
                            </wps:wsp>
                            <wps:wsp>
                              <wps:cNvPr id="60" name="直接连接符 60"/>
                              <wps:cNvCnPr/>
                              <wps:spPr>
                                <a:xfrm>
                                  <a:off x="1565" y="2582"/>
                                  <a:ext cx="470" cy="1"/>
                                </a:xfrm>
                                <a:prstGeom prst="line">
                                  <a:avLst/>
                                </a:prstGeom>
                                <a:ln w="9525" cap="flat" cmpd="sng">
                                  <a:solidFill>
                                    <a:srgbClr val="000000"/>
                                  </a:solidFill>
                                  <a:prstDash val="solid"/>
                                  <a:headEnd type="none" w="med" len="med"/>
                                  <a:tailEnd type="none" w="med" len="med"/>
                                </a:ln>
                              </wps:spPr>
                              <wps:bodyPr upright="1"/>
                            </wps:wsp>
                            <wps:wsp>
                              <wps:cNvPr id="61" name="直接连接符 61"/>
                              <wps:cNvCnPr/>
                              <wps:spPr>
                                <a:xfrm>
                                  <a:off x="1565" y="1631"/>
                                  <a:ext cx="470" cy="0"/>
                                </a:xfrm>
                                <a:prstGeom prst="line">
                                  <a:avLst/>
                                </a:prstGeom>
                                <a:ln w="9525" cap="flat" cmpd="sng">
                                  <a:solidFill>
                                    <a:srgbClr val="000000"/>
                                  </a:solidFill>
                                  <a:prstDash val="solid"/>
                                  <a:headEnd type="none" w="med" len="med"/>
                                  <a:tailEnd type="none" w="med" len="med"/>
                                </a:ln>
                              </wps:spPr>
                              <wps:bodyPr upright="1"/>
                            </wps:wsp>
                            <wps:wsp>
                              <wps:cNvPr id="62" name="直接连接符 62"/>
                              <wps:cNvCnPr/>
                              <wps:spPr>
                                <a:xfrm>
                                  <a:off x="2035" y="4077"/>
                                  <a:ext cx="313" cy="0"/>
                                </a:xfrm>
                                <a:prstGeom prst="line">
                                  <a:avLst/>
                                </a:prstGeom>
                                <a:ln w="9525" cap="flat" cmpd="sng">
                                  <a:solidFill>
                                    <a:srgbClr val="000000"/>
                                  </a:solidFill>
                                  <a:prstDash val="solid"/>
                                  <a:headEnd type="none" w="med" len="med"/>
                                  <a:tailEnd type="none" w="med" len="med"/>
                                </a:ln>
                              </wps:spPr>
                              <wps:bodyPr upright="1"/>
                            </wps:wsp>
                            <wps:wsp>
                              <wps:cNvPr id="63" name="直接连接符 63"/>
                              <wps:cNvCnPr/>
                              <wps:spPr>
                                <a:xfrm>
                                  <a:off x="1565" y="5164"/>
                                  <a:ext cx="783" cy="0"/>
                                </a:xfrm>
                                <a:prstGeom prst="line">
                                  <a:avLst/>
                                </a:prstGeom>
                                <a:ln w="9525" cap="flat" cmpd="sng">
                                  <a:solidFill>
                                    <a:srgbClr val="000000"/>
                                  </a:solidFill>
                                  <a:prstDash val="solid"/>
                                  <a:headEnd type="none" w="med" len="med"/>
                                  <a:tailEnd type="none" w="med" len="med"/>
                                </a:ln>
                              </wps:spPr>
                              <wps:bodyPr upright="1"/>
                            </wps:wsp>
                            <wps:wsp>
                              <wps:cNvPr id="64" name="直接连接符 64"/>
                              <wps:cNvCnPr/>
                              <wps:spPr>
                                <a:xfrm>
                                  <a:off x="2348" y="4077"/>
                                  <a:ext cx="0" cy="1087"/>
                                </a:xfrm>
                                <a:prstGeom prst="line">
                                  <a:avLst/>
                                </a:prstGeom>
                                <a:ln w="9525" cap="flat" cmpd="sng">
                                  <a:solidFill>
                                    <a:srgbClr val="000000"/>
                                  </a:solidFill>
                                  <a:prstDash val="solid"/>
                                  <a:headEnd type="none" w="med" len="med"/>
                                  <a:tailEnd type="none" w="med" len="med"/>
                                </a:ln>
                              </wps:spPr>
                              <wps:bodyPr upright="1"/>
                            </wps:wsp>
                            <wps:wsp>
                              <wps:cNvPr id="65" name="直接连接符 65"/>
                              <wps:cNvCnPr/>
                              <wps:spPr>
                                <a:xfrm>
                                  <a:off x="2035" y="1767"/>
                                  <a:ext cx="1252" cy="0"/>
                                </a:xfrm>
                                <a:prstGeom prst="line">
                                  <a:avLst/>
                                </a:prstGeom>
                                <a:ln w="9525" cap="flat" cmpd="sng">
                                  <a:solidFill>
                                    <a:srgbClr val="000000"/>
                                  </a:solidFill>
                                  <a:prstDash val="solid"/>
                                  <a:headEnd type="none" w="med" len="med"/>
                                  <a:tailEnd type="triangle" w="med" len="med"/>
                                </a:ln>
                              </wps:spPr>
                              <wps:bodyPr upright="1"/>
                            </wps:wsp>
                            <wps:wsp>
                              <wps:cNvPr id="66" name="直接连接符 66"/>
                              <wps:cNvCnPr/>
                              <wps:spPr>
                                <a:xfrm>
                                  <a:off x="2035" y="2718"/>
                                  <a:ext cx="1252" cy="0"/>
                                </a:xfrm>
                                <a:prstGeom prst="line">
                                  <a:avLst/>
                                </a:prstGeom>
                                <a:ln w="9525" cap="flat" cmpd="sng">
                                  <a:solidFill>
                                    <a:srgbClr val="000000"/>
                                  </a:solidFill>
                                  <a:prstDash val="solid"/>
                                  <a:headEnd type="none" w="med" len="med"/>
                                  <a:tailEnd type="triangle" w="med" len="med"/>
                                </a:ln>
                              </wps:spPr>
                              <wps:bodyPr upright="1"/>
                            </wps:wsp>
                            <wps:wsp>
                              <wps:cNvPr id="67" name="直接连接符 67"/>
                              <wps:cNvCnPr/>
                              <wps:spPr>
                                <a:xfrm>
                                  <a:off x="2035" y="3669"/>
                                  <a:ext cx="1252" cy="0"/>
                                </a:xfrm>
                                <a:prstGeom prst="line">
                                  <a:avLst/>
                                </a:prstGeom>
                                <a:ln w="9525" cap="flat" cmpd="sng">
                                  <a:solidFill>
                                    <a:srgbClr val="000000"/>
                                  </a:solidFill>
                                  <a:prstDash val="solid"/>
                                  <a:headEnd type="none" w="med" len="med"/>
                                  <a:tailEnd type="triangle" w="med" len="med"/>
                                </a:ln>
                              </wps:spPr>
                              <wps:bodyPr upright="1"/>
                            </wps:wsp>
                            <wps:wsp>
                              <wps:cNvPr id="68" name="直接连接符 68"/>
                              <wps:cNvCnPr/>
                              <wps:spPr>
                                <a:xfrm>
                                  <a:off x="2348" y="4756"/>
                                  <a:ext cx="939" cy="0"/>
                                </a:xfrm>
                                <a:prstGeom prst="line">
                                  <a:avLst/>
                                </a:prstGeom>
                                <a:ln w="9525" cap="flat" cmpd="sng">
                                  <a:solidFill>
                                    <a:srgbClr val="000000"/>
                                  </a:solidFill>
                                  <a:prstDash val="solid"/>
                                  <a:headEnd type="none" w="med" len="med"/>
                                  <a:tailEnd type="triangle" w="med" len="med"/>
                                </a:ln>
                              </wps:spPr>
                              <wps:bodyPr upright="1"/>
                            </wps:wsp>
                            <wps:wsp>
                              <wps:cNvPr id="69" name="矩形 69"/>
                              <wps:cNvSpPr/>
                              <wps:spPr>
                                <a:xfrm>
                                  <a:off x="3287" y="815"/>
                                  <a:ext cx="1567" cy="407"/>
                                </a:xfrm>
                                <a:prstGeom prst="rect">
                                  <a:avLst/>
                                </a:prstGeom>
                                <a:solidFill>
                                  <a:srgbClr val="FFFFFF"/>
                                </a:solidFill>
                                <a:ln w="15875" cap="rnd" cmpd="sng">
                                  <a:solidFill>
                                    <a:srgbClr val="000000"/>
                                  </a:solidFill>
                                  <a:prstDash val="sysDot"/>
                                  <a:miter/>
                                  <a:headEnd type="none" w="med" len="med"/>
                                  <a:tailEnd type="none" w="med" len="med"/>
                                </a:ln>
                              </wps:spPr>
                              <wps:txbx>
                                <w:txbxContent>
                                  <w:p w14:paraId="40A749F4">
                                    <w:pPr>
                                      <w:jc w:val="center"/>
                                      <w:rPr>
                                        <w:rFonts w:hint="eastAsia" w:ascii="楷体_GB2312" w:hAnsi="宋体" w:eastAsia="楷体_GB2312"/>
                                        <w:sz w:val="24"/>
                                      </w:rPr>
                                    </w:pPr>
                                    <w:r>
                                      <w:rPr>
                                        <w:rFonts w:hint="eastAsia" w:ascii="楷体_GB2312" w:hAnsi="宋体" w:eastAsia="楷体_GB2312"/>
                                        <w:sz w:val="24"/>
                                      </w:rPr>
                                      <w:t>噪声</w:t>
                                    </w:r>
                                  </w:p>
                                </w:txbxContent>
                              </wps:txbx>
                              <wps:bodyPr upright="1"/>
                            </wps:wsp>
                            <wps:wsp>
                              <wps:cNvPr id="70" name="矩形 70"/>
                              <wps:cNvSpPr/>
                              <wps:spPr>
                                <a:xfrm>
                                  <a:off x="3287" y="1631"/>
                                  <a:ext cx="1567" cy="407"/>
                                </a:xfrm>
                                <a:prstGeom prst="rect">
                                  <a:avLst/>
                                </a:prstGeom>
                                <a:solidFill>
                                  <a:srgbClr val="FFFFFF"/>
                                </a:solidFill>
                                <a:ln w="15875" cap="rnd" cmpd="sng">
                                  <a:solidFill>
                                    <a:srgbClr val="000000"/>
                                  </a:solidFill>
                                  <a:prstDash val="sysDot"/>
                                  <a:miter/>
                                  <a:headEnd type="none" w="med" len="med"/>
                                  <a:tailEnd type="none" w="med" len="med"/>
                                </a:ln>
                              </wps:spPr>
                              <wps:txbx>
                                <w:txbxContent>
                                  <w:p w14:paraId="350A26C0">
                                    <w:pPr>
                                      <w:jc w:val="center"/>
                                      <w:rPr>
                                        <w:rFonts w:hint="eastAsia" w:ascii="楷体_GB2312" w:hAnsi="宋体" w:eastAsia="楷体_GB2312"/>
                                        <w:sz w:val="24"/>
                                      </w:rPr>
                                    </w:pPr>
                                    <w:r>
                                      <w:rPr>
                                        <w:rFonts w:hint="eastAsia" w:ascii="楷体_GB2312" w:hAnsi="宋体" w:eastAsia="楷体_GB2312"/>
                                        <w:sz w:val="24"/>
                                      </w:rPr>
                                      <w:t>扬尘、废气</w:t>
                                    </w:r>
                                  </w:p>
                                </w:txbxContent>
                              </wps:txbx>
                              <wps:bodyPr upright="1"/>
                            </wps:wsp>
                            <wps:wsp>
                              <wps:cNvPr id="71" name="矩形 71"/>
                              <wps:cNvSpPr/>
                              <wps:spPr>
                                <a:xfrm>
                                  <a:off x="3287" y="2582"/>
                                  <a:ext cx="1567" cy="408"/>
                                </a:xfrm>
                                <a:prstGeom prst="rect">
                                  <a:avLst/>
                                </a:prstGeom>
                                <a:solidFill>
                                  <a:srgbClr val="FFFFFF"/>
                                </a:solidFill>
                                <a:ln w="15875" cap="rnd" cmpd="sng">
                                  <a:solidFill>
                                    <a:srgbClr val="000000"/>
                                  </a:solidFill>
                                  <a:prstDash val="sysDot"/>
                                  <a:miter/>
                                  <a:headEnd type="none" w="med" len="med"/>
                                  <a:tailEnd type="none" w="med" len="med"/>
                                </a:ln>
                              </wps:spPr>
                              <wps:txbx>
                                <w:txbxContent>
                                  <w:p w14:paraId="23821A92">
                                    <w:pPr>
                                      <w:jc w:val="center"/>
                                      <w:rPr>
                                        <w:rFonts w:hint="eastAsia" w:ascii="楷体_GB2312" w:hAnsi="宋体" w:eastAsia="楷体_GB2312"/>
                                        <w:sz w:val="24"/>
                                      </w:rPr>
                                    </w:pPr>
                                    <w:r>
                                      <w:rPr>
                                        <w:rFonts w:hint="eastAsia" w:ascii="楷体_GB2312" w:hAnsi="宋体" w:eastAsia="楷体_GB2312"/>
                                        <w:sz w:val="24"/>
                                      </w:rPr>
                                      <w:t>建筑废水</w:t>
                                    </w:r>
                                  </w:p>
                                </w:txbxContent>
                              </wps:txbx>
                              <wps:bodyPr upright="1"/>
                            </wps:wsp>
                            <wps:wsp>
                              <wps:cNvPr id="72" name="矩形 72"/>
                              <wps:cNvSpPr/>
                              <wps:spPr>
                                <a:xfrm>
                                  <a:off x="3287" y="3533"/>
                                  <a:ext cx="1565" cy="408"/>
                                </a:xfrm>
                                <a:prstGeom prst="rect">
                                  <a:avLst/>
                                </a:prstGeom>
                                <a:solidFill>
                                  <a:srgbClr val="FFFFFF"/>
                                </a:solidFill>
                                <a:ln w="15875" cap="rnd" cmpd="sng">
                                  <a:solidFill>
                                    <a:srgbClr val="000000"/>
                                  </a:solidFill>
                                  <a:prstDash val="sysDot"/>
                                  <a:miter/>
                                  <a:headEnd type="none" w="med" len="med"/>
                                  <a:tailEnd type="none" w="med" len="med"/>
                                </a:ln>
                              </wps:spPr>
                              <wps:txbx>
                                <w:txbxContent>
                                  <w:p w14:paraId="33C61C6D">
                                    <w:pPr>
                                      <w:jc w:val="center"/>
                                      <w:rPr>
                                        <w:rFonts w:hint="eastAsia" w:ascii="楷体_GB2312" w:hAnsi="宋体" w:eastAsia="楷体_GB2312"/>
                                        <w:sz w:val="24"/>
                                      </w:rPr>
                                    </w:pPr>
                                    <w:r>
                                      <w:rPr>
                                        <w:rFonts w:hint="eastAsia" w:ascii="楷体_GB2312" w:hAnsi="宋体" w:eastAsia="楷体_GB2312"/>
                                        <w:sz w:val="24"/>
                                      </w:rPr>
                                      <w:t>工地生活污水</w:t>
                                    </w:r>
                                  </w:p>
                                </w:txbxContent>
                              </wps:txbx>
                              <wps:bodyPr upright="1"/>
                            </wps:wsp>
                            <wps:wsp>
                              <wps:cNvPr id="73" name="矩形 73"/>
                              <wps:cNvSpPr/>
                              <wps:spPr>
                                <a:xfrm>
                                  <a:off x="3287" y="4484"/>
                                  <a:ext cx="1565" cy="898"/>
                                </a:xfrm>
                                <a:prstGeom prst="rect">
                                  <a:avLst/>
                                </a:prstGeom>
                                <a:solidFill>
                                  <a:srgbClr val="FFFFFF"/>
                                </a:solidFill>
                                <a:ln w="15875" cap="rnd" cmpd="sng">
                                  <a:solidFill>
                                    <a:srgbClr val="000000"/>
                                  </a:solidFill>
                                  <a:prstDash val="sysDot"/>
                                  <a:miter/>
                                  <a:headEnd type="none" w="med" len="med"/>
                                  <a:tailEnd type="none" w="med" len="med"/>
                                </a:ln>
                              </wps:spPr>
                              <wps:txbx>
                                <w:txbxContent>
                                  <w:p w14:paraId="24B22F3B">
                                    <w:pPr>
                                      <w:rPr>
                                        <w:rFonts w:hint="eastAsia" w:ascii="楷体_GB2312" w:hAnsi="宋体" w:eastAsia="楷体_GB2312"/>
                                        <w:sz w:val="24"/>
                                      </w:rPr>
                                    </w:pPr>
                                    <w:r>
                                      <w:rPr>
                                        <w:rFonts w:hint="eastAsia" w:ascii="楷体_GB2312" w:hAnsi="宋体" w:eastAsia="楷体_GB2312"/>
                                        <w:sz w:val="24"/>
                                      </w:rPr>
                                      <w:t>少量建筑垃圾</w:t>
                                    </w:r>
                                  </w:p>
                                  <w:p w14:paraId="336F3BEE">
                                    <w:pPr>
                                      <w:rPr>
                                        <w:rFonts w:hint="eastAsia" w:ascii="楷体_GB2312" w:hAnsi="宋体" w:eastAsia="楷体_GB2312"/>
                                        <w:sz w:val="24"/>
                                      </w:rPr>
                                    </w:pPr>
                                    <w:r>
                                      <w:rPr>
                                        <w:rFonts w:hint="eastAsia" w:ascii="楷体_GB2312" w:hAnsi="宋体" w:eastAsia="楷体_GB2312"/>
                                        <w:sz w:val="24"/>
                                      </w:rPr>
                                      <w:t>工人生活垃圾</w:t>
                                    </w:r>
                                  </w:p>
                                </w:txbxContent>
                              </wps:txbx>
                              <wps:bodyPr upright="1"/>
                            </wps:wsp>
                            <wps:wsp>
                              <wps:cNvPr id="75" name="直接连接符 75"/>
                              <wps:cNvCnPr/>
                              <wps:spPr>
                                <a:xfrm>
                                  <a:off x="4852" y="2718"/>
                                  <a:ext cx="939" cy="1"/>
                                </a:xfrm>
                                <a:prstGeom prst="line">
                                  <a:avLst/>
                                </a:prstGeom>
                                <a:ln w="9525" cap="flat" cmpd="sng">
                                  <a:solidFill>
                                    <a:srgbClr val="000000"/>
                                  </a:solidFill>
                                  <a:prstDash val="solid"/>
                                  <a:headEnd type="none" w="med" len="med"/>
                                  <a:tailEnd type="triangle" w="med" len="med"/>
                                </a:ln>
                              </wps:spPr>
                              <wps:bodyPr upright="1"/>
                            </wps:wsp>
                            <wps:wsp>
                              <wps:cNvPr id="76" name="直接连接符 76"/>
                              <wps:cNvCnPr/>
                              <wps:spPr>
                                <a:xfrm>
                                  <a:off x="4852" y="3805"/>
                                  <a:ext cx="0" cy="0"/>
                                </a:xfrm>
                                <a:prstGeom prst="line">
                                  <a:avLst/>
                                </a:prstGeom>
                                <a:ln w="9525" cap="flat" cmpd="sng">
                                  <a:solidFill>
                                    <a:srgbClr val="000000"/>
                                  </a:solidFill>
                                  <a:prstDash val="solid"/>
                                  <a:headEnd type="none" w="med" len="med"/>
                                  <a:tailEnd type="triangle" w="med" len="med"/>
                                </a:ln>
                              </wps:spPr>
                              <wps:bodyPr upright="1"/>
                            </wps:wsp>
                            <wps:wsp>
                              <wps:cNvPr id="77" name="直接连接符 77"/>
                              <wps:cNvCnPr/>
                              <wps:spPr>
                                <a:xfrm>
                                  <a:off x="4852" y="4756"/>
                                  <a:ext cx="782" cy="1"/>
                                </a:xfrm>
                                <a:prstGeom prst="line">
                                  <a:avLst/>
                                </a:prstGeom>
                                <a:ln w="9525" cap="flat" cmpd="sng">
                                  <a:solidFill>
                                    <a:srgbClr val="000000"/>
                                  </a:solidFill>
                                  <a:prstDash val="solid"/>
                                  <a:headEnd type="none" w="med" len="med"/>
                                  <a:tailEnd type="triangle" w="med" len="med"/>
                                </a:ln>
                              </wps:spPr>
                              <wps:bodyPr upright="1"/>
                            </wps:wsp>
                            <wps:wsp>
                              <wps:cNvPr id="78" name="矩形 78"/>
                              <wps:cNvSpPr/>
                              <wps:spPr>
                                <a:xfrm>
                                  <a:off x="5634" y="4620"/>
                                  <a:ext cx="1252" cy="408"/>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1C3747B7">
                                    <w:pPr>
                                      <w:jc w:val="center"/>
                                      <w:rPr>
                                        <w:rFonts w:hint="eastAsia" w:ascii="楷体_GB2312" w:eastAsia="楷体_GB2312"/>
                                        <w:sz w:val="24"/>
                                      </w:rPr>
                                    </w:pPr>
                                    <w:r>
                                      <w:rPr>
                                        <w:rFonts w:hint="eastAsia" w:ascii="楷体_GB2312" w:eastAsia="楷体_GB2312"/>
                                        <w:sz w:val="24"/>
                                      </w:rPr>
                                      <w:t>垃圾处理厂</w:t>
                                    </w:r>
                                  </w:p>
                                </w:txbxContent>
                              </wps:txbx>
                              <wps:bodyPr lIns="36000" tIns="45720" rIns="36000" bIns="45720" upright="1"/>
                            </wps:wsp>
                            <wps:wsp>
                              <wps:cNvPr id="79" name="矩形 79"/>
                              <wps:cNvSpPr/>
                              <wps:spPr>
                                <a:xfrm>
                                  <a:off x="5791" y="3397"/>
                                  <a:ext cx="1252" cy="408"/>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14879B1F">
                                    <w:pPr>
                                      <w:jc w:val="center"/>
                                      <w:rPr>
                                        <w:rFonts w:hint="eastAsia" w:ascii="楷体_GB2312" w:eastAsia="楷体_GB2312"/>
                                        <w:sz w:val="24"/>
                                        <w:lang w:eastAsia="zh-CN"/>
                                      </w:rPr>
                                    </w:pPr>
                                    <w:r>
                                      <w:rPr>
                                        <w:rFonts w:hint="eastAsia" w:ascii="楷体_GB2312" w:eastAsia="楷体_GB2312"/>
                                        <w:sz w:val="24"/>
                                        <w:lang w:eastAsia="zh-CN"/>
                                      </w:rPr>
                                      <w:t>化粪池</w:t>
                                    </w:r>
                                  </w:p>
                                </w:txbxContent>
                              </wps:txbx>
                              <wps:bodyPr upright="1"/>
                            </wps:wsp>
                            <wps:wsp>
                              <wps:cNvPr id="80" name="矩形 80"/>
                              <wps:cNvSpPr/>
                              <wps:spPr>
                                <a:xfrm>
                                  <a:off x="5791" y="2446"/>
                                  <a:ext cx="1252" cy="68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39851D5F">
                                    <w:pPr>
                                      <w:jc w:val="center"/>
                                      <w:rPr>
                                        <w:rFonts w:hint="eastAsia" w:ascii="楷体_GB2312" w:eastAsia="楷体_GB2312"/>
                                        <w:sz w:val="24"/>
                                      </w:rPr>
                                    </w:pPr>
                                    <w:r>
                                      <w:rPr>
                                        <w:rFonts w:hint="eastAsia" w:ascii="楷体_GB2312" w:eastAsia="楷体_GB2312"/>
                                        <w:sz w:val="24"/>
                                      </w:rPr>
                                      <w:t>简易沉淀池，回用</w:t>
                                    </w:r>
                                  </w:p>
                                </w:txbxContent>
                              </wps:txbx>
                              <wps:bodyPr upright="1"/>
                            </wps:wsp>
                            <wps:wsp>
                              <wps:cNvPr id="81" name="矩形 81"/>
                              <wps:cNvSpPr/>
                              <wps:spPr>
                                <a:xfrm>
                                  <a:off x="5791" y="1631"/>
                                  <a:ext cx="1252" cy="407"/>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2B15E168">
                                    <w:pPr>
                                      <w:jc w:val="center"/>
                                      <w:rPr>
                                        <w:rFonts w:hint="eastAsia" w:ascii="楷体_GB2312" w:eastAsia="楷体_GB2312"/>
                                        <w:sz w:val="24"/>
                                      </w:rPr>
                                    </w:pPr>
                                    <w:r>
                                      <w:rPr>
                                        <w:rFonts w:hint="eastAsia" w:ascii="楷体_GB2312" w:eastAsia="楷体_GB2312"/>
                                        <w:sz w:val="24"/>
                                      </w:rPr>
                                      <w:t>大气环境</w:t>
                                    </w:r>
                                  </w:p>
                                </w:txbxContent>
                              </wps:txbx>
                              <wps:bodyPr upright="1"/>
                            </wps:wsp>
                            <wps:wsp>
                              <wps:cNvPr id="82" name="矩形 82"/>
                              <wps:cNvSpPr/>
                              <wps:spPr>
                                <a:xfrm>
                                  <a:off x="5791" y="815"/>
                                  <a:ext cx="1252" cy="407"/>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16A9B97E">
                                    <w:pPr>
                                      <w:jc w:val="center"/>
                                      <w:rPr>
                                        <w:rFonts w:hint="eastAsia" w:ascii="楷体_GB2312" w:eastAsia="楷体_GB2312"/>
                                        <w:sz w:val="24"/>
                                      </w:rPr>
                                    </w:pPr>
                                    <w:r>
                                      <w:rPr>
                                        <w:rFonts w:hint="eastAsia" w:ascii="楷体_GB2312" w:eastAsia="楷体_GB2312"/>
                                        <w:sz w:val="24"/>
                                      </w:rPr>
                                      <w:t>声学环境</w:t>
                                    </w:r>
                                  </w:p>
                                </w:txbxContent>
                              </wps:txbx>
                              <wps:bodyPr upright="1"/>
                            </wps:wsp>
                            <wps:wsp>
                              <wps:cNvPr id="83" name="直接连接符 83"/>
                              <wps:cNvCnPr/>
                              <wps:spPr>
                                <a:xfrm flipV="1">
                                  <a:off x="2035" y="136"/>
                                  <a:ext cx="0" cy="543"/>
                                </a:xfrm>
                                <a:prstGeom prst="line">
                                  <a:avLst/>
                                </a:prstGeom>
                                <a:ln w="9525" cap="flat" cmpd="sng">
                                  <a:solidFill>
                                    <a:srgbClr val="000000"/>
                                  </a:solidFill>
                                  <a:prstDash val="solid"/>
                                  <a:headEnd type="none" w="med" len="med"/>
                                  <a:tailEnd type="none" w="med" len="med"/>
                                </a:ln>
                              </wps:spPr>
                              <wps:bodyPr upright="1"/>
                            </wps:wsp>
                            <wps:wsp>
                              <wps:cNvPr id="89" name="直接连接符 89"/>
                              <wps:cNvCnPr/>
                              <wps:spPr>
                                <a:xfrm>
                                  <a:off x="2035" y="136"/>
                                  <a:ext cx="1252" cy="0"/>
                                </a:xfrm>
                                <a:prstGeom prst="line">
                                  <a:avLst/>
                                </a:prstGeom>
                                <a:ln w="3175" cap="flat" cmpd="sng">
                                  <a:solidFill>
                                    <a:srgbClr val="000000"/>
                                  </a:solidFill>
                                  <a:prstDash val="solid"/>
                                  <a:headEnd type="none" w="med" len="med"/>
                                  <a:tailEnd type="triangle" w="med" len="med"/>
                                </a:ln>
                              </wps:spPr>
                              <wps:bodyPr upright="1"/>
                            </wps:wsp>
                            <wps:wsp>
                              <wps:cNvPr id="97" name="矩形 97"/>
                              <wps:cNvSpPr/>
                              <wps:spPr>
                                <a:xfrm>
                                  <a:off x="3287" y="0"/>
                                  <a:ext cx="1565" cy="408"/>
                                </a:xfrm>
                                <a:prstGeom prst="rect">
                                  <a:avLst/>
                                </a:prstGeom>
                                <a:solidFill>
                                  <a:srgbClr val="FFFFFF"/>
                                </a:solidFill>
                                <a:ln w="15875" cap="flat" cmpd="sng">
                                  <a:solidFill>
                                    <a:srgbClr val="000000"/>
                                  </a:solidFill>
                                  <a:prstDash val="sysDot"/>
                                  <a:miter/>
                                  <a:headEnd type="none" w="med" len="med"/>
                                  <a:tailEnd type="none" w="med" len="med"/>
                                </a:ln>
                              </wps:spPr>
                              <wps:txbx>
                                <w:txbxContent>
                                  <w:p w14:paraId="5F0BCA20">
                                    <w:pPr>
                                      <w:jc w:val="center"/>
                                      <w:rPr>
                                        <w:rFonts w:hint="eastAsia" w:ascii="楷体_GB2312" w:eastAsia="楷体_GB2312"/>
                                        <w:sz w:val="24"/>
                                      </w:rPr>
                                    </w:pPr>
                                    <w:r>
                                      <w:rPr>
                                        <w:rFonts w:hint="eastAsia" w:ascii="楷体_GB2312" w:eastAsia="楷体_GB2312"/>
                                        <w:sz w:val="24"/>
                                      </w:rPr>
                                      <w:t>建筑弃土</w:t>
                                    </w:r>
                                  </w:p>
                                </w:txbxContent>
                              </wps:txbx>
                              <wps:bodyPr upright="1"/>
                            </wps:wsp>
                            <wps:wsp>
                              <wps:cNvPr id="99" name="矩形 99"/>
                              <wps:cNvSpPr/>
                              <wps:spPr>
                                <a:xfrm>
                                  <a:off x="5791" y="0"/>
                                  <a:ext cx="1095" cy="408"/>
                                </a:xfrm>
                                <a:prstGeom prst="rect">
                                  <a:avLst/>
                                </a:prstGeom>
                                <a:solidFill>
                                  <a:srgbClr val="FFFFFF"/>
                                </a:solidFill>
                                <a:ln>
                                  <a:noFill/>
                                </a:ln>
                              </wps:spPr>
                              <wps:txbx>
                                <w:txbxContent>
                                  <w:p w14:paraId="1E7A9E85">
                                    <w:pPr>
                                      <w:jc w:val="center"/>
                                      <w:rPr>
                                        <w:rFonts w:hint="eastAsia" w:ascii="楷体_GB2312" w:eastAsia="楷体_GB2312"/>
                                        <w:sz w:val="24"/>
                                      </w:rPr>
                                    </w:pPr>
                                    <w:r>
                                      <w:rPr>
                                        <w:rFonts w:hint="eastAsia" w:ascii="楷体_GB2312" w:eastAsia="楷体_GB2312"/>
                                        <w:sz w:val="24"/>
                                      </w:rPr>
                                      <w:t>工程回填</w:t>
                                    </w:r>
                                  </w:p>
                                </w:txbxContent>
                              </wps:txbx>
                              <wps:bodyPr upright="1"/>
                            </wps:wsp>
                            <wps:wsp>
                              <wps:cNvPr id="100" name="直接连接符 100"/>
                              <wps:cNvCnPr/>
                              <wps:spPr>
                                <a:xfrm>
                                  <a:off x="2035" y="951"/>
                                  <a:ext cx="1252" cy="0"/>
                                </a:xfrm>
                                <a:prstGeom prst="line">
                                  <a:avLst/>
                                </a:prstGeom>
                                <a:ln w="9525" cap="flat" cmpd="sng">
                                  <a:solidFill>
                                    <a:srgbClr val="000000"/>
                                  </a:solidFill>
                                  <a:prstDash val="solid"/>
                                  <a:headEnd type="none" w="med" len="med"/>
                                  <a:tailEnd type="triangle" w="med" len="med"/>
                                </a:ln>
                              </wps:spPr>
                              <wps:bodyPr upright="1"/>
                            </wps:wsp>
                            <wps:wsp>
                              <wps:cNvPr id="101" name="直接连接符 101"/>
                              <wps:cNvCnPr/>
                              <wps:spPr>
                                <a:xfrm>
                                  <a:off x="4852" y="136"/>
                                  <a:ext cx="939" cy="0"/>
                                </a:xfrm>
                                <a:prstGeom prst="line">
                                  <a:avLst/>
                                </a:prstGeom>
                                <a:ln w="9525" cap="flat" cmpd="sng">
                                  <a:solidFill>
                                    <a:srgbClr val="000000"/>
                                  </a:solidFill>
                                  <a:prstDash val="solid"/>
                                  <a:headEnd type="none" w="med" len="med"/>
                                  <a:tailEnd type="triangle" w="med" len="med"/>
                                </a:ln>
                              </wps:spPr>
                              <wps:bodyPr upright="1"/>
                            </wps:wsp>
                            <wps:wsp>
                              <wps:cNvPr id="102" name="直接连接符 102"/>
                              <wps:cNvCnPr/>
                              <wps:spPr>
                                <a:xfrm>
                                  <a:off x="4852" y="951"/>
                                  <a:ext cx="939" cy="0"/>
                                </a:xfrm>
                                <a:prstGeom prst="line">
                                  <a:avLst/>
                                </a:prstGeom>
                                <a:ln w="9525" cap="flat" cmpd="sng">
                                  <a:solidFill>
                                    <a:srgbClr val="000000"/>
                                  </a:solidFill>
                                  <a:prstDash val="solid"/>
                                  <a:headEnd type="none" w="med" len="med"/>
                                  <a:tailEnd type="triangle" w="med" len="med"/>
                                </a:ln>
                              </wps:spPr>
                              <wps:bodyPr upright="1"/>
                            </wps:wsp>
                            <wps:wsp>
                              <wps:cNvPr id="103" name="直接连接符 103"/>
                              <wps:cNvCnPr/>
                              <wps:spPr>
                                <a:xfrm>
                                  <a:off x="4852" y="1766"/>
                                  <a:ext cx="939" cy="0"/>
                                </a:xfrm>
                                <a:prstGeom prst="line">
                                  <a:avLst/>
                                </a:prstGeom>
                                <a:ln w="9525" cap="flat" cmpd="sng">
                                  <a:solidFill>
                                    <a:srgbClr val="000000"/>
                                  </a:solidFill>
                                  <a:prstDash val="solid"/>
                                  <a:headEnd type="none" w="med" len="med"/>
                                  <a:tailEnd type="triangle" w="med" len="med"/>
                                </a:ln>
                              </wps:spPr>
                              <wps:bodyPr upright="1"/>
                            </wps:wsp>
                            <wps:wsp>
                              <wps:cNvPr id="104" name="直接连接符 104"/>
                              <wps:cNvCnPr/>
                              <wps:spPr>
                                <a:xfrm>
                                  <a:off x="4852" y="3669"/>
                                  <a:ext cx="939" cy="1"/>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2.5pt;margin-top:12.65pt;height:402.3pt;width:450pt;z-index:-251645952;mso-width-relative:page;mso-height-relative:page;" coordsize="7826,6658" o:gfxdata="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">
                      <o:lock v:ext="edit" rotation="t" aspectratio="f"/>
                      <v:rect id="_x0000_s1026" o:spid="_x0000_s1026" o:spt="1" style="position:absolute;left:0;top:0;height:6658;width:7826;" filled="f" stroked="t" coordsize="21600,21600" o:gfxdata="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vAag74A&#10;AADaAAAADwAAAAAAAAABACAAAAAiAAAAZHJzL2Rvd25yZXYueG1sUEsBAhQAFAAAAAgAh07iQDMv&#10;BZ47AAAAOQAAABAAAAAAAAAAAQAgAAAADQEAAGRycy9zaGFwZXhtbC54bWxQSwUGAAAAAAYABgBb&#10;AQAAtwMAAAAA&#10;">
                        <v:fill on="f" focussize="0,0"/>
                        <v:stroke weight="0pt" color="#FFFFFF" joinstyle="miter"/>
                        <v:imagedata o:title=""/>
                        <o:lock v:ext="edit" text="t" aspectratio="t"/>
                      </v:rect>
                      <v:rect id="_x0000_s1026" o:spid="_x0000_s1026" o:spt="1" style="position:absolute;left:313;top:1359;height:429;width:1251;" fillcolor="#FFFFFF" filled="t" stroked="t" coordsize="21600,21600" o:gfxdata="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8yEy8AAAA&#10;2wAAAA8AAAAAAAAAAQAgAAAAIgAAAGRycy9kb3ducmV2LnhtbFBLAQIUABQAAAAIAIdO4kAzLwWe&#10;OwAAADkAAAAQAAAAAAAAAAEAIAAAAAsBAABkcnMvc2hhcGV4bWwueG1sUEsFBgAAAAAGAAYAWwEA&#10;ALUDAAAAAA==&#10;">
                        <v:fill on="t" focussize="0,0"/>
                        <v:stroke weight="4.5pt" color="#000000" linestyle="thinThick" joinstyle="miter"/>
                        <v:imagedata o:title=""/>
                        <o:lock v:ext="edit" aspectratio="f"/>
                        <v:textbox>
                          <w:txbxContent>
                            <w:p w14:paraId="010EC8D6">
                              <w:pPr>
                                <w:ind w:left="178" w:leftChars="-1" w:right="-341" w:rightChars="-142" w:hanging="180"/>
                                <w:rPr>
                                  <w:rFonts w:hint="eastAsia" w:ascii="仿宋_GB2312" w:eastAsia="仿宋_GB2312"/>
                                  <w:b/>
                                  <w:sz w:val="24"/>
                                </w:rPr>
                              </w:pPr>
                              <w:r>
                                <w:rPr>
                                  <w:rFonts w:hint="eastAsia" w:ascii="仿宋_GB2312" w:eastAsia="仿宋_GB2312"/>
                                  <w:b/>
                                  <w:sz w:val="24"/>
                                </w:rPr>
                                <w:t>基础工程</w:t>
                              </w:r>
                            </w:p>
                          </w:txbxContent>
                        </v:textbox>
                      </v:rect>
                      <v:rect id="_x0000_s1026" o:spid="_x0000_s1026" o:spt="1" style="position:absolute;left:313;top:2310;height:430;width:1251;" fillcolor="#FFFFFF" filled="t" stroked="t" coordsize="21600,21600" o:gfxdata="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dT8evQAA&#10;ANsAAAAPAAAAAAAAAAEAIAAAACIAAABkcnMvZG93bnJldi54bWxQSwECFAAUAAAACACHTuJAMy8F&#10;njsAAAA5AAAAEAAAAAAAAAABACAAAAAMAQAAZHJzL3NoYXBleG1sLnhtbFBLBQYAAAAABgAGAFsB&#10;AAC2AwAAAAA=&#10;">
                        <v:fill on="t" focussize="0,0"/>
                        <v:stroke weight="4.5pt" color="#000000" linestyle="thinThick" joinstyle="miter"/>
                        <v:imagedata o:title=""/>
                        <o:lock v:ext="edit" aspectratio="f"/>
                        <v:textbox>
                          <w:txbxContent>
                            <w:p w14:paraId="584E38AC">
                              <w:pPr>
                                <w:jc w:val="center"/>
                                <w:rPr>
                                  <w:rFonts w:hint="eastAsia" w:ascii="仿宋_GB2312" w:eastAsia="仿宋_GB2312"/>
                                  <w:b/>
                                  <w:sz w:val="24"/>
                                </w:rPr>
                              </w:pPr>
                              <w:r>
                                <w:rPr>
                                  <w:rFonts w:hint="eastAsia" w:ascii="仿宋_GB2312" w:eastAsia="仿宋_GB2312"/>
                                  <w:b/>
                                  <w:sz w:val="24"/>
                                </w:rPr>
                                <w:t>主体工程</w:t>
                              </w:r>
                            </w:p>
                            <w:p w14:paraId="4BA93195">
                              <w:pPr>
                                <w:jc w:val="center"/>
                                <w:rPr>
                                  <w:rFonts w:hint="eastAsia"/>
                                </w:rPr>
                              </w:pPr>
                            </w:p>
                          </w:txbxContent>
                        </v:textbox>
                      </v:rect>
                      <v:rect id="_x0000_s1026" o:spid="_x0000_s1026" o:spt="1" style="position:absolute;left:313;top:3261;height:429;width:1252;" fillcolor="#FFFFFF" filled="t" stroked="t" coordsize="21600,21600" o:gfxdata="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ypw74A&#10;AADbAAAADwAAAAAAAAABACAAAAAiAAAAZHJzL2Rvd25yZXYueG1sUEsBAhQAFAAAAAgAh07iQDMv&#10;BZ47AAAAOQAAABAAAAAAAAAAAQAgAAAADQEAAGRycy9zaGFwZXhtbC54bWxQSwUGAAAAAAYABgBb&#10;AQAAtwMAAAAA&#10;">
                        <v:fill on="t" focussize="0,0"/>
                        <v:stroke weight="4.5pt" color="#000000" linestyle="thinThick" joinstyle="miter"/>
                        <v:imagedata o:title=""/>
                        <o:lock v:ext="edit" aspectratio="f"/>
                        <v:textbox>
                          <w:txbxContent>
                            <w:p w14:paraId="25102F5F">
                              <w:pPr>
                                <w:jc w:val="center"/>
                                <w:rPr>
                                  <w:rFonts w:hint="eastAsia" w:ascii="仿宋_GB2312" w:eastAsia="仿宋_GB2312"/>
                                  <w:b/>
                                  <w:sz w:val="24"/>
                                </w:rPr>
                              </w:pPr>
                              <w:r>
                                <w:rPr>
                                  <w:rFonts w:hint="eastAsia" w:ascii="仿宋_GB2312" w:eastAsia="仿宋_GB2312"/>
                                  <w:b/>
                                  <w:sz w:val="24"/>
                                </w:rPr>
                                <w:t>装饰工程</w:t>
                              </w:r>
                            </w:p>
                          </w:txbxContent>
                        </v:textbox>
                      </v:rect>
                      <v:rect id="_x0000_s1026" o:spid="_x0000_s1026" o:spt="1" style="position:absolute;left:313;top:4212;height:430;width:1252;" fillcolor="#FFFFFF" filled="t" stroked="t" coordsize="21600,21600" o:gfxdata="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n43tL4A&#10;AADbAAAADwAAAAAAAAABACAAAAAiAAAAZHJzL2Rvd25yZXYueG1sUEsBAhQAFAAAAAgAh07iQDMv&#10;BZ47AAAAOQAAABAAAAAAAAAAAQAgAAAADQEAAGRycy9zaGFwZXhtbC54bWxQSwUGAAAAAAYABgBb&#10;AQAAtwMAAAAA&#10;">
                        <v:fill on="t" focussize="0,0"/>
                        <v:stroke weight="4.5pt" color="#000000" linestyle="thinThick" joinstyle="miter"/>
                        <v:imagedata o:title=""/>
                        <o:lock v:ext="edit" aspectratio="f"/>
                        <v:textbox>
                          <w:txbxContent>
                            <w:p w14:paraId="60AFA4BA">
                              <w:pPr>
                                <w:jc w:val="center"/>
                                <w:rPr>
                                  <w:rFonts w:hint="eastAsia" w:ascii="仿宋_GB2312" w:eastAsia="仿宋_GB2312"/>
                                  <w:b/>
                                  <w:sz w:val="24"/>
                                </w:rPr>
                              </w:pPr>
                              <w:r>
                                <w:rPr>
                                  <w:rFonts w:hint="eastAsia" w:ascii="仿宋_GB2312" w:eastAsia="仿宋_GB2312"/>
                                  <w:b/>
                                  <w:sz w:val="24"/>
                                </w:rPr>
                                <w:t>设施安装</w:t>
                              </w:r>
                            </w:p>
                          </w:txbxContent>
                        </v:textbox>
                      </v:rect>
                      <v:line id="_x0000_s1026" o:spid="_x0000_s1026" o:spt="20" style="position:absolute;left:940;top:1767;height:544;width:0;" filled="f" stroked="t" coordsize="21600,21600" o:gfxdata="UEsDBAoAAAAAAIdO4kAAAAAAAAAAAAAAAAAEAAAAZHJzL1BLAwQUAAAACACHTuJAXSemyL8AAADb&#10;AAAADwAAAGRycy9kb3ducmV2LnhtbEWPT2vCQBTE7wW/w/KE3uomtki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nps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940;top:2718;height:544;width:0;" filled="f" stroked="t" coordsize="21600,21600" o:gfxdata="UEsDBAoAAAAAAIdO4kAAAAAAAAAAAAAAAAAEAAAAZHJzL1BLAwQUAAAACACHTuJAsyYJVr8AAADb&#10;AAAADwAAAGRycy9kb3ducmV2LnhtbEWPT2vCQBTE7wW/w/KE3uomF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mCV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940;top:3669;height:544;width:0;" filled="f" stroked="t" coordsize="21600,21600" o:gfxdata="UEsDBAoAAAAAAIdO4kAAAAAAAAAAAAAAAAAEAAAAZHJzL1BLAwQUAAAACACHTuJAFVZ2Lb4AAADb&#10;AAAADwAAAGRycy9kb3ducmV2LnhtbEWPQWvCQBSE7wX/w/IEb3UTk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Z2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940;top:4620;height:408;width:0;" filled="f" stroked="t" coordsize="21600,21600" o:gfxdata="UEsDBAoAAAAAAIdO4kAAAAAAAAAAAAAAAAAEAAAAZHJzL1BLAwQUAAAACACHTuJA5YToWr8AAADb&#10;AAAADwAAAGRycy9kb3ducmV2LnhtbEWPT2vCQBTE7wW/w/IEb3UTk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E6F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313;top:5027;height:430;width:1251;" fillcolor="#FFFFFF" filled="t" stroked="t" coordsize="21600,21600" o:gfxdata="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15Jr4A&#10;AADbAAAADwAAAAAAAAABACAAAAAiAAAAZHJzL2Rvd25yZXYueG1sUEsBAhQAFAAAAAgAh07iQDMv&#10;BZ47AAAAOQAAABAAAAAAAAAAAQAgAAAADQEAAGRycy9zaGFwZXhtbC54bWxQSwUGAAAAAAYABgBb&#10;AQAAtwMAAAAA&#10;">
                        <v:fill on="t" focussize="0,0"/>
                        <v:stroke weight="4.5pt" color="#000000" linestyle="thinThick" joinstyle="miter"/>
                        <v:imagedata o:title=""/>
                        <o:lock v:ext="edit" aspectratio="f"/>
                        <v:textbox>
                          <w:txbxContent>
                            <w:p w14:paraId="1146F840">
                              <w:pPr>
                                <w:jc w:val="center"/>
                                <w:rPr>
                                  <w:rFonts w:hint="eastAsia" w:ascii="仿宋_GB2312" w:eastAsia="仿宋_GB2312"/>
                                  <w:b/>
                                  <w:sz w:val="24"/>
                                </w:rPr>
                              </w:pPr>
                              <w:r>
                                <w:rPr>
                                  <w:rFonts w:hint="eastAsia" w:ascii="仿宋_GB2312" w:eastAsia="仿宋_GB2312"/>
                                  <w:b/>
                                  <w:sz w:val="24"/>
                                </w:rPr>
                                <w:t>工程验收</w:t>
                              </w:r>
                            </w:p>
                          </w:txbxContent>
                        </v:textbox>
                      </v:rect>
                      <v:rect id="_x0000_s1026" o:spid="_x0000_s1026" o:spt="1" style="position:absolute;left:313;top:6114;height:430;width:1251;" fillcolor="#FFFFFF" filled="t" stroked="t" coordsize="21600,21600" o:gfxdata="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kdy9vQAA&#10;ANsAAAAPAAAAAAAAAAEAIAAAACIAAABkcnMvZG93bnJldi54bWxQSwECFAAUAAAACACHTuJAMy8F&#10;njsAAAA5AAAAEAAAAAAAAAABACAAAAAMAQAAZHJzL3NoYXBleG1sLnhtbFBLBQYAAAAABgAGAFsB&#10;AAC2AwAAAAA=&#10;">
                        <v:fill on="t" focussize="0,0"/>
                        <v:stroke weight="4.5pt" color="#000000" linestyle="thinThick" joinstyle="miter"/>
                        <v:imagedata o:title=""/>
                        <o:lock v:ext="edit" aspectratio="f"/>
                        <v:textbox>
                          <w:txbxContent>
                            <w:p w14:paraId="7813EC36">
                              <w:pPr>
                                <w:jc w:val="center"/>
                                <w:rPr>
                                  <w:rFonts w:hint="eastAsia" w:ascii="仿宋_GB2312" w:eastAsia="仿宋_GB2312"/>
                                  <w:b/>
                                  <w:sz w:val="24"/>
                                </w:rPr>
                              </w:pPr>
                              <w:r>
                                <w:rPr>
                                  <w:rFonts w:hint="eastAsia" w:ascii="仿宋_GB2312" w:eastAsia="仿宋_GB2312"/>
                                  <w:b/>
                                  <w:sz w:val="24"/>
                                </w:rPr>
                                <w:t>工程运营</w:t>
                              </w:r>
                            </w:p>
                          </w:txbxContent>
                        </v:textbox>
                      </v:rect>
                      <v:line id="_x0000_s1026" o:spid="_x0000_s1026" o:spt="20" style="position:absolute;left:939;top:5436;height:679;width:0;" filled="f" stroked="t" coordsize="21600,21600" o:gfxdata="UEsDBAoAAAAAAIdO4kAAAAAAAAAAAAAAAAAEAAAAZHJzL1BLAwQUAAAACACHTuJAmr/uWb8AAADb&#10;AAAADwAAAGRycy9kb3ducmV2LnhtbEWPT2vCQBTE74LfYXmCN92kF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7l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938;top:817;height:544;width:0;" filled="f" stroked="t" coordsize="21600,21600" o:gfxdata="UEsDBAoAAAAAAIdO4kAAAAAAAAAAAAAAAAAEAAAAZHJzL1BLAwQUAAAACACHTuJA/8NFa7sAAADb&#10;AAAADwAAAGRycy9kb3ducmV2LnhtbEVPy4rCMBTdC/MP4Q6407SC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NFa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rect id="_x0000_s1026" o:spid="_x0000_s1026" o:spt="1" style="position:absolute;left:313;top:410;height:429;width:1251;" fillcolor="#FFFFFF" filled="t" stroked="t" coordsize="21600,21600" o:gfxdata="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3NMY74A&#10;AADbAAAADwAAAAAAAAABACAAAAAiAAAAZHJzL2Rvd25yZXYueG1sUEsBAhQAFAAAAAgAh07iQDMv&#10;BZ47AAAAOQAAABAAAAAAAAAAAQAgAAAADQEAAGRycy9zaGFwZXhtbC54bWxQSwUGAAAAAAYABgBb&#10;AQAAtwMAAAAA&#10;">
                        <v:fill on="t" focussize="0,0"/>
                        <v:stroke weight="4.5pt" color="#000000" linestyle="thinThick" joinstyle="miter"/>
                        <v:imagedata o:title=""/>
                        <o:lock v:ext="edit" aspectratio="f"/>
                        <v:textbox>
                          <w:txbxContent>
                            <w:p w14:paraId="323F32C5">
                              <w:pPr>
                                <w:jc w:val="center"/>
                                <w:rPr>
                                  <w:rFonts w:hint="eastAsia" w:ascii="仿宋_GB2312" w:eastAsia="仿宋_GB2312"/>
                                  <w:b/>
                                  <w:sz w:val="24"/>
                                </w:rPr>
                              </w:pPr>
                              <w:r>
                                <w:rPr>
                                  <w:rFonts w:hint="eastAsia" w:ascii="仿宋_GB2312" w:eastAsia="仿宋_GB2312"/>
                                  <w:b/>
                                  <w:sz w:val="24"/>
                                </w:rPr>
                                <w:t>地基开挖</w:t>
                              </w:r>
                            </w:p>
                          </w:txbxContent>
                        </v:textbox>
                      </v:rect>
                      <v:line id="_x0000_s1026" o:spid="_x0000_s1026" o:spt="20" style="position:absolute;left:1565;top:680;height:0;width:470;" filled="f" stroked="t" coordsize="21600,21600" o:gfxdata="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HK8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2035;top:680;height:3668;width:0;" filled="f" stroked="t" coordsize="21600,21600" o:gfxdata="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zVIe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1565;top:4348;height:0;width:470;" filled="f" stroked="t" coordsize="21600,21600" o:gfxdata="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PIGVu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_x0000_s1026" o:spid="_x0000_s1026" o:spt="20" style="position:absolute;left:1565;top:3533;height:1;width:470;" filled="f" stroked="t" coordsize="21600,21600" o:gfxdata="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BswPW/&#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1565;top:2582;height:1;width:470;" filled="f" stroked="t" coordsize="21600,21600" o:gfxdata="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86o9W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1565;top:1631;height:0;width:470;" filled="f" stroked="t" coordsize="21600,21600" o:gfxdata="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YGT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2035;top:4077;height:0;width:313;" filled="f" stroked="t" coordsize="21600,21600" o:gfxdata="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kmDm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1565;top:5164;height:0;width:783;" filled="f" stroked="t" coordsize="21600,21600" o:gfxdata="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6D2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2348;top:4077;height:1087;width:0;" filled="f" stroked="t" coordsize="21600,21600" o:gfxdata="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Bpda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2035;top:1767;height:0;width:1252;" filled="f" stroked="t" coordsize="21600,21600" o:gfxdata="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YLE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2035;top:2718;height:0;width:1252;" filled="f" stroked="t" coordsize="21600,21600" o:gfxdata="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Ksj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2035;top:3669;height:0;width:1252;" filled="f" stroked="t" coordsize="21600,21600" o:gfxdata="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YXo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2348;top:4756;height:0;width:939;" filled="f" stroked="t" coordsize="21600,21600" o:gfxdata="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9mD0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rect id="_x0000_s1026" o:spid="_x0000_s1026" o:spt="1" style="position:absolute;left:3287;top:815;height:407;width:1567;" fillcolor="#FFFFFF" filled="t" stroked="t" coordsize="21600,21600" o:gfxdata="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BJlFvQAA&#10;ANsAAAAPAAAAAAAAAAEAIAAAACIAAABkcnMvZG93bnJldi54bWxQSwECFAAUAAAACACHTuJAMy8F&#10;njsAAAA5AAAAEAAAAAAAAAABACAAAAAMAQAAZHJzL3NoYXBleG1sLnhtbFBLBQYAAAAABgAGAFsB&#10;AAC2AwAAAAA=&#10;">
                        <v:fill on="t" focussize="0,0"/>
                        <v:stroke weight="1.25pt" color="#000000" joinstyle="miter" dashstyle="1 1" endcap="round"/>
                        <v:imagedata o:title=""/>
                        <o:lock v:ext="edit" aspectratio="f"/>
                        <v:textbox>
                          <w:txbxContent>
                            <w:p w14:paraId="40A749F4">
                              <w:pPr>
                                <w:jc w:val="center"/>
                                <w:rPr>
                                  <w:rFonts w:hint="eastAsia" w:ascii="楷体_GB2312" w:hAnsi="宋体" w:eastAsia="楷体_GB2312"/>
                                  <w:sz w:val="24"/>
                                </w:rPr>
                              </w:pPr>
                              <w:r>
                                <w:rPr>
                                  <w:rFonts w:hint="eastAsia" w:ascii="楷体_GB2312" w:hAnsi="宋体" w:eastAsia="楷体_GB2312"/>
                                  <w:sz w:val="24"/>
                                </w:rPr>
                                <w:t>噪声</w:t>
                              </w:r>
                            </w:p>
                          </w:txbxContent>
                        </v:textbox>
                      </v:rect>
                      <v:rect id="_x0000_s1026" o:spid="_x0000_s1026" o:spt="1" style="position:absolute;left:3287;top:1631;height:407;width:1567;" fillcolor="#FFFFFF" filled="t" stroked="t" coordsize="21600,21600" o:gfxdata="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eemBbsAAADb&#10;AAAADwAAAAAAAAABACAAAAAiAAAAZHJzL2Rvd25yZXYueG1sUEsBAhQAFAAAAAgAh07iQDMvBZ47&#10;AAAAOQAAABAAAAAAAAAAAQAgAAAACgEAAGRycy9zaGFwZXhtbC54bWxQSwUGAAAAAAYABgBbAQAA&#10;tAMAAAAA&#10;">
                        <v:fill on="t" focussize="0,0"/>
                        <v:stroke weight="1.25pt" color="#000000" joinstyle="miter" dashstyle="1 1" endcap="round"/>
                        <v:imagedata o:title=""/>
                        <o:lock v:ext="edit" aspectratio="f"/>
                        <v:textbox>
                          <w:txbxContent>
                            <w:p w14:paraId="350A26C0">
                              <w:pPr>
                                <w:jc w:val="center"/>
                                <w:rPr>
                                  <w:rFonts w:hint="eastAsia" w:ascii="楷体_GB2312" w:hAnsi="宋体" w:eastAsia="楷体_GB2312"/>
                                  <w:sz w:val="24"/>
                                </w:rPr>
                              </w:pPr>
                              <w:r>
                                <w:rPr>
                                  <w:rFonts w:hint="eastAsia" w:ascii="楷体_GB2312" w:hAnsi="宋体" w:eastAsia="楷体_GB2312"/>
                                  <w:sz w:val="24"/>
                                </w:rPr>
                                <w:t>扬尘、废气</w:t>
                              </w:r>
                            </w:p>
                          </w:txbxContent>
                        </v:textbox>
                      </v:rect>
                      <v:rect id="_x0000_s1026" o:spid="_x0000_s1026" o:spt="1" style="position:absolute;left:3287;top:2582;height:408;width:1567;" fillcolor="#FFFFFF" filled="t" stroked="t" coordsize="21600,21600" o:gfxdata="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qwOevQAA&#10;ANsAAAAPAAAAAAAAAAEAIAAAACIAAABkcnMvZG93bnJldi54bWxQSwECFAAUAAAACACHTuJAMy8F&#10;njsAAAA5AAAAEAAAAAAAAAABACAAAAAMAQAAZHJzL3NoYXBleG1sLnhtbFBLBQYAAAAABgAGAFsB&#10;AAC2AwAAAAA=&#10;">
                        <v:fill on="t" focussize="0,0"/>
                        <v:stroke weight="1.25pt" color="#000000" joinstyle="miter" dashstyle="1 1" endcap="round"/>
                        <v:imagedata o:title=""/>
                        <o:lock v:ext="edit" aspectratio="f"/>
                        <v:textbox>
                          <w:txbxContent>
                            <w:p w14:paraId="23821A92">
                              <w:pPr>
                                <w:jc w:val="center"/>
                                <w:rPr>
                                  <w:rFonts w:hint="eastAsia" w:ascii="楷体_GB2312" w:hAnsi="宋体" w:eastAsia="楷体_GB2312"/>
                                  <w:sz w:val="24"/>
                                </w:rPr>
                              </w:pPr>
                              <w:r>
                                <w:rPr>
                                  <w:rFonts w:hint="eastAsia" w:ascii="楷体_GB2312" w:hAnsi="宋体" w:eastAsia="楷体_GB2312"/>
                                  <w:sz w:val="24"/>
                                </w:rPr>
                                <w:t>建筑废水</w:t>
                              </w:r>
                            </w:p>
                          </w:txbxContent>
                        </v:textbox>
                      </v:rect>
                      <v:rect id="_x0000_s1026" o:spid="_x0000_s1026" o:spt="1" style="position:absolute;left:3287;top:3533;height:408;width:1565;" fillcolor="#FFFFFF" filled="t" stroked="t" coordsize="21600,21600" o:gfxdata="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eZ3pvQAA&#10;ANsAAAAPAAAAAAAAAAEAIAAAACIAAABkcnMvZG93bnJldi54bWxQSwECFAAUAAAACACHTuJAMy8F&#10;njsAAAA5AAAAEAAAAAAAAAABACAAAAAMAQAAZHJzL3NoYXBleG1sLnhtbFBLBQYAAAAABgAGAFsB&#10;AAC2AwAAAAA=&#10;">
                        <v:fill on="t" focussize="0,0"/>
                        <v:stroke weight="1.25pt" color="#000000" joinstyle="miter" dashstyle="1 1" endcap="round"/>
                        <v:imagedata o:title=""/>
                        <o:lock v:ext="edit" aspectratio="f"/>
                        <v:textbox>
                          <w:txbxContent>
                            <w:p w14:paraId="33C61C6D">
                              <w:pPr>
                                <w:jc w:val="center"/>
                                <w:rPr>
                                  <w:rFonts w:hint="eastAsia" w:ascii="楷体_GB2312" w:hAnsi="宋体" w:eastAsia="楷体_GB2312"/>
                                  <w:sz w:val="24"/>
                                </w:rPr>
                              </w:pPr>
                              <w:r>
                                <w:rPr>
                                  <w:rFonts w:hint="eastAsia" w:ascii="楷体_GB2312" w:hAnsi="宋体" w:eastAsia="楷体_GB2312"/>
                                  <w:sz w:val="24"/>
                                </w:rPr>
                                <w:t>工地生活污水</w:t>
                              </w:r>
                            </w:p>
                          </w:txbxContent>
                        </v:textbox>
                      </v:rect>
                      <v:rect id="_x0000_s1026" o:spid="_x0000_s1026" o:spt="1" style="position:absolute;left:3287;top:4484;height:898;width:1565;" fillcolor="#FFFFFF" filled="t" stroked="t" coordsize="21600,21600" o:gfxdata="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NThyvQAA&#10;ANsAAAAPAAAAAAAAAAEAIAAAACIAAABkcnMvZG93bnJldi54bWxQSwECFAAUAAAACACHTuJAMy8F&#10;njsAAAA5AAAAEAAAAAAAAAABACAAAAAMAQAAZHJzL3NoYXBleG1sLnhtbFBLBQYAAAAABgAGAFsB&#10;AAC2AwAAAAA=&#10;">
                        <v:fill on="t" focussize="0,0"/>
                        <v:stroke weight="1.25pt" color="#000000" joinstyle="miter" dashstyle="1 1" endcap="round"/>
                        <v:imagedata o:title=""/>
                        <o:lock v:ext="edit" aspectratio="f"/>
                        <v:textbox>
                          <w:txbxContent>
                            <w:p w14:paraId="24B22F3B">
                              <w:pPr>
                                <w:rPr>
                                  <w:rFonts w:hint="eastAsia" w:ascii="楷体_GB2312" w:hAnsi="宋体" w:eastAsia="楷体_GB2312"/>
                                  <w:sz w:val="24"/>
                                </w:rPr>
                              </w:pPr>
                              <w:r>
                                <w:rPr>
                                  <w:rFonts w:hint="eastAsia" w:ascii="楷体_GB2312" w:hAnsi="宋体" w:eastAsia="楷体_GB2312"/>
                                  <w:sz w:val="24"/>
                                </w:rPr>
                                <w:t>少量建筑垃圾</w:t>
                              </w:r>
                            </w:p>
                            <w:p w14:paraId="336F3BEE">
                              <w:pPr>
                                <w:rPr>
                                  <w:rFonts w:hint="eastAsia" w:ascii="楷体_GB2312" w:hAnsi="宋体" w:eastAsia="楷体_GB2312"/>
                                  <w:sz w:val="24"/>
                                </w:rPr>
                              </w:pPr>
                              <w:r>
                                <w:rPr>
                                  <w:rFonts w:hint="eastAsia" w:ascii="楷体_GB2312" w:hAnsi="宋体" w:eastAsia="楷体_GB2312"/>
                                  <w:sz w:val="24"/>
                                </w:rPr>
                                <w:t>工人生活垃圾</w:t>
                              </w:r>
                            </w:p>
                          </w:txbxContent>
                        </v:textbox>
                      </v:rect>
                      <v:line id="_x0000_s1026" o:spid="_x0000_s1026" o:spt="20" style="position:absolute;left:4852;top:2718;height:1;width:939;" filled="f" stroked="t" coordsize="21600,21600" o:gfxdata="UEsDBAoAAAAAAIdO4kAAAAAAAAAAAAAAAAAEAAAAZHJzL1BLAwQUAAAACACHTuJApAG6k78AAADb&#10;AAAADwAAAGRycy9kb3ducmV2LnhtbEWPT2vCQBTE7wW/w/KE3uomQmuI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QBup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4852;top:3805;height:0;width:0;" filled="f" stroked="t" coordsize="21600,21600" o:gfxdata="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Mk5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4852;top:4756;height:1;width:782;" filled="f" stroked="t" coordsize="21600,21600" o:gfxdata="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fgX+/&#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5634;top:4620;height:408;width:1252;" fillcolor="#FFFFFF" filled="t" stroked="t" coordsize="21600,21600" o:gfxdata="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ZkRe2AAAA2wAAAA8A&#10;AAAAAAAAAQAgAAAAIgAAAGRycy9kb3ducmV2LnhtbFBLAQIUABQAAAAIAIdO4kAzLwWeOwAAADkA&#10;AAAQAAAAAAAAAAEAIAAAAAUBAABkcnMvc2hhcGV4bWwueG1sUEsFBgAAAAAGAAYAWwEAAK8DAAAA&#10;AA==&#10;">
                        <v:fill on="t" focussize="0,0"/>
                        <v:stroke color="#FFFFFF" joinstyle="miter"/>
                        <v:imagedata o:title=""/>
                        <o:lock v:ext="edit" aspectratio="f"/>
                        <v:textbox inset="1mm,1.27mm,1mm,1.27mm">
                          <w:txbxContent>
                            <w:p w14:paraId="1C3747B7">
                              <w:pPr>
                                <w:jc w:val="center"/>
                                <w:rPr>
                                  <w:rFonts w:hint="eastAsia" w:ascii="楷体_GB2312" w:eastAsia="楷体_GB2312"/>
                                  <w:sz w:val="24"/>
                                </w:rPr>
                              </w:pPr>
                              <w:r>
                                <w:rPr>
                                  <w:rFonts w:hint="eastAsia" w:ascii="楷体_GB2312" w:eastAsia="楷体_GB2312"/>
                                  <w:sz w:val="24"/>
                                </w:rPr>
                                <w:t>垃圾处理厂</w:t>
                              </w:r>
                            </w:p>
                          </w:txbxContent>
                        </v:textbox>
                      </v:rect>
                      <v:rect id="_x0000_s1026" o:spid="_x0000_s1026" o:spt="1" style="position:absolute;left:5791;top:3397;height:408;width:1252;" fillcolor="#FFFFFF" filled="t" stroked="t" coordsize="21600,21600" o:gfxdata="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6p5EvQAA&#10;ANs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14:paraId="14879B1F">
                              <w:pPr>
                                <w:jc w:val="center"/>
                                <w:rPr>
                                  <w:rFonts w:hint="eastAsia" w:ascii="楷体_GB2312" w:eastAsia="楷体_GB2312"/>
                                  <w:sz w:val="24"/>
                                  <w:lang w:eastAsia="zh-CN"/>
                                </w:rPr>
                              </w:pPr>
                              <w:r>
                                <w:rPr>
                                  <w:rFonts w:hint="eastAsia" w:ascii="楷体_GB2312" w:eastAsia="楷体_GB2312"/>
                                  <w:sz w:val="24"/>
                                  <w:lang w:eastAsia="zh-CN"/>
                                </w:rPr>
                                <w:t>化粪池</w:t>
                              </w:r>
                            </w:p>
                          </w:txbxContent>
                        </v:textbox>
                      </v:rect>
                      <v:rect id="_x0000_s1026" o:spid="_x0000_s1026" o:spt="1" style="position:absolute;left:5791;top:2446;height:680;width:1252;" fillcolor="#FFFFFF" filled="t" stroked="t" coordsize="21600,21600" o:gfxdata="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wVH/rgAAADbAAAA&#10;DwAAAAAAAAABACAAAAAiAAAAZHJzL2Rvd25yZXYueG1sUEsBAhQAFAAAAAgAh07iQDMvBZ47AAAA&#10;OQAAABAAAAAAAAAAAQAgAAAABwEAAGRycy9zaGFwZXhtbC54bWxQSwUGAAAAAAYABgBbAQAAsQMA&#10;AAAA&#10;">
                        <v:fill on="t" focussize="0,0"/>
                        <v:stroke color="#FFFFFF" joinstyle="miter"/>
                        <v:imagedata o:title=""/>
                        <o:lock v:ext="edit" aspectratio="f"/>
                        <v:textbox>
                          <w:txbxContent>
                            <w:p w14:paraId="39851D5F">
                              <w:pPr>
                                <w:jc w:val="center"/>
                                <w:rPr>
                                  <w:rFonts w:hint="eastAsia" w:ascii="楷体_GB2312" w:eastAsia="楷体_GB2312"/>
                                  <w:sz w:val="24"/>
                                </w:rPr>
                              </w:pPr>
                              <w:r>
                                <w:rPr>
                                  <w:rFonts w:hint="eastAsia" w:ascii="楷体_GB2312" w:eastAsia="楷体_GB2312"/>
                                  <w:sz w:val="24"/>
                                </w:rPr>
                                <w:t>简易沉淀池，回用</w:t>
                              </w:r>
                            </w:p>
                          </w:txbxContent>
                        </v:textbox>
                      </v:rect>
                      <v:rect id="_x0000_s1026" o:spid="_x0000_s1026" o:spt="1" style="position:absolute;left:5791;top:1631;height:407;width:1252;" fillcolor="#FFFFFF" filled="t" stroked="t" coordsize="21600,21600" o:gfxdata="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EniZbsAAADb&#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14:paraId="2B15E168">
                              <w:pPr>
                                <w:jc w:val="center"/>
                                <w:rPr>
                                  <w:rFonts w:hint="eastAsia" w:ascii="楷体_GB2312" w:eastAsia="楷体_GB2312"/>
                                  <w:sz w:val="24"/>
                                </w:rPr>
                              </w:pPr>
                              <w:r>
                                <w:rPr>
                                  <w:rFonts w:hint="eastAsia" w:ascii="楷体_GB2312" w:eastAsia="楷体_GB2312"/>
                                  <w:sz w:val="24"/>
                                </w:rPr>
                                <w:t>大气环境</w:t>
                              </w:r>
                            </w:p>
                          </w:txbxContent>
                        </v:textbox>
                      </v:rect>
                      <v:rect id="_x0000_s1026" o:spid="_x0000_s1026" o:spt="1" style="position:absolute;left:5791;top:815;height:407;width:1252;" fillcolor="#FFFFFF" filled="t" stroked="t" coordsize="21600,21600" o:gfxdata="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m3wSugAAANs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14:paraId="16A9B97E">
                              <w:pPr>
                                <w:jc w:val="center"/>
                                <w:rPr>
                                  <w:rFonts w:hint="eastAsia" w:ascii="楷体_GB2312" w:eastAsia="楷体_GB2312"/>
                                  <w:sz w:val="24"/>
                                </w:rPr>
                              </w:pPr>
                              <w:r>
                                <w:rPr>
                                  <w:rFonts w:hint="eastAsia" w:ascii="楷体_GB2312" w:eastAsia="楷体_GB2312"/>
                                  <w:sz w:val="24"/>
                                </w:rPr>
                                <w:t>声学环境</w:t>
                              </w:r>
                            </w:p>
                          </w:txbxContent>
                        </v:textbox>
                      </v:rect>
                      <v:line id="_x0000_s1026" o:spid="_x0000_s1026" o:spt="20" style="position:absolute;left:2035;top:136;flip:y;height:543;width:0;" filled="f" stroked="t" coordsize="21600,21600" o:gfxdata="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urlc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2035;top:136;height:0;width:1252;" filled="f" stroked="t" coordsize="21600,21600" o:gfxdata="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4fge8AAAA&#10;2w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rect id="_x0000_s1026" o:spid="_x0000_s1026" o:spt="1" style="position:absolute;left:3287;top:0;height:408;width:1565;" fillcolor="#FFFFFF" filled="t" stroked="t" coordsize="21600,21600" o:gfxdata="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wFTDLsAAADb&#10;AAAADwAAAAAAAAABACAAAAAiAAAAZHJzL2Rvd25yZXYueG1sUEsBAhQAFAAAAAgAh07iQDMvBZ47&#10;AAAAOQAAABAAAAAAAAAAAQAgAAAACgEAAGRycy9zaGFwZXhtbC54bWxQSwUGAAAAAAYABgBbAQAA&#10;tAMAAAAA&#10;">
                        <v:fill on="t" focussize="0,0"/>
                        <v:stroke weight="1.25pt" color="#000000" joinstyle="miter" dashstyle="1 1"/>
                        <v:imagedata o:title=""/>
                        <o:lock v:ext="edit" aspectratio="f"/>
                        <v:textbox>
                          <w:txbxContent>
                            <w:p w14:paraId="5F0BCA20">
                              <w:pPr>
                                <w:jc w:val="center"/>
                                <w:rPr>
                                  <w:rFonts w:hint="eastAsia" w:ascii="楷体_GB2312" w:eastAsia="楷体_GB2312"/>
                                  <w:sz w:val="24"/>
                                </w:rPr>
                              </w:pPr>
                              <w:r>
                                <w:rPr>
                                  <w:rFonts w:hint="eastAsia" w:ascii="楷体_GB2312" w:eastAsia="楷体_GB2312"/>
                                  <w:sz w:val="24"/>
                                </w:rPr>
                                <w:t>建筑弃土</w:t>
                              </w:r>
                            </w:p>
                          </w:txbxContent>
                        </v:textbox>
                      </v:rect>
                      <v:rect id="_x0000_s1026" o:spid="_x0000_s1026" o:spt="1" style="position:absolute;left:5791;top:0;height:408;width:1095;" fillcolor="#FFFFFF" filled="t" stroked="f" coordsize="21600,21600" o:gfxdata="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yYu68AAAA&#10;2w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1E7A9E85">
                              <w:pPr>
                                <w:jc w:val="center"/>
                                <w:rPr>
                                  <w:rFonts w:hint="eastAsia" w:ascii="楷体_GB2312" w:eastAsia="楷体_GB2312"/>
                                  <w:sz w:val="24"/>
                                </w:rPr>
                              </w:pPr>
                              <w:r>
                                <w:rPr>
                                  <w:rFonts w:hint="eastAsia" w:ascii="楷体_GB2312" w:eastAsia="楷体_GB2312"/>
                                  <w:sz w:val="24"/>
                                </w:rPr>
                                <w:t>工程回填</w:t>
                              </w:r>
                            </w:p>
                          </w:txbxContent>
                        </v:textbox>
                      </v:rect>
                      <v:line id="_x0000_s1026" o:spid="_x0000_s1026" o:spt="20" style="position:absolute;left:2035;top:951;height:0;width:1252;" filled="f" stroked="t" coordsize="21600,21600" o:gfxdata="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vf6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4852;top:136;height:0;width:939;" filled="f" stroked="t" coordsize="21600,21600" o:gfxdata="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8Vst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4852;top:951;height:0;width:939;" filled="f" stroked="t" coordsize="21600,21600" o:gfxdata="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I8Va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4852;top:1766;height:0;width:939;" filled="f" stroked="t" coordsize="21600,21600" o:gfxdata="UEsDBAoAAAAAAIdO4kAAAAAAAAAAAAAAAAAEAAAAZHJzL1BLAwQUAAAACACHTuJAFm9gwb0AAADc&#10;AAAADwAAAGRycy9kb3ducmV2LnhtbEVP32vCMBB+H/g/hBP2NpM6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b2DB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4852;top:3669;height:1;width:939;" filled="f" stroked="t" coordsize="21600,21600" o:gfxdata="UEsDBAoAAAAAAIdO4kAAAAAAAAAAAAAAAAAEAAAAZHJzL1BLAwQUAAAACACHTuJAmYb4tb0AAADc&#10;AAAADwAAAGRycy9kb3ducmV2LnhtbEVP32vCMBB+H/g/hBP2NpPK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hvi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w:pict>
                </mc:Fallback>
              </mc:AlternateContent>
            </w:r>
          </w:p>
          <w:p w14:paraId="5129DB81">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03902E78">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6196C20B">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5F52EB32">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670A21C9">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7071A821">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11A2552E">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388FDBA4">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457859C0">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47F69D55">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44CC0CDC">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0C037EB4">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315D3428">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6C3DAE4C">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39424E18">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0CD54FC9">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1DD8BFE4">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1AD39B04">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149111C8">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72EDAB60">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both"/>
              <w:textAlignment w:val="auto"/>
              <w:rPr>
                <w:rFonts w:hint="default" w:ascii="Times New Roman" w:hAnsi="Times New Roman" w:cs="Times New Roman"/>
                <w:b/>
                <w:bCs/>
                <w:color w:val="auto"/>
                <w:lang w:val="en-US" w:eastAsia="zh-CN"/>
              </w:rPr>
            </w:pPr>
          </w:p>
          <w:p w14:paraId="69C654B5">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0756E759">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p>
          <w:p w14:paraId="0AB77433">
            <w:pPr>
              <w:pStyle w:val="14"/>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图2-2 施工期工艺流程及产污情况图</w:t>
            </w:r>
          </w:p>
          <w:p w14:paraId="6F9D46B7">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二、运营期</w:t>
            </w:r>
          </w:p>
          <w:p w14:paraId="50748F4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1、工艺流程及产污环节图</w:t>
            </w:r>
          </w:p>
          <w:p w14:paraId="1D13D3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4"/>
                <w:szCs w:val="24"/>
                <w:lang w:eastAsia="zh-CN"/>
              </w:rPr>
            </w:pPr>
            <w:r>
              <w:rPr>
                <w:color w:val="auto"/>
              </w:rPr>
              <w:drawing>
                <wp:inline distT="0" distB="0" distL="114300" distR="114300">
                  <wp:extent cx="5543550" cy="3543300"/>
                  <wp:effectExtent l="0" t="0" r="0" b="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3"/>
                          <a:stretch>
                            <a:fillRect/>
                          </a:stretch>
                        </pic:blipFill>
                        <pic:spPr>
                          <a:xfrm>
                            <a:off x="0" y="0"/>
                            <a:ext cx="5543550" cy="3543300"/>
                          </a:xfrm>
                          <a:prstGeom prst="rect">
                            <a:avLst/>
                          </a:prstGeom>
                          <a:noFill/>
                          <a:ln>
                            <a:noFill/>
                          </a:ln>
                        </pic:spPr>
                      </pic:pic>
                    </a:graphicData>
                  </a:graphic>
                </wp:inline>
              </w:drawing>
            </w:r>
          </w:p>
          <w:p w14:paraId="4A42921C">
            <w:pPr>
              <w:keepNext w:val="0"/>
              <w:keepLines w:val="0"/>
              <w:pageBreakBefore w:val="0"/>
              <w:widowControl/>
              <w:kinsoku w:val="0"/>
              <w:wordWrap/>
              <w:overflowPunct/>
              <w:topLinePunct w:val="0"/>
              <w:autoSpaceDE w:val="0"/>
              <w:autoSpaceDN w:val="0"/>
              <w:bidi w:val="0"/>
              <w:adjustRightInd w:val="0"/>
              <w:snapToGrid w:val="0"/>
              <w:spacing w:after="0" w:afterLines="30" w:line="240" w:lineRule="auto"/>
              <w:ind w:firstLine="0" w:firstLineChars="0"/>
              <w:jc w:val="center"/>
              <w:textAlignment w:val="baseline"/>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图2-</w:t>
            </w:r>
            <w:r>
              <w:rPr>
                <w:rFonts w:hint="eastAsia" w:ascii="Times New Roman" w:hAnsi="Times New Roman" w:cs="Times New Roman"/>
                <w:b/>
                <w:bCs/>
                <w:color w:val="auto"/>
                <w:sz w:val="24"/>
                <w:szCs w:val="24"/>
                <w:highlight w:val="none"/>
                <w:lang w:val="en-US" w:eastAsia="zh-CN"/>
              </w:rPr>
              <w:t xml:space="preserve">3 </w:t>
            </w:r>
            <w:r>
              <w:rPr>
                <w:rFonts w:hint="eastAsia" w:ascii="Times New Roman" w:hAnsi="Times New Roman" w:eastAsia="宋体" w:cs="Times New Roman"/>
                <w:b/>
                <w:bCs/>
                <w:color w:val="auto"/>
                <w:sz w:val="24"/>
                <w:szCs w:val="24"/>
                <w:highlight w:val="none"/>
                <w:lang w:val="en-US" w:eastAsia="zh-CN"/>
              </w:rPr>
              <w:t>覆膜砂铸造</w:t>
            </w:r>
            <w:r>
              <w:rPr>
                <w:rFonts w:hint="default" w:ascii="Times New Roman" w:hAnsi="Times New Roman" w:eastAsia="宋体" w:cs="Times New Roman"/>
                <w:b/>
                <w:bCs/>
                <w:color w:val="auto"/>
                <w:sz w:val="24"/>
                <w:szCs w:val="24"/>
                <w:highlight w:val="none"/>
                <w:lang w:val="en-US" w:eastAsia="zh-CN"/>
              </w:rPr>
              <w:t>生产</w:t>
            </w:r>
            <w:r>
              <w:rPr>
                <w:rFonts w:hint="default" w:ascii="Times New Roman" w:hAnsi="Times New Roman" w:eastAsia="宋体" w:cs="Times New Roman"/>
                <w:b/>
                <w:bCs/>
                <w:color w:val="auto"/>
                <w:sz w:val="24"/>
                <w:szCs w:val="24"/>
                <w:highlight w:val="none"/>
              </w:rPr>
              <w:t>工艺流程及产污环节图</w:t>
            </w:r>
          </w:p>
          <w:p w14:paraId="41F935F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覆膜砂铸造</w:t>
            </w:r>
            <w:r>
              <w:rPr>
                <w:rFonts w:hint="default" w:ascii="Times New Roman" w:hAnsi="Times New Roman" w:eastAsia="宋体" w:cs="Times New Roman"/>
                <w:color w:val="auto"/>
                <w:sz w:val="24"/>
                <w:szCs w:val="24"/>
              </w:rPr>
              <w:t>工艺流程：</w:t>
            </w:r>
          </w:p>
          <w:p w14:paraId="4A2E1E2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color w:val="auto"/>
                <w:sz w:val="30"/>
                <w:szCs w:val="30"/>
                <w:lang w:val="en-US" w:eastAsia="zh-CN"/>
              </w:rPr>
            </w:pPr>
            <w:r>
              <w:rPr>
                <w:rFonts w:hint="default" w:ascii="Times New Roman" w:hAnsi="Times New Roman" w:eastAsia="宋体" w:cs="Times New Roman"/>
                <w:color w:val="auto"/>
                <w:sz w:val="24"/>
                <w:szCs w:val="24"/>
                <w:lang w:eastAsia="zh-CN"/>
              </w:rPr>
              <w:t>①制芯、制壳：将外购的覆膜砂投入射芯机顶端的砂罐中，在重力作用下完成倒砂，覆膜砂在芯盒内受热很快硬化到一定厚度，将之取出，形成表面光滑、尺寸精确的优质砂芯和砂壳。射芯机采用电加热，工作温度约为200°C，加热过程产生</w:t>
            </w:r>
            <w:r>
              <w:rPr>
                <w:rFonts w:hint="eastAsia" w:ascii="Times New Roman" w:hAnsi="Times New Roman" w:cs="Times New Roman"/>
                <w:color w:val="auto"/>
                <w:sz w:val="24"/>
                <w:szCs w:val="24"/>
                <w:lang w:val="en-US" w:eastAsia="zh-CN"/>
              </w:rPr>
              <w:t>颗粒物、VOCs、甲醛及酚类</w:t>
            </w:r>
            <w:r>
              <w:rPr>
                <w:rFonts w:hint="default" w:ascii="Times New Roman" w:hAnsi="Times New Roman" w:eastAsia="宋体" w:cs="Times New Roman"/>
                <w:color w:val="auto"/>
                <w:sz w:val="24"/>
                <w:szCs w:val="24"/>
                <w:lang w:eastAsia="zh-CN"/>
              </w:rPr>
              <w:t>。制芯、制壳过程整体密闭，于射芯机投料口、出料口上方设置集气罩，收集投料粉尘和有机废气进入“布袋除尘器+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lang w:eastAsia="zh-CN"/>
              </w:rPr>
              <w:t>活性炭吸附”装置处理后通过15m高排气筒DA00</w:t>
            </w:r>
            <w:r>
              <w:rPr>
                <w:rFonts w:hint="eastAsia"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lang w:eastAsia="zh-CN"/>
              </w:rPr>
              <w:t>（新增）排放。制芯、制壳过程还会产生噪声和废包装</w:t>
            </w:r>
            <w:r>
              <w:rPr>
                <w:rFonts w:hint="eastAsia" w:ascii="Times New Roman" w:hAnsi="Times New Roman" w:cs="Times New Roman"/>
                <w:color w:val="auto"/>
                <w:sz w:val="24"/>
                <w:szCs w:val="24"/>
                <w:lang w:val="en-US" w:eastAsia="zh-CN"/>
              </w:rPr>
              <w:t>物</w:t>
            </w:r>
            <w:r>
              <w:rPr>
                <w:rFonts w:hint="default" w:ascii="Times New Roman" w:hAnsi="Times New Roman" w:eastAsia="宋体" w:cs="Times New Roman"/>
                <w:color w:val="auto"/>
                <w:sz w:val="24"/>
                <w:szCs w:val="24"/>
                <w:lang w:eastAsia="zh-CN"/>
              </w:rPr>
              <w:t>。②合箱：将制得的上、下两部分模壳合在一起，即为浇注壳型。该过程产生噪声。③熔化：原料生铁直接从外购进，进厂要求无杂质、无油污、无涂层等，故无需表面清理。熔化采用现有中频感应电炉，将生铁加入电炉中，炉料在炉内经升温、熔化至</w:t>
            </w:r>
            <w:r>
              <w:rPr>
                <w:rFonts w:hint="eastAsia" w:ascii="Times New Roman" w:hAnsi="Times New Roman" w:cs="Times New Roman"/>
                <w:color w:val="auto"/>
                <w:sz w:val="24"/>
                <w:szCs w:val="24"/>
                <w:lang w:val="en-US" w:eastAsia="zh-CN"/>
              </w:rPr>
              <w:t>铁</w:t>
            </w:r>
            <w:r>
              <w:rPr>
                <w:rFonts w:hint="default" w:ascii="Times New Roman" w:hAnsi="Times New Roman" w:eastAsia="宋体" w:cs="Times New Roman"/>
                <w:color w:val="auto"/>
                <w:sz w:val="24"/>
                <w:szCs w:val="24"/>
                <w:lang w:eastAsia="zh-CN"/>
              </w:rPr>
              <w:t>水温度达到1300°C时进行保温。熔化过程会产生烟尘，在电炉上方设有集气罩，收集废气进入“布袋除尘器+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lang w:eastAsia="zh-CN"/>
              </w:rPr>
              <w:t>活性炭吸附”</w:t>
            </w:r>
            <w:r>
              <w:rPr>
                <w:rFonts w:hint="eastAsia" w:ascii="Times New Roman" w:hAnsi="Times New Roman" w:cs="Times New Roman"/>
                <w:color w:val="auto"/>
                <w:sz w:val="24"/>
                <w:szCs w:val="24"/>
                <w:lang w:val="en-US" w:eastAsia="zh-CN"/>
              </w:rPr>
              <w:t>装置</w:t>
            </w:r>
            <w:r>
              <w:rPr>
                <w:rFonts w:hint="default" w:ascii="Times New Roman" w:hAnsi="Times New Roman" w:eastAsia="宋体" w:cs="Times New Roman"/>
                <w:color w:val="auto"/>
                <w:sz w:val="24"/>
                <w:szCs w:val="24"/>
                <w:lang w:eastAsia="zh-CN"/>
              </w:rPr>
              <w:t>处理后，通过15m高排气筒</w:t>
            </w:r>
            <w:r>
              <w:rPr>
                <w:rFonts w:hint="eastAsia" w:ascii="Times New Roman" w:hAnsi="Times New Roman" w:cs="Times New Roman"/>
                <w:color w:val="auto"/>
                <w:sz w:val="24"/>
                <w:szCs w:val="24"/>
                <w:lang w:val="en-US" w:eastAsia="zh-CN"/>
              </w:rPr>
              <w:t>DA001</w:t>
            </w:r>
            <w:r>
              <w:rPr>
                <w:rFonts w:hint="default" w:ascii="Times New Roman" w:hAnsi="Times New Roman" w:eastAsia="宋体" w:cs="Times New Roman"/>
                <w:color w:val="auto"/>
                <w:sz w:val="24"/>
                <w:szCs w:val="24"/>
                <w:lang w:eastAsia="zh-CN"/>
              </w:rPr>
              <w:t>（现有）</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eastAsia="zh-CN"/>
              </w:rPr>
              <w:t>DA00</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（现有）排放。熔化过程还会产生电炉炉渣、噪声。④浇注：项目采用立式重力浇注，将熔化的铁水充满壳型内腔中，凝固后形成铸件。浇注工位固定，在浇注工位上方设集气罩收集烟尘</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VOCs、甲醛及酚类</w:t>
            </w:r>
            <w:r>
              <w:rPr>
                <w:rFonts w:hint="default" w:ascii="Times New Roman" w:hAnsi="Times New Roman" w:eastAsia="宋体" w:cs="Times New Roman"/>
                <w:color w:val="auto"/>
                <w:sz w:val="24"/>
                <w:szCs w:val="24"/>
                <w:lang w:eastAsia="zh-CN"/>
              </w:rPr>
              <w:t>，进入“布袋除尘器+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lang w:eastAsia="zh-CN"/>
              </w:rPr>
              <w:t>活性炭吸附”装置处理后通过15m高排气筒</w:t>
            </w:r>
            <w:r>
              <w:rPr>
                <w:rFonts w:hint="eastAsia" w:ascii="Times New Roman" w:hAnsi="Times New Roman" w:cs="Times New Roman"/>
                <w:color w:val="auto"/>
                <w:sz w:val="24"/>
                <w:szCs w:val="24"/>
                <w:lang w:val="en-US" w:eastAsia="zh-CN"/>
              </w:rPr>
              <w:t>DA001</w:t>
            </w:r>
            <w:r>
              <w:rPr>
                <w:rFonts w:hint="default" w:ascii="Times New Roman" w:hAnsi="Times New Roman" w:eastAsia="宋体" w:cs="Times New Roman"/>
                <w:color w:val="auto"/>
                <w:sz w:val="24"/>
                <w:szCs w:val="24"/>
                <w:lang w:eastAsia="zh-CN"/>
              </w:rPr>
              <w:t>（现有）</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eastAsia="zh-CN"/>
              </w:rPr>
              <w:t>DA00</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（现有）排放。⑤清模：铸型浇注完成并冷却后将铸件运至砂处理区，由人工清理并收集脱落的覆膜砂，该工位设置封闭围挡，并在上方设集气罩，收集废气进入“布袋除尘器+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lang w:eastAsia="zh-CN"/>
              </w:rPr>
              <w:t>活性炭吸附”</w:t>
            </w:r>
            <w:r>
              <w:rPr>
                <w:rFonts w:hint="eastAsia" w:ascii="Times New Roman" w:hAnsi="Times New Roman" w:cs="Times New Roman"/>
                <w:color w:val="auto"/>
                <w:sz w:val="24"/>
                <w:szCs w:val="24"/>
                <w:lang w:val="en-US" w:eastAsia="zh-CN"/>
              </w:rPr>
              <w:t>装置</w:t>
            </w:r>
            <w:r>
              <w:rPr>
                <w:rFonts w:hint="default" w:ascii="Times New Roman" w:hAnsi="Times New Roman" w:eastAsia="宋体" w:cs="Times New Roman"/>
                <w:color w:val="auto"/>
                <w:sz w:val="24"/>
                <w:szCs w:val="24"/>
                <w:lang w:eastAsia="zh-CN"/>
              </w:rPr>
              <w:t>处理后，通过一根15m高排气筒DA00</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现有</w:t>
            </w:r>
            <w:r>
              <w:rPr>
                <w:rFonts w:hint="default" w:ascii="Times New Roman" w:hAnsi="Times New Roman" w:eastAsia="宋体" w:cs="Times New Roman"/>
                <w:color w:val="auto"/>
                <w:sz w:val="24"/>
                <w:szCs w:val="24"/>
                <w:lang w:eastAsia="zh-CN"/>
              </w:rPr>
              <w:t>）排放。清模过程还会产生废覆膜砂和噪声</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⑥去冒口：取件后使用角磨机将工件上的浇冒口切除，过程中会产生噪声及切割粉尘。</w:t>
            </w:r>
            <w:r>
              <w:rPr>
                <w:rFonts w:hint="default" w:ascii="Times New Roman" w:hAnsi="Times New Roman" w:eastAsia="宋体" w:cs="Times New Roman"/>
                <w:color w:val="auto"/>
                <w:sz w:val="24"/>
                <w:szCs w:val="24"/>
                <w:lang w:eastAsia="zh-CN"/>
              </w:rPr>
              <w:t>设有移动式集气罩，收集废气进入“布袋除尘器+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lang w:eastAsia="zh-CN"/>
              </w:rPr>
              <w:t>活性炭吸附”</w:t>
            </w:r>
            <w:r>
              <w:rPr>
                <w:rFonts w:hint="eastAsia" w:ascii="Times New Roman" w:hAnsi="Times New Roman" w:eastAsia="宋体" w:cs="Times New Roman"/>
                <w:color w:val="auto"/>
                <w:sz w:val="24"/>
                <w:szCs w:val="24"/>
                <w:lang w:val="en-US" w:eastAsia="zh-CN"/>
              </w:rPr>
              <w:t>装置</w:t>
            </w:r>
            <w:r>
              <w:rPr>
                <w:rFonts w:hint="default" w:ascii="Times New Roman" w:hAnsi="Times New Roman" w:eastAsia="宋体" w:cs="Times New Roman"/>
                <w:color w:val="auto"/>
                <w:sz w:val="24"/>
                <w:szCs w:val="24"/>
                <w:lang w:eastAsia="zh-CN"/>
              </w:rPr>
              <w:t>处理后，通过15m高排气筒</w:t>
            </w:r>
            <w:r>
              <w:rPr>
                <w:rFonts w:hint="eastAsia" w:ascii="Times New Roman" w:hAnsi="Times New Roman" w:eastAsia="宋体" w:cs="Times New Roman"/>
                <w:color w:val="auto"/>
                <w:sz w:val="24"/>
                <w:szCs w:val="24"/>
                <w:lang w:val="en-US" w:eastAsia="zh-CN"/>
              </w:rPr>
              <w:t>DA003</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新增</w:t>
            </w:r>
            <w:r>
              <w:rPr>
                <w:rFonts w:hint="default" w:ascii="Times New Roman" w:hAnsi="Times New Roman" w:eastAsia="宋体" w:cs="Times New Roman"/>
                <w:color w:val="auto"/>
                <w:sz w:val="24"/>
                <w:szCs w:val="24"/>
                <w:lang w:eastAsia="zh-CN"/>
              </w:rPr>
              <w:t>）排放。</w:t>
            </w:r>
            <w:r>
              <w:rPr>
                <w:rFonts w:hint="eastAsia" w:ascii="Times New Roman" w:hAnsi="Times New Roman" w:eastAsia="宋体" w:cs="Times New Roman"/>
                <w:color w:val="auto"/>
                <w:sz w:val="24"/>
                <w:szCs w:val="24"/>
                <w:lang w:val="en-US" w:eastAsia="zh-CN"/>
              </w:rPr>
              <w:t>去冒口阶段还会产生噪声及废浇冒口。⑦抛丸：将利用</w:t>
            </w:r>
            <w:r>
              <w:rPr>
                <w:rFonts w:hint="default" w:ascii="Times New Roman" w:hAnsi="Times New Roman" w:eastAsia="宋体" w:cs="Times New Roman"/>
                <w:color w:val="auto"/>
                <w:sz w:val="24"/>
                <w:szCs w:val="24"/>
                <w:lang w:eastAsia="zh-CN"/>
              </w:rPr>
              <w:t>抛丸机对毛坯件进行表面光滑处理，</w:t>
            </w:r>
            <w:r>
              <w:rPr>
                <w:rFonts w:hint="eastAsia" w:ascii="Times New Roman" w:hAnsi="Times New Roman" w:eastAsia="宋体" w:cs="Times New Roman"/>
                <w:color w:val="auto"/>
                <w:sz w:val="24"/>
                <w:szCs w:val="24"/>
                <w:lang w:val="en-US" w:eastAsia="zh-CN"/>
              </w:rPr>
              <w:t>抛丸废气经</w:t>
            </w:r>
            <w:r>
              <w:rPr>
                <w:rFonts w:hint="default" w:ascii="Times New Roman" w:hAnsi="Times New Roman" w:eastAsia="宋体" w:cs="Times New Roman"/>
                <w:color w:val="auto"/>
                <w:sz w:val="24"/>
                <w:szCs w:val="24"/>
                <w:lang w:eastAsia="zh-CN"/>
              </w:rPr>
              <w:t>收集</w:t>
            </w:r>
            <w:r>
              <w:rPr>
                <w:rFonts w:hint="eastAsia" w:ascii="Times New Roman" w:hAnsi="Times New Roman" w:eastAsia="宋体" w:cs="Times New Roman"/>
                <w:color w:val="auto"/>
                <w:sz w:val="24"/>
                <w:szCs w:val="24"/>
                <w:lang w:val="en-US" w:eastAsia="zh-CN"/>
              </w:rPr>
              <w:t>后</w:t>
            </w:r>
            <w:r>
              <w:rPr>
                <w:rFonts w:hint="default" w:ascii="Times New Roman" w:hAnsi="Times New Roman" w:eastAsia="宋体" w:cs="Times New Roman"/>
                <w:color w:val="auto"/>
                <w:sz w:val="24"/>
                <w:szCs w:val="24"/>
                <w:lang w:eastAsia="zh-CN"/>
              </w:rPr>
              <w:t>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lang w:eastAsia="zh-CN"/>
              </w:rPr>
              <w:t>活性炭吸附”</w:t>
            </w:r>
            <w:r>
              <w:rPr>
                <w:rFonts w:hint="eastAsia" w:ascii="Times New Roman" w:hAnsi="Times New Roman" w:eastAsia="宋体" w:cs="Times New Roman"/>
                <w:color w:val="auto"/>
                <w:sz w:val="24"/>
                <w:szCs w:val="24"/>
                <w:lang w:val="en-US" w:eastAsia="zh-CN"/>
              </w:rPr>
              <w:t>装置</w:t>
            </w:r>
            <w:r>
              <w:rPr>
                <w:rFonts w:hint="default" w:ascii="Times New Roman" w:hAnsi="Times New Roman" w:eastAsia="宋体" w:cs="Times New Roman"/>
                <w:color w:val="auto"/>
                <w:sz w:val="24"/>
                <w:szCs w:val="24"/>
                <w:lang w:eastAsia="zh-CN"/>
              </w:rPr>
              <w:t>处理，通过15m高排气筒</w:t>
            </w:r>
            <w:r>
              <w:rPr>
                <w:rFonts w:hint="eastAsia" w:ascii="Times New Roman" w:hAnsi="Times New Roman" w:eastAsia="宋体" w:cs="Times New Roman"/>
                <w:color w:val="auto"/>
                <w:sz w:val="24"/>
                <w:szCs w:val="24"/>
                <w:lang w:val="en-US" w:eastAsia="zh-CN"/>
              </w:rPr>
              <w:t>DA003</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新增</w:t>
            </w:r>
            <w:r>
              <w:rPr>
                <w:rFonts w:hint="default" w:ascii="Times New Roman" w:hAnsi="Times New Roman" w:eastAsia="宋体" w:cs="Times New Roman"/>
                <w:color w:val="auto"/>
                <w:sz w:val="24"/>
                <w:szCs w:val="24"/>
                <w:lang w:eastAsia="zh-CN"/>
              </w:rPr>
              <w:t>）排放</w:t>
            </w:r>
            <w:r>
              <w:rPr>
                <w:rFonts w:hint="eastAsia" w:ascii="Times New Roman" w:hAnsi="Times New Roman" w:eastAsia="宋体" w:cs="Times New Roman"/>
                <w:color w:val="auto"/>
                <w:sz w:val="24"/>
                <w:szCs w:val="24"/>
                <w:lang w:val="en-US" w:eastAsia="zh-CN"/>
              </w:rPr>
              <w:t>。抛丸过程还会产生噪声</w:t>
            </w:r>
            <w:r>
              <w:rPr>
                <w:rFonts w:hint="default" w:ascii="Times New Roman" w:hAnsi="Times New Roman" w:eastAsia="宋体" w:cs="Times New Roman"/>
                <w:color w:val="auto"/>
                <w:sz w:val="24"/>
                <w:szCs w:val="24"/>
                <w:lang w:val="en-US" w:eastAsia="zh-CN"/>
              </w:rPr>
              <w:t>及废钢丸</w:t>
            </w:r>
            <w:r>
              <w:rPr>
                <w:rFonts w:hint="eastAsia" w:ascii="Times New Roman" w:hAnsi="Times New Roman" w:eastAsia="宋体" w:cs="Times New Roman"/>
                <w:color w:val="auto"/>
                <w:sz w:val="24"/>
                <w:szCs w:val="24"/>
                <w:lang w:val="en-US" w:eastAsia="zh-CN"/>
              </w:rPr>
              <w:t>。⑧退火：利用退火炉对抛丸后的铸件进行退火处理，此阶段产生噪声。⑨检验：退火冷却后的铸件需进行检验，此阶段产生不合格品。⑩入库：检验后成品入库待售。</w:t>
            </w:r>
          </w:p>
          <w:p w14:paraId="5A7FC739">
            <w:pPr>
              <w:keepNext w:val="0"/>
              <w:keepLines w:val="0"/>
              <w:pageBreakBefore w:val="0"/>
              <w:widowControl/>
              <w:kinsoku w:val="0"/>
              <w:wordWrap/>
              <w:overflowPunct/>
              <w:topLinePunct w:val="0"/>
              <w:autoSpaceDE w:val="0"/>
              <w:autoSpaceDN w:val="0"/>
              <w:bidi w:val="0"/>
              <w:adjustRightInd w:val="0"/>
              <w:snapToGrid w:val="0"/>
              <w:textAlignment w:val="baseline"/>
              <w:rPr>
                <w:rFonts w:hint="eastAsia" w:ascii="Times New Roman" w:hAnsi="Times New Roman" w:cs="Times New Roman"/>
                <w:color w:val="auto"/>
                <w:sz w:val="24"/>
                <w:szCs w:val="24"/>
                <w:lang w:val="en-US" w:eastAsia="zh-CN"/>
              </w:rPr>
            </w:pPr>
            <w:r>
              <w:rPr>
                <w:color w:val="auto"/>
              </w:rPr>
              <w:drawing>
                <wp:inline distT="0" distB="0" distL="114300" distR="114300">
                  <wp:extent cx="5972175" cy="2961005"/>
                  <wp:effectExtent l="0" t="0" r="9525" b="1079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14"/>
                          <a:stretch>
                            <a:fillRect/>
                          </a:stretch>
                        </pic:blipFill>
                        <pic:spPr>
                          <a:xfrm>
                            <a:off x="0" y="0"/>
                            <a:ext cx="5972175" cy="2961005"/>
                          </a:xfrm>
                          <a:prstGeom prst="rect">
                            <a:avLst/>
                          </a:prstGeom>
                          <a:noFill/>
                          <a:ln>
                            <a:noFill/>
                          </a:ln>
                        </pic:spPr>
                      </pic:pic>
                    </a:graphicData>
                  </a:graphic>
                </wp:inline>
              </w:drawing>
            </w:r>
          </w:p>
          <w:p w14:paraId="7F2DCE15">
            <w:pPr>
              <w:keepNext w:val="0"/>
              <w:keepLines w:val="0"/>
              <w:pageBreakBefore w:val="0"/>
              <w:widowControl/>
              <w:kinsoku w:val="0"/>
              <w:wordWrap/>
              <w:overflowPunct/>
              <w:topLinePunct w:val="0"/>
              <w:autoSpaceDE w:val="0"/>
              <w:autoSpaceDN w:val="0"/>
              <w:bidi w:val="0"/>
              <w:adjustRightInd w:val="0"/>
              <w:snapToGrid w:val="0"/>
              <w:spacing w:after="0" w:afterLines="30" w:line="240" w:lineRule="auto"/>
              <w:ind w:firstLine="0" w:firstLineChars="0"/>
              <w:jc w:val="center"/>
              <w:textAlignment w:val="baseline"/>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图2-</w:t>
            </w:r>
            <w:r>
              <w:rPr>
                <w:rFonts w:hint="eastAsia" w:ascii="Times New Roman" w:hAnsi="Times New Roman" w:cs="Times New Roman"/>
                <w:b/>
                <w:bCs/>
                <w:color w:val="auto"/>
                <w:sz w:val="24"/>
                <w:szCs w:val="24"/>
                <w:highlight w:val="none"/>
                <w:lang w:val="en-US" w:eastAsia="zh-CN"/>
              </w:rPr>
              <w:t xml:space="preserve">4 </w:t>
            </w:r>
            <w:r>
              <w:rPr>
                <w:rFonts w:hint="eastAsia" w:ascii="Times New Roman" w:hAnsi="Times New Roman" w:eastAsia="宋体" w:cs="Times New Roman"/>
                <w:b/>
                <w:bCs/>
                <w:color w:val="auto"/>
                <w:sz w:val="24"/>
                <w:szCs w:val="24"/>
                <w:highlight w:val="none"/>
                <w:lang w:val="en-US" w:eastAsia="zh-CN"/>
              </w:rPr>
              <w:t>消失模铸造</w:t>
            </w:r>
            <w:r>
              <w:rPr>
                <w:rFonts w:hint="default" w:ascii="Times New Roman" w:hAnsi="Times New Roman" w:eastAsia="宋体" w:cs="Times New Roman"/>
                <w:b/>
                <w:bCs/>
                <w:color w:val="auto"/>
                <w:sz w:val="24"/>
                <w:szCs w:val="24"/>
                <w:highlight w:val="none"/>
                <w:lang w:val="en-US" w:eastAsia="zh-CN"/>
              </w:rPr>
              <w:t>生产</w:t>
            </w:r>
            <w:r>
              <w:rPr>
                <w:rFonts w:hint="default" w:ascii="Times New Roman" w:hAnsi="Times New Roman" w:eastAsia="宋体" w:cs="Times New Roman"/>
                <w:b/>
                <w:bCs/>
                <w:color w:val="auto"/>
                <w:sz w:val="24"/>
                <w:szCs w:val="24"/>
                <w:highlight w:val="none"/>
              </w:rPr>
              <w:t>工艺流程及产污环节图</w:t>
            </w:r>
          </w:p>
          <w:p w14:paraId="698C363B">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消失模铸造工艺</w:t>
            </w:r>
            <w:r>
              <w:rPr>
                <w:rFonts w:hint="eastAsia" w:ascii="Times New Roman" w:hAnsi="Times New Roman" w:cs="Times New Roman"/>
                <w:color w:val="auto"/>
                <w:sz w:val="24"/>
                <w:szCs w:val="24"/>
                <w:highlight w:val="none"/>
                <w:lang w:val="en-US" w:eastAsia="zh-CN"/>
              </w:rPr>
              <w:t>流程：</w:t>
            </w:r>
          </w:p>
          <w:p w14:paraId="69FF6A41">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①模型切割：本项目外购的</w:t>
            </w:r>
            <w:r>
              <w:rPr>
                <w:rFonts w:hint="eastAsia" w:ascii="Times New Roman" w:hAnsi="Times New Roman" w:cs="Times New Roman"/>
                <w:color w:val="auto"/>
                <w:sz w:val="24"/>
                <w:szCs w:val="24"/>
                <w:highlight w:val="none"/>
                <w:lang w:val="en-US" w:eastAsia="zh-CN"/>
              </w:rPr>
              <w:t>聚苯乙烯泡沫</w:t>
            </w:r>
            <w:r>
              <w:rPr>
                <w:rFonts w:hint="eastAsia" w:ascii="Times New Roman" w:hAnsi="Times New Roman" w:eastAsia="宋体" w:cs="Times New Roman"/>
                <w:color w:val="auto"/>
                <w:sz w:val="24"/>
                <w:szCs w:val="24"/>
                <w:highlight w:val="none"/>
                <w:lang w:val="en-US" w:eastAsia="zh-CN"/>
              </w:rPr>
              <w:t>在切割时通过高温切割线条将塑料模型简单切割，制成项目生产所需规格大小，过程中会因切割边缘高温产生少量</w:t>
            </w:r>
            <w:r>
              <w:rPr>
                <w:rFonts w:hint="eastAsia" w:ascii="Times New Roman" w:hAnsi="Times New Roman" w:cs="Times New Roman"/>
                <w:color w:val="auto"/>
                <w:sz w:val="24"/>
                <w:szCs w:val="24"/>
                <w:highlight w:val="none"/>
                <w:lang w:val="en-US" w:eastAsia="zh-CN"/>
              </w:rPr>
              <w:t>有机</w:t>
            </w:r>
            <w:r>
              <w:rPr>
                <w:rFonts w:hint="eastAsia" w:ascii="Times New Roman" w:hAnsi="Times New Roman" w:eastAsia="宋体" w:cs="Times New Roman"/>
                <w:color w:val="auto"/>
                <w:sz w:val="24"/>
                <w:szCs w:val="24"/>
                <w:highlight w:val="none"/>
                <w:lang w:val="en-US" w:eastAsia="zh-CN"/>
              </w:rPr>
              <w:t>废气及设备噪声。</w:t>
            </w:r>
            <w:r>
              <w:rPr>
                <w:rFonts w:hint="default" w:ascii="Times New Roman" w:hAnsi="Times New Roman" w:eastAsia="宋体" w:cs="Times New Roman"/>
                <w:color w:val="auto"/>
                <w:sz w:val="24"/>
                <w:szCs w:val="24"/>
                <w:highlight w:val="none"/>
                <w:lang w:eastAsia="zh-CN"/>
              </w:rPr>
              <w:t>设有集气罩，收集废气进入“布袋除尘器+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highlight w:val="none"/>
                <w:lang w:eastAsia="zh-CN"/>
              </w:rPr>
              <w:t>活性炭吸附”</w:t>
            </w:r>
            <w:r>
              <w:rPr>
                <w:rFonts w:hint="eastAsia" w:ascii="Times New Roman" w:hAnsi="Times New Roman" w:eastAsia="宋体" w:cs="Times New Roman"/>
                <w:color w:val="auto"/>
                <w:sz w:val="24"/>
                <w:szCs w:val="24"/>
                <w:highlight w:val="none"/>
                <w:lang w:val="en-US" w:eastAsia="zh-CN"/>
              </w:rPr>
              <w:t>装置</w:t>
            </w:r>
            <w:r>
              <w:rPr>
                <w:rFonts w:hint="default" w:ascii="Times New Roman" w:hAnsi="Times New Roman" w:eastAsia="宋体" w:cs="Times New Roman"/>
                <w:color w:val="auto"/>
                <w:sz w:val="24"/>
                <w:szCs w:val="24"/>
                <w:highlight w:val="none"/>
                <w:lang w:eastAsia="zh-CN"/>
              </w:rPr>
              <w:t>处理后，通过15m高排气筒</w:t>
            </w:r>
            <w:r>
              <w:rPr>
                <w:rFonts w:hint="eastAsia" w:ascii="Times New Roman" w:hAnsi="Times New Roman" w:eastAsia="宋体" w:cs="Times New Roman"/>
                <w:color w:val="auto"/>
                <w:sz w:val="24"/>
                <w:szCs w:val="24"/>
                <w:highlight w:val="none"/>
                <w:lang w:val="en-US" w:eastAsia="zh-CN"/>
              </w:rPr>
              <w:t>DA003</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新增</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val="en-US" w:eastAsia="zh-CN"/>
              </w:rPr>
              <w:t>②刷涂料、烘干：人工在泡沫模型表面刷上耐火涂料，以确保铸件表面光洁度及精密度，有利于浇注后耐火涂料模壳脱落，将上好涂料的模型由热风烘干机进行烘干，该工序会因泡沫模型受热挥发产生少量有机废气、废包装和噪声。</w:t>
            </w:r>
            <w:r>
              <w:rPr>
                <w:rFonts w:hint="default" w:ascii="Times New Roman" w:hAnsi="Times New Roman" w:eastAsia="宋体" w:cs="Times New Roman"/>
                <w:color w:val="auto"/>
                <w:sz w:val="24"/>
                <w:szCs w:val="24"/>
                <w:highlight w:val="none"/>
                <w:lang w:eastAsia="zh-CN"/>
              </w:rPr>
              <w:t>设有集气罩，收集废气进入“布袋除尘器+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highlight w:val="none"/>
                <w:lang w:eastAsia="zh-CN"/>
              </w:rPr>
              <w:t>活性炭吸附”</w:t>
            </w:r>
            <w:r>
              <w:rPr>
                <w:rFonts w:hint="eastAsia" w:ascii="Times New Roman" w:hAnsi="Times New Roman" w:eastAsia="宋体" w:cs="Times New Roman"/>
                <w:color w:val="auto"/>
                <w:sz w:val="24"/>
                <w:szCs w:val="24"/>
                <w:highlight w:val="none"/>
                <w:lang w:val="en-US" w:eastAsia="zh-CN"/>
              </w:rPr>
              <w:t>装置</w:t>
            </w:r>
            <w:r>
              <w:rPr>
                <w:rFonts w:hint="default" w:ascii="Times New Roman" w:hAnsi="Times New Roman" w:eastAsia="宋体" w:cs="Times New Roman"/>
                <w:color w:val="auto"/>
                <w:sz w:val="24"/>
                <w:szCs w:val="24"/>
                <w:highlight w:val="none"/>
                <w:lang w:eastAsia="zh-CN"/>
              </w:rPr>
              <w:t>处理后，通过15m高排气筒</w:t>
            </w:r>
            <w:r>
              <w:rPr>
                <w:rFonts w:hint="eastAsia" w:ascii="Times New Roman" w:hAnsi="Times New Roman" w:eastAsia="宋体" w:cs="Times New Roman"/>
                <w:color w:val="auto"/>
                <w:sz w:val="24"/>
                <w:szCs w:val="24"/>
                <w:highlight w:val="none"/>
                <w:lang w:val="en-US" w:eastAsia="zh-CN"/>
              </w:rPr>
              <w:t>DA003</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新增</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val="en-US" w:eastAsia="zh-CN"/>
              </w:rPr>
              <w:t>③装箱：向空砂箱置入一定量的型砂，把泡沫模具放入砂箱中并使其稳固，振实一段时间（30～60s），增加型砂堆积密度并使型砂充满模型各个部位后，刮平箱口并密封。此工序产生装箱粉尘。</w:t>
            </w:r>
            <w:r>
              <w:rPr>
                <w:rFonts w:hint="default" w:ascii="Times New Roman" w:hAnsi="Times New Roman" w:eastAsia="宋体" w:cs="Times New Roman"/>
                <w:color w:val="auto"/>
                <w:sz w:val="24"/>
                <w:szCs w:val="24"/>
                <w:highlight w:val="none"/>
                <w:lang w:eastAsia="zh-CN"/>
              </w:rPr>
              <w:t>设有集气罩，收集废气进入“布袋除尘器+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highlight w:val="none"/>
                <w:lang w:eastAsia="zh-CN"/>
              </w:rPr>
              <w:t>活性炭吸附”</w:t>
            </w:r>
            <w:r>
              <w:rPr>
                <w:rFonts w:hint="eastAsia" w:ascii="Times New Roman" w:hAnsi="Times New Roman" w:eastAsia="宋体" w:cs="Times New Roman"/>
                <w:color w:val="auto"/>
                <w:sz w:val="24"/>
                <w:szCs w:val="24"/>
                <w:highlight w:val="none"/>
                <w:lang w:val="en-US" w:eastAsia="zh-CN"/>
              </w:rPr>
              <w:t>装置</w:t>
            </w:r>
            <w:r>
              <w:rPr>
                <w:rFonts w:hint="default" w:ascii="Times New Roman" w:hAnsi="Times New Roman" w:eastAsia="宋体" w:cs="Times New Roman"/>
                <w:color w:val="auto"/>
                <w:sz w:val="24"/>
                <w:szCs w:val="24"/>
                <w:highlight w:val="none"/>
                <w:lang w:eastAsia="zh-CN"/>
              </w:rPr>
              <w:t>处理后，通过15m高排气筒</w:t>
            </w:r>
            <w:r>
              <w:rPr>
                <w:rFonts w:hint="eastAsia" w:ascii="Times New Roman" w:hAnsi="Times New Roman" w:eastAsia="宋体" w:cs="Times New Roman"/>
                <w:color w:val="auto"/>
                <w:sz w:val="24"/>
                <w:szCs w:val="24"/>
                <w:highlight w:val="none"/>
                <w:lang w:val="en-US" w:eastAsia="zh-CN"/>
              </w:rPr>
              <w:t>DA003</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新增</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val="en-US" w:eastAsia="zh-CN"/>
              </w:rPr>
              <w:t>④抽真空：在箱体上接真空泵将砂箱内抽成一定真空，以维持浇注过程中型砂不崩溃。⑤负压浇注：砂箱紧实后，把熔融的铁水通过浇口杯进行浇注，泡塑气化模具消失，金属液取代其位置。此工序产生浇注废气，主要成分为泡沫模具分解气化产生的挥发性有机物、苯乙烯</w:t>
            </w:r>
            <w:r>
              <w:rPr>
                <w:rFonts w:hint="eastAsia"/>
                <w:color w:val="auto"/>
                <w:lang w:eastAsia="zh-CN"/>
              </w:rPr>
              <w:t>、</w:t>
            </w:r>
            <w:r>
              <w:rPr>
                <w:rFonts w:hint="eastAsia"/>
                <w:color w:val="auto"/>
                <w:lang w:val="en-US" w:eastAsia="zh-CN"/>
              </w:rPr>
              <w:t>臭气浓度</w:t>
            </w:r>
            <w:r>
              <w:rPr>
                <w:rFonts w:hint="eastAsia" w:ascii="Times New Roman" w:hAnsi="Times New Roman" w:eastAsia="宋体" w:cs="Times New Roman"/>
                <w:color w:val="auto"/>
                <w:sz w:val="24"/>
                <w:szCs w:val="24"/>
                <w:highlight w:val="none"/>
                <w:lang w:val="en-US" w:eastAsia="zh-CN"/>
              </w:rPr>
              <w:t>以及颗粒物。</w:t>
            </w:r>
            <w:r>
              <w:rPr>
                <w:rFonts w:hint="default" w:ascii="Times New Roman" w:hAnsi="Times New Roman" w:eastAsia="宋体" w:cs="Times New Roman"/>
                <w:color w:val="auto"/>
                <w:sz w:val="24"/>
                <w:szCs w:val="24"/>
                <w:highlight w:val="none"/>
                <w:lang w:eastAsia="zh-CN"/>
              </w:rPr>
              <w:t>设有集气罩，收集废气进入“布袋除尘器+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highlight w:val="none"/>
                <w:lang w:eastAsia="zh-CN"/>
              </w:rPr>
              <w:t>活性炭吸附”</w:t>
            </w:r>
            <w:r>
              <w:rPr>
                <w:rFonts w:hint="eastAsia" w:ascii="Times New Roman" w:hAnsi="Times New Roman" w:eastAsia="宋体" w:cs="Times New Roman"/>
                <w:color w:val="auto"/>
                <w:sz w:val="24"/>
                <w:szCs w:val="24"/>
                <w:highlight w:val="none"/>
                <w:lang w:val="en-US" w:eastAsia="zh-CN"/>
              </w:rPr>
              <w:t>装置</w:t>
            </w:r>
            <w:r>
              <w:rPr>
                <w:rFonts w:hint="default" w:ascii="Times New Roman" w:hAnsi="Times New Roman" w:eastAsia="宋体" w:cs="Times New Roman"/>
                <w:color w:val="auto"/>
                <w:sz w:val="24"/>
                <w:szCs w:val="24"/>
                <w:highlight w:val="none"/>
                <w:lang w:eastAsia="zh-CN"/>
              </w:rPr>
              <w:t>处理后，通过15m高排气筒</w:t>
            </w:r>
            <w:r>
              <w:rPr>
                <w:rFonts w:hint="eastAsia" w:ascii="Times New Roman" w:hAnsi="Times New Roman" w:cs="Times New Roman"/>
                <w:color w:val="auto"/>
                <w:sz w:val="24"/>
                <w:szCs w:val="24"/>
                <w:lang w:val="en-US" w:eastAsia="zh-CN"/>
              </w:rPr>
              <w:t>DA001</w:t>
            </w:r>
            <w:r>
              <w:rPr>
                <w:rFonts w:hint="default" w:ascii="Times New Roman" w:hAnsi="Times New Roman" w:eastAsia="宋体" w:cs="Times New Roman"/>
                <w:color w:val="auto"/>
                <w:sz w:val="24"/>
                <w:szCs w:val="24"/>
                <w:lang w:eastAsia="zh-CN"/>
              </w:rPr>
              <w:t>（现有）</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eastAsia="zh-CN"/>
              </w:rPr>
              <w:t>DA00</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（现有）</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val="en-US" w:eastAsia="zh-CN"/>
              </w:rPr>
              <w:t>⑥翻箱落砂：浇后铸型维持3～5分钟真空，铸件冷却后释放真空并翻箱，取出铸件进入后续清理、加工工段。此工序翻箱落砂粉尘以及噪声。</w:t>
            </w:r>
            <w:r>
              <w:rPr>
                <w:rFonts w:hint="default" w:ascii="Times New Roman" w:hAnsi="Times New Roman" w:eastAsia="宋体" w:cs="Times New Roman"/>
                <w:color w:val="auto"/>
                <w:sz w:val="24"/>
                <w:szCs w:val="24"/>
                <w:highlight w:val="none"/>
                <w:lang w:eastAsia="zh-CN"/>
              </w:rPr>
              <w:t>该工位设置封闭围挡，并在上方设集气罩，收集废气进入“布袋除尘器+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highlight w:val="none"/>
                <w:lang w:eastAsia="zh-CN"/>
              </w:rPr>
              <w:t>活性炭吸附”</w:t>
            </w:r>
            <w:r>
              <w:rPr>
                <w:rFonts w:hint="eastAsia" w:ascii="Times New Roman" w:hAnsi="Times New Roman" w:cs="Times New Roman"/>
                <w:color w:val="auto"/>
                <w:sz w:val="24"/>
                <w:szCs w:val="24"/>
                <w:highlight w:val="none"/>
                <w:lang w:val="en-US" w:eastAsia="zh-CN"/>
              </w:rPr>
              <w:t>装置</w:t>
            </w:r>
            <w:r>
              <w:rPr>
                <w:rFonts w:hint="default" w:ascii="Times New Roman" w:hAnsi="Times New Roman" w:eastAsia="宋体" w:cs="Times New Roman"/>
                <w:color w:val="auto"/>
                <w:sz w:val="24"/>
                <w:szCs w:val="24"/>
                <w:highlight w:val="none"/>
                <w:lang w:eastAsia="zh-CN"/>
              </w:rPr>
              <w:t>处理后，通过一根15m高排气筒DA00</w:t>
            </w:r>
            <w:r>
              <w:rPr>
                <w:rFonts w:hint="eastAsia"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现有</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val="en-US" w:eastAsia="zh-CN"/>
              </w:rPr>
              <w:t>⑦去冒口：取件后使用角磨机将工件上的浇冒口切除，过程中会产生噪声及切割粉尘。</w:t>
            </w:r>
            <w:r>
              <w:rPr>
                <w:rFonts w:hint="default" w:ascii="Times New Roman" w:hAnsi="Times New Roman" w:eastAsia="宋体" w:cs="Times New Roman"/>
                <w:color w:val="auto"/>
                <w:sz w:val="24"/>
                <w:szCs w:val="24"/>
                <w:highlight w:val="none"/>
                <w:lang w:eastAsia="zh-CN"/>
              </w:rPr>
              <w:t>设有移动式集气罩，收集废气进入“布袋除尘器+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highlight w:val="none"/>
                <w:lang w:eastAsia="zh-CN"/>
              </w:rPr>
              <w:t>活性炭吸附”</w:t>
            </w:r>
            <w:r>
              <w:rPr>
                <w:rFonts w:hint="eastAsia" w:ascii="Times New Roman" w:hAnsi="Times New Roman" w:eastAsia="宋体" w:cs="Times New Roman"/>
                <w:color w:val="auto"/>
                <w:sz w:val="24"/>
                <w:szCs w:val="24"/>
                <w:highlight w:val="none"/>
                <w:lang w:val="en-US" w:eastAsia="zh-CN"/>
              </w:rPr>
              <w:t>装置</w:t>
            </w:r>
            <w:r>
              <w:rPr>
                <w:rFonts w:hint="default" w:ascii="Times New Roman" w:hAnsi="Times New Roman" w:eastAsia="宋体" w:cs="Times New Roman"/>
                <w:color w:val="auto"/>
                <w:sz w:val="24"/>
                <w:szCs w:val="24"/>
                <w:highlight w:val="none"/>
                <w:lang w:eastAsia="zh-CN"/>
              </w:rPr>
              <w:t>处理后，通过15m高排气筒</w:t>
            </w:r>
            <w:r>
              <w:rPr>
                <w:rFonts w:hint="eastAsia" w:ascii="Times New Roman" w:hAnsi="Times New Roman" w:eastAsia="宋体" w:cs="Times New Roman"/>
                <w:color w:val="auto"/>
                <w:sz w:val="24"/>
                <w:szCs w:val="24"/>
                <w:highlight w:val="none"/>
                <w:lang w:val="en-US" w:eastAsia="zh-CN"/>
              </w:rPr>
              <w:t>DA003</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新增</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val="en-US" w:eastAsia="zh-CN"/>
              </w:rPr>
              <w:t>去冒口阶段还会产生噪声及废浇冒口。⑧抛丸：将利用</w:t>
            </w:r>
            <w:r>
              <w:rPr>
                <w:rFonts w:hint="default" w:ascii="Times New Roman" w:hAnsi="Times New Roman" w:eastAsia="宋体" w:cs="Times New Roman"/>
                <w:color w:val="auto"/>
                <w:sz w:val="24"/>
                <w:szCs w:val="24"/>
                <w:highlight w:val="none"/>
                <w:lang w:eastAsia="zh-CN"/>
              </w:rPr>
              <w:t>抛丸机对毛坯件进行表面光滑处理，</w:t>
            </w:r>
            <w:r>
              <w:rPr>
                <w:rFonts w:hint="eastAsia" w:ascii="Times New Roman" w:hAnsi="Times New Roman" w:eastAsia="宋体" w:cs="Times New Roman"/>
                <w:color w:val="auto"/>
                <w:sz w:val="24"/>
                <w:szCs w:val="24"/>
                <w:highlight w:val="none"/>
                <w:lang w:val="en-US" w:eastAsia="zh-CN"/>
              </w:rPr>
              <w:t>抛丸废气经</w:t>
            </w:r>
            <w:r>
              <w:rPr>
                <w:rFonts w:hint="default" w:ascii="Times New Roman" w:hAnsi="Times New Roman" w:eastAsia="宋体" w:cs="Times New Roman"/>
                <w:color w:val="auto"/>
                <w:sz w:val="24"/>
                <w:szCs w:val="24"/>
                <w:highlight w:val="none"/>
                <w:lang w:eastAsia="zh-CN"/>
              </w:rPr>
              <w:t>收集</w:t>
            </w:r>
            <w:r>
              <w:rPr>
                <w:rFonts w:hint="eastAsia" w:ascii="Times New Roman" w:hAnsi="Times New Roman" w:eastAsia="宋体" w:cs="Times New Roman"/>
                <w:color w:val="auto"/>
                <w:sz w:val="24"/>
                <w:szCs w:val="24"/>
                <w:highlight w:val="none"/>
                <w:lang w:val="en-US" w:eastAsia="zh-CN"/>
              </w:rPr>
              <w:t>后</w:t>
            </w:r>
            <w:r>
              <w:rPr>
                <w:rFonts w:hint="default" w:ascii="Times New Roman" w:hAnsi="Times New Roman" w:eastAsia="宋体" w:cs="Times New Roman"/>
                <w:color w:val="auto"/>
                <w:sz w:val="24"/>
                <w:szCs w:val="24"/>
                <w:highlight w:val="none"/>
                <w:lang w:eastAsia="zh-CN"/>
              </w:rPr>
              <w:t>进入“布袋除尘器+</w:t>
            </w:r>
            <w:r>
              <w:rPr>
                <w:rFonts w:hint="eastAsia" w:ascii="Times New Roman" w:hAnsi="Times New Roman" w:cs="Times New Roman"/>
                <w:color w:val="auto"/>
                <w:sz w:val="24"/>
                <w:szCs w:val="24"/>
                <w:lang w:val="en-US" w:eastAsia="zh-CN"/>
              </w:rPr>
              <w:t>二级</w:t>
            </w:r>
            <w:r>
              <w:rPr>
                <w:rFonts w:hint="default" w:ascii="Times New Roman" w:hAnsi="Times New Roman" w:eastAsia="宋体" w:cs="Times New Roman"/>
                <w:color w:val="auto"/>
                <w:sz w:val="24"/>
                <w:szCs w:val="24"/>
                <w:highlight w:val="none"/>
                <w:lang w:eastAsia="zh-CN"/>
              </w:rPr>
              <w:t>活性炭吸附”</w:t>
            </w:r>
            <w:r>
              <w:rPr>
                <w:rFonts w:hint="eastAsia" w:ascii="Times New Roman" w:hAnsi="Times New Roman" w:eastAsia="宋体" w:cs="Times New Roman"/>
                <w:color w:val="auto"/>
                <w:sz w:val="24"/>
                <w:szCs w:val="24"/>
                <w:highlight w:val="none"/>
                <w:lang w:val="en-US" w:eastAsia="zh-CN"/>
              </w:rPr>
              <w:t>装置</w:t>
            </w:r>
            <w:r>
              <w:rPr>
                <w:rFonts w:hint="default" w:ascii="Times New Roman" w:hAnsi="Times New Roman" w:eastAsia="宋体" w:cs="Times New Roman"/>
                <w:color w:val="auto"/>
                <w:sz w:val="24"/>
                <w:szCs w:val="24"/>
                <w:highlight w:val="none"/>
                <w:lang w:eastAsia="zh-CN"/>
              </w:rPr>
              <w:t>处理，通过15m高排气筒</w:t>
            </w:r>
            <w:r>
              <w:rPr>
                <w:rFonts w:hint="eastAsia" w:ascii="Times New Roman" w:hAnsi="Times New Roman" w:eastAsia="宋体" w:cs="Times New Roman"/>
                <w:color w:val="auto"/>
                <w:sz w:val="24"/>
                <w:szCs w:val="24"/>
                <w:highlight w:val="none"/>
                <w:lang w:val="en-US" w:eastAsia="zh-CN"/>
              </w:rPr>
              <w:t>DA003</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新增</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val="en-US" w:eastAsia="zh-CN"/>
              </w:rPr>
              <w:t>。抛丸过程还会产生噪声</w:t>
            </w:r>
            <w:r>
              <w:rPr>
                <w:rFonts w:hint="default" w:ascii="Times New Roman" w:hAnsi="Times New Roman" w:eastAsia="宋体" w:cs="Times New Roman"/>
                <w:color w:val="auto"/>
                <w:sz w:val="24"/>
                <w:szCs w:val="24"/>
                <w:highlight w:val="none"/>
                <w:lang w:val="en-US" w:eastAsia="zh-CN"/>
              </w:rPr>
              <w:t>及废钢丸</w:t>
            </w:r>
            <w:r>
              <w:rPr>
                <w:rFonts w:hint="eastAsia" w:ascii="Times New Roman" w:hAnsi="Times New Roman" w:eastAsia="宋体" w:cs="Times New Roman"/>
                <w:color w:val="auto"/>
                <w:sz w:val="24"/>
                <w:szCs w:val="24"/>
                <w:highlight w:val="none"/>
                <w:lang w:val="en-US" w:eastAsia="zh-CN"/>
              </w:rPr>
              <w:t>。⑨退火：利用退火炉对抛丸后的铸件进行退火处理，此阶段产生噪声。⑩检验：退火冷却后的铸件需进行检验，此阶段产生不合格品。⑪入库：检验后成品入库待售。</w:t>
            </w:r>
          </w:p>
          <w:p w14:paraId="47DCDC6F">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color w:val="auto"/>
                <w:lang w:val="en-US" w:eastAsia="zh-CN"/>
              </w:rPr>
              <w:t>本项目新增一套电焊机及焊接烟尘净化器，用于现场设备维修。</w:t>
            </w:r>
          </w:p>
          <w:p w14:paraId="0269824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3、产污环节汇总</w:t>
            </w:r>
          </w:p>
          <w:p w14:paraId="0BC4FB2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由前文可知，项目产污环节见下表。</w:t>
            </w:r>
          </w:p>
          <w:p w14:paraId="1D6B824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表2-</w:t>
            </w:r>
            <w:r>
              <w:rPr>
                <w:rFonts w:hint="eastAsia"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rPr>
              <w:t>本项目产污环节情况表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821"/>
              <w:gridCol w:w="2010"/>
              <w:gridCol w:w="1729"/>
              <w:gridCol w:w="1203"/>
              <w:gridCol w:w="1881"/>
              <w:gridCol w:w="1427"/>
            </w:tblGrid>
            <w:tr w14:paraId="3941C6B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tcBorders>
                    <w:tl2br w:val="nil"/>
                    <w:tr2bl w:val="nil"/>
                  </w:tcBorders>
                  <w:vAlign w:val="center"/>
                </w:tcPr>
                <w:p w14:paraId="04DC73C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2010" w:type="dxa"/>
                  <w:tcBorders>
                    <w:tl2br w:val="nil"/>
                    <w:tr2bl w:val="nil"/>
                  </w:tcBorders>
                  <w:vAlign w:val="center"/>
                </w:tcPr>
                <w:p w14:paraId="3B7C107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产污环节</w:t>
                  </w:r>
                </w:p>
              </w:tc>
              <w:tc>
                <w:tcPr>
                  <w:tcW w:w="1729" w:type="dxa"/>
                  <w:tcBorders>
                    <w:tl2br w:val="nil"/>
                    <w:tr2bl w:val="nil"/>
                  </w:tcBorders>
                  <w:vAlign w:val="center"/>
                </w:tcPr>
                <w:p w14:paraId="3829B52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污染物组成</w:t>
                  </w:r>
                </w:p>
              </w:tc>
              <w:tc>
                <w:tcPr>
                  <w:tcW w:w="1203" w:type="dxa"/>
                  <w:tcBorders>
                    <w:tl2br w:val="nil"/>
                    <w:tr2bl w:val="nil"/>
                  </w:tcBorders>
                  <w:vAlign w:val="center"/>
                </w:tcPr>
                <w:p w14:paraId="7599316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排放规律</w:t>
                  </w:r>
                </w:p>
              </w:tc>
              <w:tc>
                <w:tcPr>
                  <w:tcW w:w="1881" w:type="dxa"/>
                  <w:tcBorders>
                    <w:tl2br w:val="nil"/>
                    <w:tr2bl w:val="nil"/>
                  </w:tcBorders>
                  <w:vAlign w:val="center"/>
                </w:tcPr>
                <w:p w14:paraId="6EAFAF8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处理措施</w:t>
                  </w:r>
                </w:p>
              </w:tc>
              <w:tc>
                <w:tcPr>
                  <w:tcW w:w="1427" w:type="dxa"/>
                  <w:tcBorders>
                    <w:tl2br w:val="nil"/>
                    <w:tr2bl w:val="nil"/>
                  </w:tcBorders>
                  <w:vAlign w:val="center"/>
                </w:tcPr>
                <w:p w14:paraId="6F48B2D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排放方式</w:t>
                  </w:r>
                </w:p>
              </w:tc>
            </w:tr>
            <w:tr w14:paraId="68B88E0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restart"/>
                  <w:tcBorders>
                    <w:tl2br w:val="nil"/>
                    <w:tr2bl w:val="nil"/>
                  </w:tcBorders>
                  <w:vAlign w:val="center"/>
                </w:tcPr>
                <w:p w14:paraId="1840EB4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2010" w:type="dxa"/>
                  <w:tcBorders>
                    <w:tl2br w:val="nil"/>
                    <w:tr2bl w:val="nil"/>
                  </w:tcBorders>
                  <w:vAlign w:val="center"/>
                </w:tcPr>
                <w:p w14:paraId="5686701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制芯、制壳</w:t>
                  </w:r>
                </w:p>
              </w:tc>
              <w:tc>
                <w:tcPr>
                  <w:tcW w:w="1729" w:type="dxa"/>
                  <w:tcBorders>
                    <w:tl2br w:val="nil"/>
                    <w:tr2bl w:val="nil"/>
                  </w:tcBorders>
                  <w:vAlign w:val="center"/>
                </w:tcPr>
                <w:p w14:paraId="637A345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颗粒物、VOCs</w:t>
                  </w:r>
                  <w:r>
                    <w:rPr>
                      <w:rFonts w:hint="eastAsia" w:ascii="Times New Roman" w:hAnsi="Times New Roman" w:cs="Times New Roman"/>
                      <w:color w:val="auto"/>
                      <w:sz w:val="21"/>
                      <w:szCs w:val="21"/>
                      <w:highlight w:val="none"/>
                      <w:lang w:val="en-US" w:eastAsia="zh-CN"/>
                    </w:rPr>
                    <w:t>、甲醛、酚类</w:t>
                  </w:r>
                </w:p>
              </w:tc>
              <w:tc>
                <w:tcPr>
                  <w:tcW w:w="1203" w:type="dxa"/>
                  <w:tcBorders>
                    <w:tl2br w:val="nil"/>
                    <w:tr2bl w:val="nil"/>
                  </w:tcBorders>
                  <w:vAlign w:val="center"/>
                </w:tcPr>
                <w:p w14:paraId="7EBCB43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vAlign w:val="center"/>
                </w:tcPr>
                <w:p w14:paraId="3893D0D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vAlign w:val="center"/>
                </w:tcPr>
                <w:p w14:paraId="2CD8623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有组织DA0</w:t>
                  </w:r>
                  <w:r>
                    <w:rPr>
                      <w:rFonts w:hint="eastAsia" w:ascii="Times New Roman" w:hAnsi="Times New Roman" w:cs="Times New Roman"/>
                      <w:color w:val="auto"/>
                      <w:sz w:val="21"/>
                      <w:szCs w:val="21"/>
                      <w:highlight w:val="none"/>
                      <w:lang w:val="en-US" w:eastAsia="zh-CN"/>
                    </w:rPr>
                    <w:t>03</w:t>
                  </w:r>
                </w:p>
              </w:tc>
            </w:tr>
            <w:tr w14:paraId="34077E5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4CAA39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24259A4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电炉熔化</w:t>
                  </w:r>
                </w:p>
              </w:tc>
              <w:tc>
                <w:tcPr>
                  <w:tcW w:w="1729" w:type="dxa"/>
                  <w:tcBorders>
                    <w:tl2br w:val="nil"/>
                    <w:tr2bl w:val="nil"/>
                  </w:tcBorders>
                  <w:vAlign w:val="center"/>
                </w:tcPr>
                <w:p w14:paraId="6640F71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203" w:type="dxa"/>
                  <w:tcBorders>
                    <w:tl2br w:val="nil"/>
                    <w:tr2bl w:val="nil"/>
                  </w:tcBorders>
                  <w:vAlign w:val="center"/>
                </w:tcPr>
                <w:p w14:paraId="0B50D44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vAlign w:val="center"/>
                </w:tcPr>
                <w:p w14:paraId="05ED0C6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vAlign w:val="center"/>
                </w:tcPr>
                <w:p w14:paraId="22E1EA2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有组织DA00</w:t>
                  </w:r>
                  <w:r>
                    <w:rPr>
                      <w:rFonts w:hint="eastAsia" w:ascii="Times New Roman" w:hAnsi="Times New Roman" w:cs="Times New Roman"/>
                      <w:color w:val="auto"/>
                      <w:sz w:val="21"/>
                      <w:szCs w:val="21"/>
                      <w:highlight w:val="none"/>
                      <w:lang w:val="en-US" w:eastAsia="zh-CN"/>
                    </w:rPr>
                    <w:t>1、DA002</w:t>
                  </w:r>
                </w:p>
              </w:tc>
            </w:tr>
            <w:tr w14:paraId="3B84450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486D6D0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46E60D0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浇注</w:t>
                  </w:r>
                </w:p>
              </w:tc>
              <w:tc>
                <w:tcPr>
                  <w:tcW w:w="1729" w:type="dxa"/>
                  <w:tcBorders>
                    <w:tl2br w:val="nil"/>
                    <w:tr2bl w:val="nil"/>
                  </w:tcBorders>
                  <w:vAlign w:val="center"/>
                </w:tcPr>
                <w:p w14:paraId="5955B0A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颗粒物、VOCs、苯乙烯、臭气浓度</w:t>
                  </w:r>
                  <w:r>
                    <w:rPr>
                      <w:rFonts w:hint="eastAsia" w:ascii="Times New Roman" w:hAnsi="Times New Roman" w:cs="Times New Roman"/>
                      <w:color w:val="auto"/>
                      <w:sz w:val="21"/>
                      <w:szCs w:val="21"/>
                      <w:highlight w:val="none"/>
                      <w:lang w:val="en-US" w:eastAsia="zh-CN"/>
                    </w:rPr>
                    <w:t>、甲醛、酚类</w:t>
                  </w:r>
                </w:p>
              </w:tc>
              <w:tc>
                <w:tcPr>
                  <w:tcW w:w="1203" w:type="dxa"/>
                  <w:tcBorders>
                    <w:tl2br w:val="nil"/>
                    <w:tr2bl w:val="nil"/>
                  </w:tcBorders>
                  <w:vAlign w:val="center"/>
                </w:tcPr>
                <w:p w14:paraId="0E08E2B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shd w:val="clear" w:color="auto" w:fill="auto"/>
                  <w:vAlign w:val="center"/>
                </w:tcPr>
                <w:p w14:paraId="36FDA8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shd w:val="clear" w:color="auto" w:fill="auto"/>
                  <w:vAlign w:val="center"/>
                </w:tcPr>
                <w:p w14:paraId="5244B03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有组织DA00</w:t>
                  </w:r>
                  <w:r>
                    <w:rPr>
                      <w:rFonts w:hint="eastAsia" w:ascii="Times New Roman" w:hAnsi="Times New Roman" w:cs="Times New Roman"/>
                      <w:color w:val="auto"/>
                      <w:sz w:val="21"/>
                      <w:szCs w:val="21"/>
                      <w:highlight w:val="none"/>
                      <w:lang w:val="en-US" w:eastAsia="zh-CN"/>
                    </w:rPr>
                    <w:t>1、DA002</w:t>
                  </w:r>
                </w:p>
              </w:tc>
            </w:tr>
            <w:tr w14:paraId="6901083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045CD35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2B22826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清模、翻箱落砂</w:t>
                  </w:r>
                </w:p>
              </w:tc>
              <w:tc>
                <w:tcPr>
                  <w:tcW w:w="1729" w:type="dxa"/>
                  <w:tcBorders>
                    <w:tl2br w:val="nil"/>
                    <w:tr2bl w:val="nil"/>
                  </w:tcBorders>
                  <w:vAlign w:val="center"/>
                </w:tcPr>
                <w:p w14:paraId="605BCF6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203" w:type="dxa"/>
                  <w:tcBorders>
                    <w:tl2br w:val="nil"/>
                    <w:tr2bl w:val="nil"/>
                  </w:tcBorders>
                  <w:vAlign w:val="center"/>
                </w:tcPr>
                <w:p w14:paraId="429B565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vAlign w:val="center"/>
                </w:tcPr>
                <w:p w14:paraId="231792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vAlign w:val="center"/>
                </w:tcPr>
                <w:p w14:paraId="02D51FB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有组织DA00</w:t>
                  </w:r>
                  <w:r>
                    <w:rPr>
                      <w:rFonts w:hint="eastAsia" w:ascii="Times New Roman" w:hAnsi="Times New Roman" w:cs="Times New Roman"/>
                      <w:color w:val="auto"/>
                      <w:sz w:val="21"/>
                      <w:szCs w:val="21"/>
                      <w:highlight w:val="none"/>
                      <w:lang w:val="en-US" w:eastAsia="zh-CN"/>
                    </w:rPr>
                    <w:t>2</w:t>
                  </w:r>
                </w:p>
              </w:tc>
            </w:tr>
            <w:tr w14:paraId="6D62411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4C8337F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290C33F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去冒口</w:t>
                  </w:r>
                </w:p>
              </w:tc>
              <w:tc>
                <w:tcPr>
                  <w:tcW w:w="1729" w:type="dxa"/>
                  <w:tcBorders>
                    <w:tl2br w:val="nil"/>
                    <w:tr2bl w:val="nil"/>
                  </w:tcBorders>
                  <w:vAlign w:val="center"/>
                </w:tcPr>
                <w:p w14:paraId="08DFC21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颗粒物</w:t>
                  </w:r>
                </w:p>
              </w:tc>
              <w:tc>
                <w:tcPr>
                  <w:tcW w:w="1203" w:type="dxa"/>
                  <w:tcBorders>
                    <w:tl2br w:val="nil"/>
                    <w:tr2bl w:val="nil"/>
                  </w:tcBorders>
                  <w:vAlign w:val="center"/>
                </w:tcPr>
                <w:p w14:paraId="1635860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vAlign w:val="center"/>
                </w:tcPr>
                <w:p w14:paraId="3F0E60C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vAlign w:val="center"/>
                </w:tcPr>
                <w:p w14:paraId="233C552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有组织DA00</w:t>
                  </w:r>
                  <w:r>
                    <w:rPr>
                      <w:rFonts w:hint="eastAsia" w:ascii="Times New Roman" w:hAnsi="Times New Roman" w:cs="Times New Roman"/>
                      <w:color w:val="auto"/>
                      <w:sz w:val="21"/>
                      <w:szCs w:val="21"/>
                      <w:highlight w:val="none"/>
                      <w:lang w:val="en-US" w:eastAsia="zh-CN"/>
                    </w:rPr>
                    <w:t>3</w:t>
                  </w:r>
                </w:p>
              </w:tc>
            </w:tr>
            <w:tr w14:paraId="20373F3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08D5CDD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321D37F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抛丸</w:t>
                  </w:r>
                </w:p>
              </w:tc>
              <w:tc>
                <w:tcPr>
                  <w:tcW w:w="1729" w:type="dxa"/>
                  <w:tcBorders>
                    <w:tl2br w:val="nil"/>
                    <w:tr2bl w:val="nil"/>
                  </w:tcBorders>
                  <w:vAlign w:val="center"/>
                </w:tcPr>
                <w:p w14:paraId="39F5F3C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颗粒物</w:t>
                  </w:r>
                </w:p>
              </w:tc>
              <w:tc>
                <w:tcPr>
                  <w:tcW w:w="1203" w:type="dxa"/>
                  <w:tcBorders>
                    <w:tl2br w:val="nil"/>
                    <w:tr2bl w:val="nil"/>
                  </w:tcBorders>
                  <w:vAlign w:val="center"/>
                </w:tcPr>
                <w:p w14:paraId="7D9CEF4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vAlign w:val="center"/>
                </w:tcPr>
                <w:p w14:paraId="36E53BE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管道收集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vAlign w:val="center"/>
                </w:tcPr>
                <w:p w14:paraId="09054EB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有组织</w:t>
                  </w:r>
                  <w:r>
                    <w:rPr>
                      <w:rFonts w:hint="eastAsia" w:ascii="Times New Roman" w:hAnsi="Times New Roman" w:cs="Times New Roman"/>
                      <w:color w:val="auto"/>
                      <w:sz w:val="21"/>
                      <w:szCs w:val="21"/>
                      <w:highlight w:val="none"/>
                      <w:lang w:val="en-US" w:eastAsia="zh-CN"/>
                    </w:rPr>
                    <w:t>DA001、</w:t>
                  </w:r>
                  <w:r>
                    <w:rPr>
                      <w:rFonts w:hint="default" w:ascii="Times New Roman" w:hAnsi="Times New Roman" w:eastAsia="宋体" w:cs="Times New Roman"/>
                      <w:color w:val="auto"/>
                      <w:sz w:val="21"/>
                      <w:szCs w:val="21"/>
                      <w:highlight w:val="none"/>
                    </w:rPr>
                    <w:t>DA00</w:t>
                  </w:r>
                  <w:r>
                    <w:rPr>
                      <w:rFonts w:hint="eastAsia" w:ascii="Times New Roman" w:hAnsi="Times New Roman" w:cs="Times New Roman"/>
                      <w:color w:val="auto"/>
                      <w:sz w:val="21"/>
                      <w:szCs w:val="21"/>
                      <w:highlight w:val="none"/>
                      <w:lang w:val="en-US" w:eastAsia="zh-CN"/>
                    </w:rPr>
                    <w:t>3</w:t>
                  </w:r>
                </w:p>
              </w:tc>
            </w:tr>
            <w:tr w14:paraId="1999724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3DFA4C5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1249C5F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模型切割</w:t>
                  </w:r>
                </w:p>
              </w:tc>
              <w:tc>
                <w:tcPr>
                  <w:tcW w:w="1729" w:type="dxa"/>
                  <w:tcBorders>
                    <w:tl2br w:val="nil"/>
                    <w:tr2bl w:val="nil"/>
                  </w:tcBorders>
                  <w:vAlign w:val="center"/>
                </w:tcPr>
                <w:p w14:paraId="3181813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VOCs、苯乙烯、臭气浓度</w:t>
                  </w:r>
                </w:p>
              </w:tc>
              <w:tc>
                <w:tcPr>
                  <w:tcW w:w="1203" w:type="dxa"/>
                  <w:tcBorders>
                    <w:tl2br w:val="nil"/>
                    <w:tr2bl w:val="nil"/>
                  </w:tcBorders>
                  <w:shd w:val="clear" w:color="auto" w:fill="auto"/>
                  <w:vAlign w:val="center"/>
                </w:tcPr>
                <w:p w14:paraId="7B0242D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shd w:val="clear" w:color="auto" w:fill="auto"/>
                  <w:vAlign w:val="center"/>
                </w:tcPr>
                <w:p w14:paraId="6F229DE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shd w:val="clear" w:color="auto" w:fill="auto"/>
                  <w:vAlign w:val="center"/>
                </w:tcPr>
                <w:p w14:paraId="0CC6B52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有组织DA00</w:t>
                  </w:r>
                  <w:r>
                    <w:rPr>
                      <w:rFonts w:hint="eastAsia" w:ascii="Times New Roman" w:hAnsi="Times New Roman" w:cs="Times New Roman"/>
                      <w:color w:val="auto"/>
                      <w:sz w:val="21"/>
                      <w:szCs w:val="21"/>
                      <w:highlight w:val="none"/>
                      <w:lang w:val="en-US" w:eastAsia="zh-CN"/>
                    </w:rPr>
                    <w:t>3</w:t>
                  </w:r>
                </w:p>
              </w:tc>
            </w:tr>
            <w:tr w14:paraId="687AA38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5447803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6EF4C94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烘干</w:t>
                  </w:r>
                </w:p>
              </w:tc>
              <w:tc>
                <w:tcPr>
                  <w:tcW w:w="1729" w:type="dxa"/>
                  <w:tcBorders>
                    <w:tl2br w:val="nil"/>
                    <w:tr2bl w:val="nil"/>
                  </w:tcBorders>
                  <w:shd w:val="clear" w:color="auto" w:fill="auto"/>
                  <w:vAlign w:val="center"/>
                </w:tcPr>
                <w:p w14:paraId="7E937CD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zh-CN"/>
                    </w:rPr>
                    <w:t>VOCs、苯乙烯、臭气浓度</w:t>
                  </w:r>
                </w:p>
              </w:tc>
              <w:tc>
                <w:tcPr>
                  <w:tcW w:w="1203" w:type="dxa"/>
                  <w:tcBorders>
                    <w:tl2br w:val="nil"/>
                    <w:tr2bl w:val="nil"/>
                  </w:tcBorders>
                  <w:shd w:val="clear" w:color="auto" w:fill="auto"/>
                  <w:vAlign w:val="center"/>
                </w:tcPr>
                <w:p w14:paraId="531705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shd w:val="clear" w:color="auto" w:fill="auto"/>
                  <w:vAlign w:val="center"/>
                </w:tcPr>
                <w:p w14:paraId="54F4321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shd w:val="clear" w:color="auto" w:fill="auto"/>
                  <w:vAlign w:val="center"/>
                </w:tcPr>
                <w:p w14:paraId="4E19F2E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有组织DA00</w:t>
                  </w:r>
                  <w:r>
                    <w:rPr>
                      <w:rFonts w:hint="eastAsia" w:ascii="Times New Roman" w:hAnsi="Times New Roman" w:cs="Times New Roman"/>
                      <w:color w:val="auto"/>
                      <w:sz w:val="21"/>
                      <w:szCs w:val="21"/>
                      <w:highlight w:val="none"/>
                      <w:lang w:val="en-US" w:eastAsia="zh-CN"/>
                    </w:rPr>
                    <w:t>3</w:t>
                  </w:r>
                </w:p>
              </w:tc>
            </w:tr>
            <w:tr w14:paraId="60B0297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57818A6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5152E5A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装箱</w:t>
                  </w:r>
                </w:p>
              </w:tc>
              <w:tc>
                <w:tcPr>
                  <w:tcW w:w="1729" w:type="dxa"/>
                  <w:tcBorders>
                    <w:tl2br w:val="nil"/>
                    <w:tr2bl w:val="nil"/>
                  </w:tcBorders>
                  <w:shd w:val="clear" w:color="auto" w:fill="auto"/>
                  <w:vAlign w:val="center"/>
                </w:tcPr>
                <w:p w14:paraId="7C219AA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zh-CN"/>
                    </w:rPr>
                    <w:t>颗粒物</w:t>
                  </w:r>
                </w:p>
              </w:tc>
              <w:tc>
                <w:tcPr>
                  <w:tcW w:w="1203" w:type="dxa"/>
                  <w:tcBorders>
                    <w:tl2br w:val="nil"/>
                    <w:tr2bl w:val="nil"/>
                  </w:tcBorders>
                  <w:shd w:val="clear" w:color="auto" w:fill="auto"/>
                  <w:vAlign w:val="center"/>
                </w:tcPr>
                <w:p w14:paraId="10A7DD3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shd w:val="clear" w:color="auto" w:fill="auto"/>
                  <w:vAlign w:val="center"/>
                </w:tcPr>
                <w:p w14:paraId="44257A8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w:t>
                  </w:r>
                </w:p>
              </w:tc>
              <w:tc>
                <w:tcPr>
                  <w:tcW w:w="1427" w:type="dxa"/>
                  <w:tcBorders>
                    <w:tl2br w:val="nil"/>
                    <w:tr2bl w:val="nil"/>
                  </w:tcBorders>
                  <w:shd w:val="clear" w:color="auto" w:fill="auto"/>
                  <w:vAlign w:val="center"/>
                </w:tcPr>
                <w:p w14:paraId="4AB3078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有组织DA00</w:t>
                  </w:r>
                  <w:r>
                    <w:rPr>
                      <w:rFonts w:hint="eastAsia" w:ascii="Times New Roman" w:hAnsi="Times New Roman" w:cs="Times New Roman"/>
                      <w:color w:val="auto"/>
                      <w:sz w:val="21"/>
                      <w:szCs w:val="21"/>
                      <w:highlight w:val="none"/>
                      <w:lang w:val="en-US" w:eastAsia="zh-CN"/>
                    </w:rPr>
                    <w:t>3</w:t>
                  </w:r>
                </w:p>
              </w:tc>
            </w:tr>
            <w:tr w14:paraId="7D68844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1CE07E2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16C76F8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未收集废气</w:t>
                  </w:r>
                </w:p>
              </w:tc>
              <w:tc>
                <w:tcPr>
                  <w:tcW w:w="1729" w:type="dxa"/>
                  <w:tcBorders>
                    <w:tl2br w:val="nil"/>
                    <w:tr2bl w:val="nil"/>
                  </w:tcBorders>
                  <w:shd w:val="clear" w:color="auto" w:fill="auto"/>
                  <w:vAlign w:val="center"/>
                </w:tcPr>
                <w:p w14:paraId="2C8B0F3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VOCs、苯乙烯、臭气浓度</w:t>
                  </w:r>
                  <w:r>
                    <w:rPr>
                      <w:rFonts w:hint="eastAsia" w:ascii="Times New Roman" w:hAnsi="Times New Roman" w:cs="Times New Roman"/>
                      <w:color w:val="auto"/>
                      <w:sz w:val="21"/>
                      <w:szCs w:val="21"/>
                      <w:highlight w:val="none"/>
                      <w:lang w:val="en-US" w:eastAsia="zh-CN"/>
                    </w:rPr>
                    <w:t>、甲醛、酚类</w:t>
                  </w:r>
                </w:p>
              </w:tc>
              <w:tc>
                <w:tcPr>
                  <w:tcW w:w="1203" w:type="dxa"/>
                  <w:tcBorders>
                    <w:tl2br w:val="nil"/>
                    <w:tr2bl w:val="nil"/>
                  </w:tcBorders>
                  <w:shd w:val="clear" w:color="auto" w:fill="auto"/>
                  <w:vAlign w:val="center"/>
                </w:tcPr>
                <w:p w14:paraId="4F21A3D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shd w:val="clear" w:color="auto" w:fill="auto"/>
                  <w:vAlign w:val="center"/>
                </w:tcPr>
                <w:p w14:paraId="6B55B44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车间密闭</w:t>
                  </w:r>
                </w:p>
              </w:tc>
              <w:tc>
                <w:tcPr>
                  <w:tcW w:w="1427" w:type="dxa"/>
                  <w:tcBorders>
                    <w:tl2br w:val="nil"/>
                    <w:tr2bl w:val="nil"/>
                  </w:tcBorders>
                  <w:shd w:val="clear" w:color="auto" w:fill="auto"/>
                  <w:vAlign w:val="center"/>
                </w:tcPr>
                <w:p w14:paraId="2AE6415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无组织排放</w:t>
                  </w:r>
                </w:p>
              </w:tc>
            </w:tr>
            <w:tr w14:paraId="1A92E6A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5928385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59D9E4F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焊接</w:t>
                  </w:r>
                </w:p>
              </w:tc>
              <w:tc>
                <w:tcPr>
                  <w:tcW w:w="1729" w:type="dxa"/>
                  <w:tcBorders>
                    <w:tl2br w:val="nil"/>
                    <w:tr2bl w:val="nil"/>
                  </w:tcBorders>
                  <w:shd w:val="clear" w:color="auto" w:fill="auto"/>
                  <w:vAlign w:val="center"/>
                </w:tcPr>
                <w:p w14:paraId="0D44D06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烟尘</w:t>
                  </w:r>
                </w:p>
              </w:tc>
              <w:tc>
                <w:tcPr>
                  <w:tcW w:w="1203" w:type="dxa"/>
                  <w:tcBorders>
                    <w:tl2br w:val="nil"/>
                    <w:tr2bl w:val="nil"/>
                  </w:tcBorders>
                  <w:shd w:val="clear" w:color="auto" w:fill="auto"/>
                  <w:vAlign w:val="center"/>
                </w:tcPr>
                <w:p w14:paraId="450AC5D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间断</w:t>
                  </w:r>
                </w:p>
              </w:tc>
              <w:tc>
                <w:tcPr>
                  <w:tcW w:w="1881" w:type="dxa"/>
                  <w:tcBorders>
                    <w:tl2br w:val="nil"/>
                    <w:tr2bl w:val="nil"/>
                  </w:tcBorders>
                  <w:shd w:val="clear" w:color="auto" w:fill="auto"/>
                  <w:vAlign w:val="center"/>
                </w:tcPr>
                <w:p w14:paraId="66379BC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焊接烟尘净化器</w:t>
                  </w:r>
                </w:p>
              </w:tc>
              <w:tc>
                <w:tcPr>
                  <w:tcW w:w="1427" w:type="dxa"/>
                  <w:tcBorders>
                    <w:tl2br w:val="nil"/>
                    <w:tr2bl w:val="nil"/>
                  </w:tcBorders>
                  <w:shd w:val="clear" w:color="auto" w:fill="auto"/>
                  <w:vAlign w:val="center"/>
                </w:tcPr>
                <w:p w14:paraId="529D1AE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无组织排放</w:t>
                  </w:r>
                </w:p>
              </w:tc>
            </w:tr>
            <w:tr w14:paraId="6FA173B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restart"/>
                  <w:tcBorders>
                    <w:tl2br w:val="nil"/>
                    <w:tr2bl w:val="nil"/>
                  </w:tcBorders>
                  <w:vAlign w:val="center"/>
                </w:tcPr>
                <w:p w14:paraId="77C4B7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2010" w:type="dxa"/>
                  <w:tcBorders>
                    <w:tl2br w:val="nil"/>
                    <w:tr2bl w:val="nil"/>
                  </w:tcBorders>
                  <w:vAlign w:val="center"/>
                </w:tcPr>
                <w:p w14:paraId="4459D9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制芯制壳、刷涂料、烘干</w:t>
                  </w:r>
                </w:p>
              </w:tc>
              <w:tc>
                <w:tcPr>
                  <w:tcW w:w="1729" w:type="dxa"/>
                  <w:tcBorders>
                    <w:tl2br w:val="nil"/>
                    <w:tr2bl w:val="nil"/>
                  </w:tcBorders>
                  <w:vAlign w:val="center"/>
                </w:tcPr>
                <w:p w14:paraId="64E781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废包装</w:t>
                  </w:r>
                  <w:r>
                    <w:rPr>
                      <w:rFonts w:hint="eastAsia" w:ascii="Times New Roman" w:hAnsi="Times New Roman" w:eastAsia="宋体" w:cs="Times New Roman"/>
                      <w:color w:val="auto"/>
                      <w:sz w:val="21"/>
                      <w:szCs w:val="21"/>
                      <w:highlight w:val="none"/>
                      <w:lang w:val="en-US" w:eastAsia="zh-CN"/>
                    </w:rPr>
                    <w:t>物</w:t>
                  </w:r>
                </w:p>
              </w:tc>
              <w:tc>
                <w:tcPr>
                  <w:tcW w:w="1203" w:type="dxa"/>
                  <w:tcBorders>
                    <w:tl2br w:val="nil"/>
                    <w:tr2bl w:val="nil"/>
                  </w:tcBorders>
                  <w:vAlign w:val="center"/>
                </w:tcPr>
                <w:p w14:paraId="4CD4E8F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间断</w:t>
                  </w:r>
                </w:p>
              </w:tc>
              <w:tc>
                <w:tcPr>
                  <w:tcW w:w="1881" w:type="dxa"/>
                  <w:vMerge w:val="restart"/>
                  <w:tcBorders>
                    <w:tl2br w:val="nil"/>
                    <w:tr2bl w:val="nil"/>
                  </w:tcBorders>
                  <w:vAlign w:val="center"/>
                </w:tcPr>
                <w:p w14:paraId="605DB8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外售废品回收站</w:t>
                  </w:r>
                </w:p>
              </w:tc>
              <w:tc>
                <w:tcPr>
                  <w:tcW w:w="1427" w:type="dxa"/>
                  <w:vMerge w:val="restart"/>
                  <w:tcBorders>
                    <w:tl2br w:val="nil"/>
                    <w:tr2bl w:val="nil"/>
                  </w:tcBorders>
                  <w:vAlign w:val="center"/>
                </w:tcPr>
                <w:p w14:paraId="50BEB03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14:paraId="0974B10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2D3BF02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shd w:val="clear" w:color="auto" w:fill="auto"/>
                  <w:vAlign w:val="center"/>
                </w:tcPr>
                <w:p w14:paraId="1BBCA1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清模</w:t>
                  </w:r>
                </w:p>
              </w:tc>
              <w:tc>
                <w:tcPr>
                  <w:tcW w:w="1729" w:type="dxa"/>
                  <w:tcBorders>
                    <w:tl2br w:val="nil"/>
                    <w:tr2bl w:val="nil"/>
                  </w:tcBorders>
                  <w:shd w:val="clear" w:color="auto" w:fill="auto"/>
                  <w:vAlign w:val="center"/>
                </w:tcPr>
                <w:p w14:paraId="1D4F15E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废覆膜砂</w:t>
                  </w:r>
                </w:p>
              </w:tc>
              <w:tc>
                <w:tcPr>
                  <w:tcW w:w="1203" w:type="dxa"/>
                  <w:tcBorders>
                    <w:tl2br w:val="nil"/>
                    <w:tr2bl w:val="nil"/>
                  </w:tcBorders>
                  <w:vAlign w:val="center"/>
                </w:tcPr>
                <w:p w14:paraId="3542F22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间断</w:t>
                  </w:r>
                </w:p>
              </w:tc>
              <w:tc>
                <w:tcPr>
                  <w:tcW w:w="1881" w:type="dxa"/>
                  <w:vMerge w:val="continue"/>
                  <w:tcBorders>
                    <w:tl2br w:val="nil"/>
                    <w:tr2bl w:val="nil"/>
                  </w:tcBorders>
                  <w:shd w:val="clear" w:color="auto" w:fill="auto"/>
                  <w:vAlign w:val="center"/>
                </w:tcPr>
                <w:p w14:paraId="2F79F5F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1427" w:type="dxa"/>
                  <w:vMerge w:val="continue"/>
                  <w:tcBorders>
                    <w:tl2br w:val="nil"/>
                    <w:tr2bl w:val="nil"/>
                  </w:tcBorders>
                  <w:shd w:val="clear" w:color="auto" w:fill="auto"/>
                  <w:vAlign w:val="center"/>
                </w:tcPr>
                <w:p w14:paraId="182F1BF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p>
              </w:tc>
            </w:tr>
            <w:tr w14:paraId="01A3118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408D6ED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shd w:val="clear" w:color="auto" w:fill="auto"/>
                  <w:vAlign w:val="center"/>
                </w:tcPr>
                <w:p w14:paraId="4495952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环保设施</w:t>
                  </w:r>
                </w:p>
              </w:tc>
              <w:tc>
                <w:tcPr>
                  <w:tcW w:w="1729" w:type="dxa"/>
                  <w:tcBorders>
                    <w:tl2br w:val="nil"/>
                    <w:tr2bl w:val="nil"/>
                  </w:tcBorders>
                  <w:shd w:val="clear" w:color="auto" w:fill="auto"/>
                  <w:vAlign w:val="center"/>
                </w:tcPr>
                <w:p w14:paraId="04E8381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除尘器收尘</w:t>
                  </w:r>
                </w:p>
              </w:tc>
              <w:tc>
                <w:tcPr>
                  <w:tcW w:w="1203" w:type="dxa"/>
                  <w:tcBorders>
                    <w:tl2br w:val="nil"/>
                    <w:tr2bl w:val="nil"/>
                  </w:tcBorders>
                  <w:shd w:val="clear" w:color="auto" w:fill="auto"/>
                  <w:vAlign w:val="center"/>
                </w:tcPr>
                <w:p w14:paraId="5B899EC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间断</w:t>
                  </w:r>
                </w:p>
              </w:tc>
              <w:tc>
                <w:tcPr>
                  <w:tcW w:w="1881" w:type="dxa"/>
                  <w:vMerge w:val="continue"/>
                  <w:tcBorders>
                    <w:tl2br w:val="nil"/>
                    <w:tr2bl w:val="nil"/>
                  </w:tcBorders>
                  <w:vAlign w:val="center"/>
                </w:tcPr>
                <w:p w14:paraId="30BC643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427" w:type="dxa"/>
                  <w:vMerge w:val="continue"/>
                  <w:tcBorders>
                    <w:tl2br w:val="nil"/>
                    <w:tr2bl w:val="nil"/>
                  </w:tcBorders>
                  <w:vAlign w:val="center"/>
                </w:tcPr>
                <w:p w14:paraId="5FB530D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1EF620F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1308F6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shd w:val="clear" w:color="auto" w:fill="auto"/>
                  <w:vAlign w:val="center"/>
                </w:tcPr>
                <w:p w14:paraId="13F9947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去冒口</w:t>
                  </w:r>
                </w:p>
              </w:tc>
              <w:tc>
                <w:tcPr>
                  <w:tcW w:w="1729" w:type="dxa"/>
                  <w:tcBorders>
                    <w:tl2br w:val="nil"/>
                    <w:tr2bl w:val="nil"/>
                  </w:tcBorders>
                  <w:shd w:val="clear" w:color="auto" w:fill="auto"/>
                  <w:vAlign w:val="center"/>
                </w:tcPr>
                <w:p w14:paraId="289A0EE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废浇冒口</w:t>
                  </w:r>
                </w:p>
              </w:tc>
              <w:tc>
                <w:tcPr>
                  <w:tcW w:w="1203" w:type="dxa"/>
                  <w:tcBorders>
                    <w:tl2br w:val="nil"/>
                    <w:tr2bl w:val="nil"/>
                  </w:tcBorders>
                  <w:shd w:val="clear" w:color="auto" w:fill="auto"/>
                  <w:vAlign w:val="center"/>
                </w:tcPr>
                <w:p w14:paraId="1720DF7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间断</w:t>
                  </w:r>
                </w:p>
              </w:tc>
              <w:tc>
                <w:tcPr>
                  <w:tcW w:w="1881" w:type="dxa"/>
                  <w:tcBorders>
                    <w:tl2br w:val="nil"/>
                    <w:tr2bl w:val="nil"/>
                  </w:tcBorders>
                  <w:shd w:val="clear" w:color="auto" w:fill="auto"/>
                  <w:vAlign w:val="center"/>
                </w:tcPr>
                <w:p w14:paraId="32C1A84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回用于生产</w:t>
                  </w:r>
                </w:p>
              </w:tc>
              <w:tc>
                <w:tcPr>
                  <w:tcW w:w="1427" w:type="dxa"/>
                  <w:vMerge w:val="continue"/>
                  <w:tcBorders>
                    <w:tl2br w:val="nil"/>
                    <w:tr2bl w:val="nil"/>
                  </w:tcBorders>
                  <w:shd w:val="clear" w:color="auto" w:fill="auto"/>
                  <w:vAlign w:val="center"/>
                </w:tcPr>
                <w:p w14:paraId="34DE74A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p>
              </w:tc>
            </w:tr>
            <w:tr w14:paraId="10A220B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397" w:hRule="atLeast"/>
                <w:jc w:val="center"/>
              </w:trPr>
              <w:tc>
                <w:tcPr>
                  <w:tcW w:w="821" w:type="dxa"/>
                  <w:vMerge w:val="continue"/>
                  <w:tcBorders>
                    <w:tl2br w:val="nil"/>
                    <w:tr2bl w:val="nil"/>
                  </w:tcBorders>
                  <w:vAlign w:val="center"/>
                </w:tcPr>
                <w:p w14:paraId="3528FB5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51AD47E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环保设施</w:t>
                  </w:r>
                </w:p>
              </w:tc>
              <w:tc>
                <w:tcPr>
                  <w:tcW w:w="1729" w:type="dxa"/>
                  <w:tcBorders>
                    <w:tl2br w:val="nil"/>
                    <w:tr2bl w:val="nil"/>
                  </w:tcBorders>
                  <w:vAlign w:val="center"/>
                </w:tcPr>
                <w:p w14:paraId="256744C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废活性炭</w:t>
                  </w:r>
                </w:p>
              </w:tc>
              <w:tc>
                <w:tcPr>
                  <w:tcW w:w="1203" w:type="dxa"/>
                  <w:tcBorders>
                    <w:tl2br w:val="nil"/>
                    <w:tr2bl w:val="nil"/>
                  </w:tcBorders>
                  <w:vAlign w:val="center"/>
                </w:tcPr>
                <w:p w14:paraId="1EBAE86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间断</w:t>
                  </w:r>
                </w:p>
              </w:tc>
              <w:tc>
                <w:tcPr>
                  <w:tcW w:w="1881" w:type="dxa"/>
                  <w:vMerge w:val="restart"/>
                  <w:tcBorders>
                    <w:tl2br w:val="nil"/>
                    <w:tr2bl w:val="nil"/>
                  </w:tcBorders>
                  <w:shd w:val="clear" w:color="auto" w:fill="auto"/>
                  <w:vAlign w:val="center"/>
                </w:tcPr>
                <w:p w14:paraId="4625850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委托资质单位安全处置</w:t>
                  </w:r>
                </w:p>
              </w:tc>
              <w:tc>
                <w:tcPr>
                  <w:tcW w:w="1427" w:type="dxa"/>
                  <w:vMerge w:val="restart"/>
                  <w:tcBorders>
                    <w:tl2br w:val="nil"/>
                    <w:tr2bl w:val="nil"/>
                  </w:tcBorders>
                  <w:shd w:val="clear" w:color="auto" w:fill="auto"/>
                  <w:vAlign w:val="center"/>
                </w:tcPr>
                <w:p w14:paraId="293E000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不外排</w:t>
                  </w:r>
                </w:p>
              </w:tc>
            </w:tr>
            <w:tr w14:paraId="4FA435E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05887C2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07F7551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设备维护</w:t>
                  </w:r>
                </w:p>
              </w:tc>
              <w:tc>
                <w:tcPr>
                  <w:tcW w:w="1729" w:type="dxa"/>
                  <w:tcBorders>
                    <w:tl2br w:val="nil"/>
                    <w:tr2bl w:val="nil"/>
                  </w:tcBorders>
                  <w:vAlign w:val="center"/>
                </w:tcPr>
                <w:p w14:paraId="5574A84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1203" w:type="dxa"/>
                  <w:tcBorders>
                    <w:tl2br w:val="nil"/>
                    <w:tr2bl w:val="nil"/>
                  </w:tcBorders>
                  <w:vAlign w:val="center"/>
                </w:tcPr>
                <w:p w14:paraId="310A24B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间断</w:t>
                  </w:r>
                </w:p>
              </w:tc>
              <w:tc>
                <w:tcPr>
                  <w:tcW w:w="1881" w:type="dxa"/>
                  <w:vMerge w:val="continue"/>
                  <w:tcBorders>
                    <w:tl2br w:val="nil"/>
                    <w:tr2bl w:val="nil"/>
                  </w:tcBorders>
                  <w:vAlign w:val="center"/>
                </w:tcPr>
                <w:p w14:paraId="3C85BC8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27" w:type="dxa"/>
                  <w:vMerge w:val="continue"/>
                  <w:tcBorders>
                    <w:tl2br w:val="nil"/>
                    <w:tr2bl w:val="nil"/>
                  </w:tcBorders>
                  <w:vAlign w:val="center"/>
                </w:tcPr>
                <w:p w14:paraId="592B1D4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20B717D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vMerge w:val="continue"/>
                  <w:tcBorders>
                    <w:tl2br w:val="nil"/>
                    <w:tr2bl w:val="nil"/>
                  </w:tcBorders>
                  <w:vAlign w:val="center"/>
                </w:tcPr>
                <w:p w14:paraId="53A460D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010" w:type="dxa"/>
                  <w:tcBorders>
                    <w:tl2br w:val="nil"/>
                    <w:tr2bl w:val="nil"/>
                  </w:tcBorders>
                  <w:vAlign w:val="center"/>
                </w:tcPr>
                <w:p w14:paraId="3F81FA6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设备维护</w:t>
                  </w:r>
                </w:p>
              </w:tc>
              <w:tc>
                <w:tcPr>
                  <w:tcW w:w="1729" w:type="dxa"/>
                  <w:tcBorders>
                    <w:tl2br w:val="nil"/>
                    <w:tr2bl w:val="nil"/>
                  </w:tcBorders>
                  <w:vAlign w:val="center"/>
                </w:tcPr>
                <w:p w14:paraId="6A3E9E8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废机油桶</w:t>
                  </w:r>
                </w:p>
              </w:tc>
              <w:tc>
                <w:tcPr>
                  <w:tcW w:w="1203" w:type="dxa"/>
                  <w:tcBorders>
                    <w:tl2br w:val="nil"/>
                    <w:tr2bl w:val="nil"/>
                  </w:tcBorders>
                  <w:vAlign w:val="center"/>
                </w:tcPr>
                <w:p w14:paraId="1AF5C35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间断</w:t>
                  </w:r>
                </w:p>
              </w:tc>
              <w:tc>
                <w:tcPr>
                  <w:tcW w:w="1881" w:type="dxa"/>
                  <w:vMerge w:val="continue"/>
                  <w:tcBorders>
                    <w:tl2br w:val="nil"/>
                    <w:tr2bl w:val="nil"/>
                  </w:tcBorders>
                  <w:vAlign w:val="center"/>
                </w:tcPr>
                <w:p w14:paraId="2826358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27" w:type="dxa"/>
                  <w:vMerge w:val="continue"/>
                  <w:tcBorders>
                    <w:tl2br w:val="nil"/>
                    <w:tr2bl w:val="nil"/>
                  </w:tcBorders>
                  <w:vAlign w:val="center"/>
                </w:tcPr>
                <w:p w14:paraId="55E0CD5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4AD896F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tcBorders>
                    <w:tl2br w:val="nil"/>
                    <w:tr2bl w:val="nil"/>
                  </w:tcBorders>
                  <w:vAlign w:val="center"/>
                </w:tcPr>
                <w:p w14:paraId="301D504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3739" w:type="dxa"/>
                  <w:gridSpan w:val="2"/>
                  <w:tcBorders>
                    <w:tl2br w:val="nil"/>
                    <w:tr2bl w:val="nil"/>
                  </w:tcBorders>
                  <w:vAlign w:val="center"/>
                </w:tcPr>
                <w:p w14:paraId="5E0E700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设备运行过程中产生的机械噪声</w:t>
                  </w:r>
                </w:p>
              </w:tc>
              <w:tc>
                <w:tcPr>
                  <w:tcW w:w="1203" w:type="dxa"/>
                  <w:tcBorders>
                    <w:tl2br w:val="nil"/>
                    <w:tr2bl w:val="nil"/>
                  </w:tcBorders>
                  <w:vAlign w:val="center"/>
                </w:tcPr>
                <w:p w14:paraId="29A705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连续</w:t>
                  </w:r>
                </w:p>
              </w:tc>
              <w:tc>
                <w:tcPr>
                  <w:tcW w:w="1881" w:type="dxa"/>
                  <w:tcBorders>
                    <w:tl2br w:val="nil"/>
                    <w:tr2bl w:val="nil"/>
                  </w:tcBorders>
                  <w:vAlign w:val="center"/>
                </w:tcPr>
                <w:p w14:paraId="03CB6F3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基础减震、隔声消声</w:t>
                  </w:r>
                </w:p>
              </w:tc>
              <w:tc>
                <w:tcPr>
                  <w:tcW w:w="1427" w:type="dxa"/>
                  <w:tcBorders>
                    <w:tl2br w:val="nil"/>
                    <w:tr2bl w:val="nil"/>
                  </w:tcBorders>
                  <w:vAlign w:val="center"/>
                </w:tcPr>
                <w:p w14:paraId="41E59EB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039BAC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21" w:type="dxa"/>
                  <w:tcBorders>
                    <w:tl2br w:val="nil"/>
                    <w:tr2bl w:val="nil"/>
                  </w:tcBorders>
                  <w:vAlign w:val="center"/>
                </w:tcPr>
                <w:p w14:paraId="42BDA5E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3739" w:type="dxa"/>
                  <w:gridSpan w:val="2"/>
                  <w:tcBorders>
                    <w:tl2br w:val="nil"/>
                    <w:tr2bl w:val="nil"/>
                  </w:tcBorders>
                  <w:vAlign w:val="center"/>
                </w:tcPr>
                <w:p w14:paraId="68722C3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不产生</w:t>
                  </w:r>
                  <w:r>
                    <w:rPr>
                      <w:rFonts w:hint="default" w:ascii="Times New Roman" w:hAnsi="Times New Roman" w:eastAsia="宋体" w:cs="Times New Roman"/>
                      <w:color w:val="auto"/>
                      <w:sz w:val="21"/>
                      <w:szCs w:val="21"/>
                      <w:highlight w:val="none"/>
                    </w:rPr>
                    <w:t>生活污水</w:t>
                  </w:r>
                </w:p>
              </w:tc>
              <w:tc>
                <w:tcPr>
                  <w:tcW w:w="1203" w:type="dxa"/>
                  <w:tcBorders>
                    <w:tl2br w:val="nil"/>
                    <w:tr2bl w:val="nil"/>
                  </w:tcBorders>
                  <w:vAlign w:val="center"/>
                </w:tcPr>
                <w:p w14:paraId="3284A4D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881" w:type="dxa"/>
                  <w:tcBorders>
                    <w:tl2br w:val="nil"/>
                    <w:tr2bl w:val="nil"/>
                  </w:tcBorders>
                  <w:vAlign w:val="center"/>
                </w:tcPr>
                <w:p w14:paraId="5D7EE1C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p>
              </w:tc>
              <w:tc>
                <w:tcPr>
                  <w:tcW w:w="1427" w:type="dxa"/>
                  <w:tcBorders>
                    <w:tl2br w:val="nil"/>
                    <w:tr2bl w:val="nil"/>
                  </w:tcBorders>
                  <w:vAlign w:val="center"/>
                </w:tcPr>
                <w:p w14:paraId="134BDBD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p>
              </w:tc>
            </w:tr>
          </w:tbl>
          <w:p w14:paraId="7A997AD1">
            <w:pPr>
              <w:rPr>
                <w:rFonts w:hint="default" w:ascii="Times New Roman" w:hAnsi="Times New Roman" w:cs="Times New Roman"/>
                <w:color w:val="auto"/>
              </w:rPr>
            </w:pPr>
          </w:p>
        </w:tc>
      </w:tr>
      <w:tr w14:paraId="75845A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431" w:type="dxa"/>
            <w:tcBorders>
              <w:right w:val="single" w:color="000000" w:sz="8" w:space="0"/>
            </w:tcBorders>
            <w:vAlign w:val="center"/>
          </w:tcPr>
          <w:p w14:paraId="0AE61596">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项目有关的原有环境污染问题</w:t>
            </w:r>
          </w:p>
        </w:tc>
        <w:tc>
          <w:tcPr>
            <w:tcW w:w="9433" w:type="dxa"/>
            <w:tcBorders>
              <w:left w:val="single" w:color="000000" w:sz="8" w:space="0"/>
            </w:tcBorders>
            <w:vAlign w:val="top"/>
          </w:tcPr>
          <w:p w14:paraId="2035DD4C">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sz w:val="24"/>
                <w:szCs w:val="24"/>
                <w:highlight w:val="none"/>
                <w:lang w:eastAsia="zh-CN"/>
              </w:rPr>
              <w:t>淄博淄阀工贸有限公司</w:t>
            </w:r>
            <w:r>
              <w:rPr>
                <w:rFonts w:hint="default" w:ascii="Times New Roman" w:hAnsi="Times New Roman" w:eastAsia="宋体" w:cs="Times New Roman"/>
                <w:color w:val="auto"/>
                <w:sz w:val="24"/>
                <w:szCs w:val="24"/>
                <w:highlight w:val="none"/>
              </w:rPr>
              <w:t>于20</w:t>
            </w:r>
            <w:r>
              <w:rPr>
                <w:rFonts w:hint="eastAsia" w:ascii="Times New Roman" w:hAnsi="Times New Roman"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月编制完成了</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淄博淄阀工贸有限公司</w:t>
            </w:r>
            <w:r>
              <w:rPr>
                <w:rFonts w:hint="eastAsia" w:ascii="Times New Roman" w:hAnsi="Times New Roman" w:cs="Times New Roman"/>
                <w:color w:val="auto"/>
                <w:sz w:val="24"/>
                <w:szCs w:val="24"/>
                <w:highlight w:val="none"/>
                <w:lang w:val="en-US" w:eastAsia="zh-CN"/>
              </w:rPr>
              <w:t>4000吨/年机械阀门配件及真空泵配件生产项目</w:t>
            </w:r>
            <w:r>
              <w:rPr>
                <w:rFonts w:hint="default" w:ascii="Times New Roman" w:hAnsi="Times New Roman" w:eastAsia="宋体" w:cs="Times New Roman"/>
                <w:color w:val="auto"/>
                <w:sz w:val="24"/>
                <w:szCs w:val="24"/>
                <w:highlight w:val="none"/>
              </w:rPr>
              <w:t>环境影响报告表</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并于201</w:t>
            </w:r>
            <w:r>
              <w:rPr>
                <w:rFonts w:hint="eastAsia" w:ascii="Times New Roman" w:hAnsi="Times New Roman"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日</w:t>
            </w:r>
            <w:r>
              <w:rPr>
                <w:rFonts w:hint="default" w:ascii="Times New Roman" w:hAnsi="Times New Roman" w:eastAsia="宋体" w:cs="Times New Roman"/>
                <w:color w:val="auto"/>
                <w:sz w:val="24"/>
                <w:szCs w:val="24"/>
                <w:highlight w:val="none"/>
                <w:lang w:val="en-US" w:eastAsia="zh-CN"/>
              </w:rPr>
              <w:t>取得</w:t>
            </w:r>
            <w:r>
              <w:rPr>
                <w:rFonts w:hint="eastAsia" w:ascii="Times New Roman" w:hAnsi="Times New Roman" w:cs="Times New Roman"/>
                <w:color w:val="auto"/>
                <w:sz w:val="24"/>
                <w:szCs w:val="24"/>
                <w:highlight w:val="none"/>
                <w:lang w:val="en-US" w:eastAsia="zh-CN"/>
              </w:rPr>
              <w:t>淄博市环境保护局淄川分局</w:t>
            </w:r>
            <w:r>
              <w:rPr>
                <w:rFonts w:hint="default" w:ascii="Times New Roman" w:hAnsi="Times New Roman" w:eastAsia="宋体" w:cs="Times New Roman"/>
                <w:color w:val="auto"/>
                <w:sz w:val="24"/>
                <w:szCs w:val="24"/>
                <w:highlight w:val="none"/>
              </w:rPr>
              <w:t>审批意见，审批意见文号为</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川环报告表[2010]37号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于</w:t>
            </w:r>
            <w:r>
              <w:rPr>
                <w:rFonts w:hint="eastAsia" w:ascii="Times New Roman" w:hAnsi="Times New Roman" w:cs="Times New Roman"/>
                <w:color w:val="auto"/>
                <w:sz w:val="24"/>
                <w:szCs w:val="24"/>
                <w:highlight w:val="none"/>
                <w:lang w:val="en-US" w:eastAsia="zh-CN"/>
              </w:rPr>
              <w:t>2011</w:t>
            </w:r>
            <w:r>
              <w:rPr>
                <w:rFonts w:hint="default" w:ascii="Times New Roman" w:hAnsi="Times New Roman" w:eastAsia="宋体" w:cs="Times New Roman"/>
                <w:color w:val="auto"/>
                <w:sz w:val="24"/>
                <w:szCs w:val="24"/>
                <w:highlight w:val="none"/>
                <w:lang w:val="en-US" w:eastAsia="zh-CN"/>
              </w:rPr>
              <w:t>年8月</w:t>
            </w:r>
            <w:r>
              <w:rPr>
                <w:rFonts w:hint="eastAsia" w:ascii="Times New Roman" w:hAnsi="Times New Roman"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lang w:val="en-US" w:eastAsia="zh-CN"/>
              </w:rPr>
              <w:t>日</w:t>
            </w:r>
            <w:r>
              <w:rPr>
                <w:rFonts w:hint="eastAsia" w:ascii="Times New Roman" w:hAnsi="Times New Roman" w:cs="Times New Roman"/>
                <w:color w:val="auto"/>
                <w:sz w:val="24"/>
                <w:szCs w:val="24"/>
                <w:highlight w:val="none"/>
                <w:lang w:val="en-US" w:eastAsia="zh-CN"/>
              </w:rPr>
              <w:t>取得淄川环保分局对该项目的验收意见，文号为川环验[2011]45号</w:t>
            </w:r>
            <w:r>
              <w:rPr>
                <w:rFonts w:hint="default" w:ascii="Times New Roman" w:hAnsi="Times New Roman" w:eastAsia="宋体" w:cs="Times New Roman"/>
                <w:color w:val="auto"/>
                <w:sz w:val="24"/>
                <w:szCs w:val="24"/>
                <w:highlight w:val="none"/>
                <w:lang w:val="en-US" w:eastAsia="zh-CN"/>
              </w:rPr>
              <w:t>。于2020年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月</w:t>
            </w:r>
            <w:r>
              <w:rPr>
                <w:rFonts w:hint="eastAsia" w:ascii="Times New Roman" w:hAnsi="Times New Roman"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lang w:val="en-US" w:eastAsia="zh-CN"/>
              </w:rPr>
              <w:t>日</w:t>
            </w:r>
            <w:r>
              <w:rPr>
                <w:rFonts w:hint="eastAsia" w:ascii="Times New Roman" w:hAnsi="Times New Roman" w:cs="Times New Roman"/>
                <w:color w:val="auto"/>
                <w:sz w:val="24"/>
                <w:szCs w:val="24"/>
                <w:highlight w:val="none"/>
                <w:lang w:val="en-US" w:eastAsia="zh-CN"/>
              </w:rPr>
              <w:t>首次</w:t>
            </w:r>
            <w:r>
              <w:rPr>
                <w:rFonts w:hint="default" w:ascii="Times New Roman" w:hAnsi="Times New Roman" w:eastAsia="宋体" w:cs="Times New Roman"/>
                <w:color w:val="auto"/>
                <w:sz w:val="24"/>
                <w:szCs w:val="24"/>
                <w:highlight w:val="none"/>
                <w:lang w:val="en-US" w:eastAsia="zh-CN"/>
              </w:rPr>
              <w:t>进行了排污</w:t>
            </w:r>
            <w:r>
              <w:rPr>
                <w:rFonts w:hint="eastAsia" w:ascii="Times New Roman" w:hAnsi="Times New Roman" w:cs="Times New Roman"/>
                <w:color w:val="auto"/>
                <w:sz w:val="24"/>
                <w:szCs w:val="24"/>
                <w:highlight w:val="none"/>
                <w:lang w:val="en-US" w:eastAsia="zh-CN"/>
              </w:rPr>
              <w:t>许可申领</w:t>
            </w:r>
            <w:r>
              <w:rPr>
                <w:rFonts w:hint="default" w:ascii="Times New Roman" w:hAnsi="Times New Roman" w:eastAsia="宋体" w:cs="Times New Roman"/>
                <w:color w:val="auto"/>
                <w:sz w:val="24"/>
                <w:szCs w:val="24"/>
                <w:highlight w:val="none"/>
                <w:lang w:val="en-US" w:eastAsia="zh-CN"/>
              </w:rPr>
              <w:t>，2023</w:t>
            </w:r>
            <w:r>
              <w:rPr>
                <w:rFonts w:hint="eastAsia" w:ascii="Times New Roman" w:hAnsi="Times New Roman" w:cs="Times New Roman"/>
                <w:color w:val="auto"/>
                <w:sz w:val="24"/>
                <w:szCs w:val="24"/>
                <w:highlight w:val="none"/>
                <w:lang w:val="en-US" w:eastAsia="zh-CN"/>
              </w:rPr>
              <w:t>年</w:t>
            </w:r>
            <w:r>
              <w:rPr>
                <w:rFonts w:hint="default" w:ascii="Times New Roman" w:hAnsi="Times New Roman" w:eastAsia="宋体"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val="en-US" w:eastAsia="zh-CN"/>
              </w:rPr>
              <w:t>月</w:t>
            </w:r>
            <w:r>
              <w:rPr>
                <w:rFonts w:hint="default" w:ascii="Times New Roman" w:hAnsi="Times New Roman" w:eastAsia="宋体"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日进行了变更，有效期至2028年7月10日，排污</w:t>
            </w:r>
            <w:r>
              <w:rPr>
                <w:rFonts w:hint="default" w:ascii="Times New Roman" w:hAnsi="Times New Roman" w:eastAsia="宋体" w:cs="Times New Roman"/>
                <w:color w:val="auto"/>
                <w:sz w:val="24"/>
                <w:szCs w:val="24"/>
                <w:highlight w:val="none"/>
                <w:lang w:val="en-US" w:eastAsia="zh-CN"/>
              </w:rPr>
              <w:t>编号为91370302586072051C001Q。</w:t>
            </w:r>
          </w:p>
          <w:p w14:paraId="59409637">
            <w:pPr>
              <w:keepNext w:val="0"/>
              <w:keepLines w:val="0"/>
              <w:widowControl/>
              <w:numPr>
                <w:ilvl w:val="0"/>
                <w:numId w:val="4"/>
              </w:numPr>
              <w:suppressLineNumbers w:val="0"/>
              <w:jc w:val="left"/>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lang w:val="en-US" w:eastAsia="zh-CN"/>
              </w:rPr>
              <w:t>现有项目基本情</w:t>
            </w:r>
            <w:r>
              <w:rPr>
                <w:rFonts w:hint="default" w:ascii="Times New Roman" w:hAnsi="Times New Roman" w:cs="Times New Roman"/>
                <w:b/>
                <w:bCs/>
                <w:color w:val="auto"/>
                <w:sz w:val="24"/>
                <w:szCs w:val="24"/>
                <w:lang w:val="en-US" w:eastAsia="zh-CN"/>
              </w:rPr>
              <w:t>况</w:t>
            </w:r>
          </w:p>
          <w:p w14:paraId="5D1560FB">
            <w:pPr>
              <w:keepNext w:val="0"/>
              <w:keepLines w:val="0"/>
              <w:widowControl/>
              <w:suppressLineNumbers w:val="0"/>
              <w:jc w:val="left"/>
              <w:rPr>
                <w:rFonts w:hint="default" w:ascii="Times New Roman" w:hAnsi="Times New Roman"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1、生产工艺流程及产污环节</w:t>
            </w:r>
          </w:p>
          <w:p w14:paraId="4B2ACD3F">
            <w:pPr>
              <w:rPr>
                <w:rFonts w:hint="default" w:ascii="Times New Roman" w:hAnsi="Times New Roman" w:cs="Times New Roman"/>
                <w:color w:val="auto"/>
              </w:rPr>
            </w:pPr>
            <w:r>
              <w:rPr>
                <w:color w:val="auto"/>
              </w:rPr>
              <w:drawing>
                <wp:inline distT="0" distB="0" distL="114300" distR="114300">
                  <wp:extent cx="5976620" cy="2672080"/>
                  <wp:effectExtent l="0" t="0" r="5080" b="1397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5"/>
                          <a:stretch>
                            <a:fillRect/>
                          </a:stretch>
                        </pic:blipFill>
                        <pic:spPr>
                          <a:xfrm>
                            <a:off x="0" y="0"/>
                            <a:ext cx="5976620" cy="2672080"/>
                          </a:xfrm>
                          <a:prstGeom prst="rect">
                            <a:avLst/>
                          </a:prstGeom>
                          <a:noFill/>
                          <a:ln>
                            <a:noFill/>
                          </a:ln>
                        </pic:spPr>
                      </pic:pic>
                    </a:graphicData>
                  </a:graphic>
                </wp:inline>
              </w:drawing>
            </w:r>
          </w:p>
          <w:p w14:paraId="577C1D22">
            <w:pPr>
              <w:keepNext w:val="0"/>
              <w:keepLines w:val="0"/>
              <w:pageBreakBefore w:val="0"/>
              <w:widowControl/>
              <w:kinsoku/>
              <w:wordWrap/>
              <w:overflowPunct/>
              <w:topLinePunct w:val="0"/>
              <w:autoSpaceDE w:val="0"/>
              <w:autoSpaceDN w:val="0"/>
              <w:bidi w:val="0"/>
              <w:adjustRightInd w:val="0"/>
              <w:snapToGrid w:val="0"/>
              <w:ind w:firstLine="482" w:firstLineChars="200"/>
              <w:jc w:val="center"/>
              <w:textAlignment w:val="baseline"/>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rPr>
              <w:t>图2-</w:t>
            </w:r>
            <w:r>
              <w:rPr>
                <w:rFonts w:hint="eastAsia" w:ascii="Times New Roman" w:hAnsi="Times New Roman" w:cs="Times New Roman"/>
                <w:b/>
                <w:bCs/>
                <w:color w:val="auto"/>
                <w:sz w:val="24"/>
                <w:szCs w:val="24"/>
                <w:lang w:val="en-US" w:eastAsia="zh-CN"/>
              </w:rPr>
              <w:t>5 现有项目</w:t>
            </w:r>
            <w:r>
              <w:rPr>
                <w:rFonts w:hint="default" w:ascii="Times New Roman" w:hAnsi="Times New Roman" w:cs="Times New Roman"/>
                <w:b/>
                <w:bCs/>
                <w:color w:val="auto"/>
                <w:sz w:val="24"/>
                <w:szCs w:val="24"/>
                <w:highlight w:val="none"/>
                <w:lang w:val="en-US" w:eastAsia="zh-CN"/>
              </w:rPr>
              <w:t>生产</w:t>
            </w:r>
            <w:r>
              <w:rPr>
                <w:rFonts w:hint="default" w:ascii="Times New Roman" w:hAnsi="Times New Roman" w:eastAsia="宋体" w:cs="Times New Roman"/>
                <w:b/>
                <w:bCs/>
                <w:color w:val="auto"/>
                <w:sz w:val="24"/>
                <w:szCs w:val="24"/>
                <w:highlight w:val="none"/>
              </w:rPr>
              <w:t>工艺流程图</w:t>
            </w:r>
          </w:p>
          <w:p w14:paraId="657191F0">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color w:val="auto"/>
              </w:rPr>
            </w:pPr>
            <w:r>
              <w:rPr>
                <w:rFonts w:hint="default" w:ascii="Times New Roman" w:hAnsi="Times New Roman" w:eastAsia="宋体" w:cs="Times New Roman"/>
                <w:color w:val="auto"/>
                <w:sz w:val="24"/>
                <w:szCs w:val="24"/>
                <w:lang w:eastAsia="zh-CN"/>
              </w:rPr>
              <w:t>①</w:t>
            </w:r>
            <w:r>
              <w:rPr>
                <w:rFonts w:hint="eastAsia" w:ascii="Times New Roman" w:hAnsi="Times New Roman" w:cs="Times New Roman"/>
                <w:color w:val="auto"/>
                <w:sz w:val="24"/>
                <w:szCs w:val="24"/>
                <w:lang w:val="en-US" w:eastAsia="zh-CN"/>
              </w:rPr>
              <w:t>混砂</w:t>
            </w:r>
            <w:r>
              <w:rPr>
                <w:rFonts w:hint="default" w:ascii="Times New Roman" w:hAnsi="Times New Roman" w:eastAsia="宋体" w:cs="Times New Roman"/>
                <w:color w:val="auto"/>
                <w:sz w:val="24"/>
                <w:szCs w:val="24"/>
                <w:lang w:eastAsia="zh-CN"/>
              </w:rPr>
              <w:t>：将外购的</w:t>
            </w:r>
            <w:r>
              <w:rPr>
                <w:rFonts w:hint="eastAsia" w:ascii="Times New Roman" w:hAnsi="Times New Roman" w:cs="Times New Roman"/>
                <w:color w:val="auto"/>
                <w:sz w:val="24"/>
                <w:szCs w:val="24"/>
                <w:lang w:val="en-US" w:eastAsia="zh-CN"/>
              </w:rPr>
              <w:t>海砂、膨润土和水按照一定的比例投入混砂机</w:t>
            </w:r>
            <w:r>
              <w:rPr>
                <w:rFonts w:hint="default" w:ascii="Times New Roman" w:hAnsi="Times New Roman" w:eastAsia="宋体" w:cs="Times New Roman"/>
                <w:color w:val="auto"/>
                <w:sz w:val="24"/>
                <w:szCs w:val="24"/>
                <w:lang w:eastAsia="zh-CN"/>
              </w:rPr>
              <w:t>，</w:t>
            </w:r>
            <w:r>
              <w:rPr>
                <w:rFonts w:hint="eastAsia" w:ascii="Times New Roman" w:hAnsi="Times New Roman" w:cs="Times New Roman"/>
                <w:color w:val="auto"/>
                <w:sz w:val="24"/>
                <w:szCs w:val="24"/>
                <w:lang w:val="en-US" w:eastAsia="zh-CN"/>
              </w:rPr>
              <w:t>混砂机</w:t>
            </w:r>
            <w:r>
              <w:rPr>
                <w:rFonts w:hint="default" w:ascii="Times New Roman" w:hAnsi="Times New Roman" w:eastAsia="宋体" w:cs="Times New Roman"/>
                <w:color w:val="auto"/>
                <w:sz w:val="24"/>
                <w:szCs w:val="24"/>
                <w:lang w:eastAsia="zh-CN"/>
              </w:rPr>
              <w:t>设置集气罩，收集投料粉尘进入“布袋除尘器”装置处理后通过15m高排气筒DA00</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eastAsia" w:ascii="Times New Roman" w:hAnsi="Times New Roman" w:cs="Times New Roman"/>
                <w:color w:val="auto"/>
                <w:sz w:val="24"/>
                <w:szCs w:val="24"/>
                <w:lang w:val="en-US" w:eastAsia="zh-CN"/>
              </w:rPr>
              <w:t>现有</w:t>
            </w:r>
            <w:r>
              <w:rPr>
                <w:rFonts w:hint="default" w:ascii="Times New Roman" w:hAnsi="Times New Roman" w:eastAsia="宋体" w:cs="Times New Roman"/>
                <w:color w:val="auto"/>
                <w:sz w:val="24"/>
                <w:szCs w:val="24"/>
                <w:lang w:eastAsia="zh-CN"/>
              </w:rPr>
              <w:t>）排放。②</w:t>
            </w:r>
            <w:r>
              <w:rPr>
                <w:rFonts w:hint="eastAsia" w:ascii="Times New Roman" w:hAnsi="Times New Roman" w:cs="Times New Roman"/>
                <w:color w:val="auto"/>
                <w:sz w:val="24"/>
                <w:szCs w:val="24"/>
                <w:lang w:val="en-US" w:eastAsia="zh-CN"/>
              </w:rPr>
              <w:t>制模</w:t>
            </w:r>
            <w:r>
              <w:rPr>
                <w:rFonts w:hint="default" w:ascii="Times New Roman" w:hAnsi="Times New Roman" w:eastAsia="宋体" w:cs="Times New Roman"/>
                <w:color w:val="auto"/>
                <w:sz w:val="24"/>
                <w:szCs w:val="24"/>
                <w:lang w:eastAsia="zh-CN"/>
              </w:rPr>
              <w:t>：</w:t>
            </w:r>
            <w:r>
              <w:rPr>
                <w:rFonts w:hint="eastAsia" w:ascii="Times New Roman" w:hAnsi="Times New Roman" w:cs="Times New Roman"/>
                <w:color w:val="auto"/>
                <w:sz w:val="24"/>
                <w:szCs w:val="24"/>
                <w:lang w:val="en-US" w:eastAsia="zh-CN"/>
              </w:rPr>
              <w:t>将混合好的型砂制成所需的模型</w:t>
            </w:r>
            <w:r>
              <w:rPr>
                <w:rFonts w:hint="default" w:ascii="Times New Roman" w:hAnsi="Times New Roman" w:eastAsia="宋体" w:cs="Times New Roman"/>
                <w:color w:val="auto"/>
                <w:sz w:val="24"/>
                <w:szCs w:val="24"/>
                <w:lang w:eastAsia="zh-CN"/>
              </w:rPr>
              <w:t>。该过程产生噪声。③熔化：原料生铁直接从外购进，进厂要求无杂质、无油污、无涂层等，故无需表面清理。熔化采用现有中频感应电炉，将生铁加入电炉中，炉料在炉内经升温、熔化至</w:t>
            </w:r>
            <w:r>
              <w:rPr>
                <w:rFonts w:hint="eastAsia" w:ascii="Times New Roman" w:hAnsi="Times New Roman" w:cs="Times New Roman"/>
                <w:color w:val="auto"/>
                <w:sz w:val="24"/>
                <w:szCs w:val="24"/>
                <w:lang w:val="en-US" w:eastAsia="zh-CN"/>
              </w:rPr>
              <w:t>铁</w:t>
            </w:r>
            <w:r>
              <w:rPr>
                <w:rFonts w:hint="default" w:ascii="Times New Roman" w:hAnsi="Times New Roman" w:eastAsia="宋体" w:cs="Times New Roman"/>
                <w:color w:val="auto"/>
                <w:sz w:val="24"/>
                <w:szCs w:val="24"/>
                <w:lang w:eastAsia="zh-CN"/>
              </w:rPr>
              <w:t>水温度达到1300°C时进行保温。熔化过程会产生烟尘，在电炉上方设有移动式集气罩，收集废气进入布袋除尘器</w:t>
            </w:r>
            <w:r>
              <w:rPr>
                <w:rFonts w:hint="eastAsia" w:ascii="Times New Roman" w:hAnsi="Times New Roman" w:cs="Times New Roman"/>
                <w:color w:val="auto"/>
                <w:sz w:val="24"/>
                <w:szCs w:val="24"/>
                <w:lang w:val="en-US" w:eastAsia="zh-CN"/>
              </w:rPr>
              <w:t>装置</w:t>
            </w:r>
            <w:r>
              <w:rPr>
                <w:rFonts w:hint="default" w:ascii="Times New Roman" w:hAnsi="Times New Roman" w:eastAsia="宋体" w:cs="Times New Roman"/>
                <w:color w:val="auto"/>
                <w:sz w:val="24"/>
                <w:szCs w:val="24"/>
                <w:lang w:eastAsia="zh-CN"/>
              </w:rPr>
              <w:t>处理后，通过15m高排气筒</w:t>
            </w:r>
            <w:r>
              <w:rPr>
                <w:rFonts w:hint="eastAsia" w:ascii="Times New Roman" w:hAnsi="Times New Roman" w:cs="Times New Roman"/>
                <w:color w:val="auto"/>
                <w:sz w:val="24"/>
                <w:szCs w:val="24"/>
                <w:lang w:val="en-US" w:eastAsia="zh-CN"/>
              </w:rPr>
              <w:t>DA001</w:t>
            </w:r>
            <w:r>
              <w:rPr>
                <w:rFonts w:hint="default" w:ascii="Times New Roman" w:hAnsi="Times New Roman" w:eastAsia="宋体" w:cs="Times New Roman"/>
                <w:color w:val="auto"/>
                <w:sz w:val="24"/>
                <w:szCs w:val="24"/>
                <w:lang w:eastAsia="zh-CN"/>
              </w:rPr>
              <w:t>（现有）</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eastAsia="zh-CN"/>
              </w:rPr>
              <w:t>DA00</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（现有）排放。熔化过程还会产生电炉炉渣、噪声。④</w:t>
            </w:r>
            <w:r>
              <w:rPr>
                <w:rFonts w:hint="eastAsia" w:ascii="Times New Roman" w:hAnsi="Times New Roman" w:cs="Times New Roman"/>
                <w:color w:val="auto"/>
                <w:sz w:val="24"/>
                <w:szCs w:val="24"/>
                <w:lang w:val="en-US" w:eastAsia="zh-CN"/>
              </w:rPr>
              <w:t>浇铸</w:t>
            </w:r>
            <w:r>
              <w:rPr>
                <w:rFonts w:hint="default" w:ascii="Times New Roman" w:hAnsi="Times New Roman" w:eastAsia="宋体" w:cs="Times New Roman"/>
                <w:color w:val="auto"/>
                <w:sz w:val="24"/>
                <w:szCs w:val="24"/>
                <w:lang w:eastAsia="zh-CN"/>
              </w:rPr>
              <w:t>：项目采用立式重力浇注，将熔化的铁水充满壳型内腔中，凝固后形成铸件。浇注工位固定，在浇注工位上方设集气罩收集烟尘，进入布袋除尘器装置处理后通过15m高排气筒</w:t>
            </w:r>
            <w:r>
              <w:rPr>
                <w:rFonts w:hint="eastAsia" w:ascii="Times New Roman" w:hAnsi="Times New Roman" w:cs="Times New Roman"/>
                <w:color w:val="auto"/>
                <w:sz w:val="24"/>
                <w:szCs w:val="24"/>
                <w:lang w:val="en-US" w:eastAsia="zh-CN"/>
              </w:rPr>
              <w:t>DA001</w:t>
            </w:r>
            <w:r>
              <w:rPr>
                <w:rFonts w:hint="default" w:ascii="Times New Roman" w:hAnsi="Times New Roman" w:eastAsia="宋体" w:cs="Times New Roman"/>
                <w:color w:val="auto"/>
                <w:sz w:val="24"/>
                <w:szCs w:val="24"/>
                <w:lang w:eastAsia="zh-CN"/>
              </w:rPr>
              <w:t>（现有）</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eastAsia="zh-CN"/>
              </w:rPr>
              <w:t>DA00</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（现有）排放。⑤</w:t>
            </w:r>
            <w:r>
              <w:rPr>
                <w:rFonts w:hint="eastAsia" w:ascii="Times New Roman" w:hAnsi="Times New Roman" w:eastAsia="宋体" w:cs="Times New Roman"/>
                <w:color w:val="auto"/>
                <w:sz w:val="24"/>
                <w:szCs w:val="24"/>
                <w:lang w:val="en-US" w:eastAsia="zh-CN"/>
              </w:rPr>
              <w:t>抛丸：将利用</w:t>
            </w:r>
            <w:r>
              <w:rPr>
                <w:rFonts w:hint="default" w:ascii="Times New Roman" w:hAnsi="Times New Roman" w:eastAsia="宋体" w:cs="Times New Roman"/>
                <w:color w:val="auto"/>
                <w:sz w:val="24"/>
                <w:szCs w:val="24"/>
                <w:lang w:eastAsia="zh-CN"/>
              </w:rPr>
              <w:t>抛丸机对毛坯件进行表面光滑处理，</w:t>
            </w:r>
            <w:r>
              <w:rPr>
                <w:rFonts w:hint="eastAsia" w:ascii="Times New Roman" w:hAnsi="Times New Roman" w:eastAsia="宋体" w:cs="Times New Roman"/>
                <w:color w:val="auto"/>
                <w:sz w:val="24"/>
                <w:szCs w:val="24"/>
                <w:lang w:val="en-US" w:eastAsia="zh-CN"/>
              </w:rPr>
              <w:t>抛丸废气经</w:t>
            </w:r>
            <w:r>
              <w:rPr>
                <w:rFonts w:hint="default" w:ascii="Times New Roman" w:hAnsi="Times New Roman" w:eastAsia="宋体" w:cs="Times New Roman"/>
                <w:color w:val="auto"/>
                <w:sz w:val="24"/>
                <w:szCs w:val="24"/>
                <w:lang w:eastAsia="zh-CN"/>
              </w:rPr>
              <w:t>收集</w:t>
            </w:r>
            <w:r>
              <w:rPr>
                <w:rFonts w:hint="eastAsia" w:ascii="Times New Roman" w:hAnsi="Times New Roman" w:eastAsia="宋体" w:cs="Times New Roman"/>
                <w:color w:val="auto"/>
                <w:sz w:val="24"/>
                <w:szCs w:val="24"/>
                <w:lang w:val="en-US" w:eastAsia="zh-CN"/>
              </w:rPr>
              <w:t>后</w:t>
            </w:r>
            <w:r>
              <w:rPr>
                <w:rFonts w:hint="default" w:ascii="Times New Roman" w:hAnsi="Times New Roman" w:eastAsia="宋体" w:cs="Times New Roman"/>
                <w:color w:val="auto"/>
                <w:sz w:val="24"/>
                <w:szCs w:val="24"/>
                <w:lang w:eastAsia="zh-CN"/>
              </w:rPr>
              <w:t>进入布袋除尘器</w:t>
            </w:r>
            <w:r>
              <w:rPr>
                <w:rFonts w:hint="eastAsia" w:ascii="Times New Roman" w:hAnsi="Times New Roman" w:eastAsia="宋体" w:cs="Times New Roman"/>
                <w:color w:val="auto"/>
                <w:sz w:val="24"/>
                <w:szCs w:val="24"/>
                <w:lang w:val="en-US" w:eastAsia="zh-CN"/>
              </w:rPr>
              <w:t>装置</w:t>
            </w:r>
            <w:r>
              <w:rPr>
                <w:rFonts w:hint="default" w:ascii="Times New Roman" w:hAnsi="Times New Roman" w:eastAsia="宋体" w:cs="Times New Roman"/>
                <w:color w:val="auto"/>
                <w:sz w:val="24"/>
                <w:szCs w:val="24"/>
                <w:lang w:eastAsia="zh-CN"/>
              </w:rPr>
              <w:t>处理，通过15m高排气筒</w:t>
            </w:r>
            <w:r>
              <w:rPr>
                <w:rFonts w:hint="eastAsia" w:ascii="Times New Roman" w:hAnsi="Times New Roman" w:eastAsia="宋体" w:cs="Times New Roman"/>
                <w:color w:val="auto"/>
                <w:sz w:val="24"/>
                <w:szCs w:val="24"/>
                <w:lang w:val="en-US" w:eastAsia="zh-CN"/>
              </w:rPr>
              <w:t>DA00</w:t>
            </w:r>
            <w:r>
              <w:rPr>
                <w:rFonts w:hint="eastAsia"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eastAsia" w:ascii="Times New Roman" w:hAnsi="Times New Roman" w:cs="Times New Roman"/>
                <w:color w:val="auto"/>
                <w:sz w:val="24"/>
                <w:szCs w:val="24"/>
                <w:lang w:val="en-US" w:eastAsia="zh-CN"/>
              </w:rPr>
              <w:t>现有</w:t>
            </w:r>
            <w:r>
              <w:rPr>
                <w:rFonts w:hint="default" w:ascii="Times New Roman" w:hAnsi="Times New Roman" w:eastAsia="宋体" w:cs="Times New Roman"/>
                <w:color w:val="auto"/>
                <w:sz w:val="24"/>
                <w:szCs w:val="24"/>
                <w:lang w:eastAsia="zh-CN"/>
              </w:rPr>
              <w:t>）排放</w:t>
            </w:r>
            <w:r>
              <w:rPr>
                <w:rFonts w:hint="eastAsia" w:ascii="Times New Roman" w:hAnsi="Times New Roman" w:eastAsia="宋体" w:cs="Times New Roman"/>
                <w:color w:val="auto"/>
                <w:sz w:val="24"/>
                <w:szCs w:val="24"/>
                <w:lang w:val="en-US" w:eastAsia="zh-CN"/>
              </w:rPr>
              <w:t>。抛丸过程还会产生噪声</w:t>
            </w:r>
            <w:r>
              <w:rPr>
                <w:rFonts w:hint="default" w:ascii="Times New Roman" w:hAnsi="Times New Roman" w:eastAsia="宋体" w:cs="Times New Roman"/>
                <w:color w:val="auto"/>
                <w:sz w:val="24"/>
                <w:szCs w:val="24"/>
                <w:lang w:val="en-US" w:eastAsia="zh-CN"/>
              </w:rPr>
              <w:t>及废钢丸</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highlight w:val="none"/>
                <w:lang w:val="en-US" w:eastAsia="zh-CN"/>
              </w:rPr>
              <w:t>⑥</w:t>
            </w:r>
            <w:r>
              <w:rPr>
                <w:rFonts w:hint="eastAsia" w:ascii="Times New Roman" w:hAnsi="Times New Roman" w:eastAsia="宋体" w:cs="Times New Roman"/>
                <w:color w:val="auto"/>
                <w:sz w:val="24"/>
                <w:szCs w:val="24"/>
                <w:lang w:val="en-US" w:eastAsia="zh-CN"/>
              </w:rPr>
              <w:t>检验：冷却后的铸件需进行检验，此阶段产生不合格品。</w:t>
            </w:r>
            <w:r>
              <w:rPr>
                <w:rFonts w:hint="eastAsia" w:ascii="Times New Roman" w:hAnsi="Times New Roman" w:eastAsia="宋体" w:cs="Times New Roman"/>
                <w:color w:val="auto"/>
                <w:sz w:val="24"/>
                <w:szCs w:val="24"/>
                <w:highlight w:val="none"/>
                <w:lang w:val="en-US" w:eastAsia="zh-CN"/>
              </w:rPr>
              <w:t>⑦</w:t>
            </w:r>
            <w:r>
              <w:rPr>
                <w:rFonts w:hint="eastAsia" w:ascii="Times New Roman" w:hAnsi="Times New Roman" w:eastAsia="宋体" w:cs="Times New Roman"/>
                <w:color w:val="auto"/>
                <w:sz w:val="24"/>
                <w:szCs w:val="24"/>
                <w:lang w:val="en-US" w:eastAsia="zh-CN"/>
              </w:rPr>
              <w:t>入库：检验后成品入库待售。</w:t>
            </w:r>
          </w:p>
          <w:p w14:paraId="74AF8108">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default" w:ascii="Times New Roman" w:hAnsi="Times New Roman" w:cs="Times New Roman"/>
                <w:color w:val="auto"/>
              </w:rPr>
            </w:pPr>
          </w:p>
        </w:tc>
      </w:tr>
      <w:tr w14:paraId="185F43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36" w:hRule="atLeast"/>
          <w:jc w:val="center"/>
        </w:trPr>
        <w:tc>
          <w:tcPr>
            <w:tcW w:w="431" w:type="dxa"/>
            <w:tcBorders>
              <w:right w:val="single" w:color="000000" w:sz="8" w:space="0"/>
            </w:tcBorders>
            <w:vAlign w:val="center"/>
          </w:tcPr>
          <w:p w14:paraId="1CB3B695">
            <w:pPr>
              <w:keepNext w:val="0"/>
              <w:keepLines w:val="0"/>
              <w:pageBreakBefore w:val="0"/>
              <w:widowControl/>
              <w:kinsoku w:val="0"/>
              <w:wordWrap/>
              <w:overflowPunct/>
              <w:topLinePunct w:val="0"/>
              <w:autoSpaceDE w:val="0"/>
              <w:autoSpaceDN w:val="0"/>
              <w:bidi w:val="0"/>
              <w:adjustRightInd w:val="0"/>
              <w:snapToGrid w:val="0"/>
              <w:ind w:firstLine="480" w:firstLineChars="20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与项目有关的原有环境污染问题</w:t>
            </w:r>
          </w:p>
        </w:tc>
        <w:tc>
          <w:tcPr>
            <w:tcW w:w="9433" w:type="dxa"/>
            <w:tcBorders>
              <w:left w:val="single" w:color="000000" w:sz="8" w:space="0"/>
            </w:tcBorders>
            <w:vAlign w:val="top"/>
          </w:tcPr>
          <w:p w14:paraId="4351D0F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二、现有污染物排放情况</w:t>
            </w:r>
          </w:p>
          <w:p w14:paraId="27943B3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1、废气</w:t>
            </w:r>
          </w:p>
          <w:p w14:paraId="651AD0C9">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w:t>
            </w:r>
            <w:r>
              <w:rPr>
                <w:rFonts w:hint="eastAsia" w:ascii="Times New Roman" w:hAnsi="Times New Roman" w:cs="Times New Roman"/>
                <w:color w:val="auto"/>
                <w:sz w:val="24"/>
                <w:szCs w:val="24"/>
                <w:highlight w:val="none"/>
                <w:lang w:val="en-US" w:eastAsia="zh-CN"/>
              </w:rPr>
              <w:t>山东方杰检测技术有限公司</w:t>
            </w:r>
            <w:r>
              <w:rPr>
                <w:rFonts w:hint="default" w:ascii="Times New Roman" w:hAnsi="Times New Roman" w:cs="Times New Roman"/>
                <w:color w:val="auto"/>
                <w:sz w:val="24"/>
                <w:szCs w:val="24"/>
                <w:highlight w:val="none"/>
                <w:lang w:val="en-US" w:eastAsia="zh-CN"/>
              </w:rPr>
              <w:t>2024</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13</w:t>
            </w:r>
            <w:r>
              <w:rPr>
                <w:rFonts w:hint="default" w:ascii="Times New Roman" w:hAnsi="Times New Roman" w:eastAsia="宋体" w:cs="Times New Roman"/>
                <w:color w:val="auto"/>
                <w:sz w:val="24"/>
                <w:szCs w:val="24"/>
                <w:highlight w:val="none"/>
              </w:rPr>
              <w:t>日出具的检测报告</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报告编号</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FJH24090201</w:t>
            </w:r>
            <w:r>
              <w:rPr>
                <w:rFonts w:hint="default" w:ascii="Times New Roman" w:hAnsi="Times New Roman" w:eastAsia="宋体" w:cs="Times New Roman"/>
                <w:color w:val="auto"/>
                <w:sz w:val="24"/>
                <w:szCs w:val="24"/>
                <w:highlight w:val="none"/>
              </w:rPr>
              <w:t>可知，</w:t>
            </w:r>
            <w:r>
              <w:rPr>
                <w:rFonts w:hint="eastAsia" w:ascii="Times New Roman" w:hAnsi="Times New Roman" w:cs="Times New Roman"/>
                <w:color w:val="auto"/>
                <w:sz w:val="24"/>
                <w:szCs w:val="24"/>
                <w:highlight w:val="none"/>
                <w:lang w:val="en-US" w:eastAsia="zh-CN"/>
              </w:rPr>
              <w:t>现有项目有组织废气排放情况见下表：</w:t>
            </w:r>
          </w:p>
          <w:p w14:paraId="1D081E9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rPr>
              <w:t>表2-</w:t>
            </w:r>
            <w:r>
              <w:rPr>
                <w:rFonts w:hint="eastAsia" w:ascii="Times New Roman" w:hAnsi="Times New Roman" w:cs="Times New Roman"/>
                <w:b/>
                <w:bCs/>
                <w:color w:val="auto"/>
                <w:sz w:val="24"/>
                <w:szCs w:val="24"/>
                <w:highlight w:val="none"/>
                <w:lang w:val="en-US" w:eastAsia="zh-CN"/>
              </w:rPr>
              <w:t>7</w:t>
            </w:r>
            <w:r>
              <w:rPr>
                <w:rFonts w:hint="eastAsia" w:ascii="Times New Roman" w:hAnsi="Times New Roman" w:eastAsia="宋体" w:cs="Times New Roman"/>
                <w:b/>
                <w:bCs/>
                <w:color w:val="auto"/>
                <w:sz w:val="24"/>
                <w:szCs w:val="24"/>
                <w:highlight w:val="none"/>
              </w:rPr>
              <w:t>有组织废气检测结果表</w:t>
            </w:r>
          </w:p>
          <w:tbl>
            <w:tblPr>
              <w:tblStyle w:val="15"/>
              <w:tblW w:w="907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572"/>
              <w:gridCol w:w="2363"/>
              <w:gridCol w:w="1598"/>
              <w:gridCol w:w="970"/>
              <w:gridCol w:w="1581"/>
              <w:gridCol w:w="987"/>
            </w:tblGrid>
            <w:tr w14:paraId="621E912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13065204">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采样日期</w:t>
                  </w:r>
                </w:p>
              </w:tc>
              <w:tc>
                <w:tcPr>
                  <w:tcW w:w="7499" w:type="dxa"/>
                  <w:gridSpan w:val="5"/>
                  <w:tcBorders>
                    <w:tl2br w:val="nil"/>
                    <w:tr2bl w:val="nil"/>
                  </w:tcBorders>
                  <w:noWrap w:val="0"/>
                  <w:vAlign w:val="center"/>
                </w:tcPr>
                <w:p w14:paraId="7916F384">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2024.09.02</w:t>
                  </w:r>
                </w:p>
              </w:tc>
            </w:tr>
            <w:tr w14:paraId="4DBFD03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2384E5F6">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采样点位</w:t>
                  </w:r>
                </w:p>
              </w:tc>
              <w:tc>
                <w:tcPr>
                  <w:tcW w:w="2363" w:type="dxa"/>
                  <w:tcBorders>
                    <w:tl2br w:val="nil"/>
                    <w:tr2bl w:val="nil"/>
                  </w:tcBorders>
                  <w:noWrap w:val="0"/>
                  <w:vAlign w:val="center"/>
                </w:tcPr>
                <w:p w14:paraId="3241DDCB">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1#排气筒</w:t>
                  </w:r>
                  <w:r>
                    <w:rPr>
                      <w:rFonts w:hint="default" w:ascii="Times New Roman" w:hAnsi="Times New Roman" w:eastAsia="宋体" w:cs="Times New Roman"/>
                      <w:color w:val="auto"/>
                      <w:sz w:val="21"/>
                      <w:szCs w:val="21"/>
                    </w:rPr>
                    <w:t>出口</w:t>
                  </w:r>
                </w:p>
              </w:tc>
              <w:tc>
                <w:tcPr>
                  <w:tcW w:w="1598" w:type="dxa"/>
                  <w:tcBorders>
                    <w:tl2br w:val="nil"/>
                    <w:tr2bl w:val="nil"/>
                  </w:tcBorders>
                  <w:noWrap w:val="0"/>
                  <w:vAlign w:val="center"/>
                </w:tcPr>
                <w:p w14:paraId="1C0CE3B5">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w:t>
                  </w:r>
                  <w:r>
                    <w:rPr>
                      <w:rFonts w:hint="eastAsia" w:ascii="Times New Roman" w:hAnsi="Times New Roman" w:eastAsia="宋体" w:cs="Times New Roman"/>
                      <w:color w:val="auto"/>
                      <w:sz w:val="21"/>
                      <w:szCs w:val="21"/>
                      <w:lang w:val="en-US" w:eastAsia="zh-CN"/>
                    </w:rPr>
                    <w:t>截面积</w:t>
                  </w:r>
                  <w:r>
                    <w:rPr>
                      <w:rFonts w:hint="default" w:ascii="Times New Roman" w:hAnsi="Times New Roman" w:eastAsia="宋体" w:cs="Times New Roman"/>
                      <w:color w:val="auto"/>
                      <w:sz w:val="21"/>
                      <w:szCs w:val="21"/>
                    </w:rPr>
                    <w:t>（m</w:t>
                  </w:r>
                  <w:r>
                    <w:rPr>
                      <w:rFonts w:hint="eastAsia"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rPr>
                    <w:t>）</w:t>
                  </w:r>
                </w:p>
              </w:tc>
              <w:tc>
                <w:tcPr>
                  <w:tcW w:w="970" w:type="dxa"/>
                  <w:tcBorders>
                    <w:tl2br w:val="nil"/>
                    <w:tr2bl w:val="nil"/>
                  </w:tcBorders>
                  <w:noWrap w:val="0"/>
                  <w:vAlign w:val="center"/>
                </w:tcPr>
                <w:p w14:paraId="27C97DD3">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0.0707</w:t>
                  </w:r>
                </w:p>
              </w:tc>
              <w:tc>
                <w:tcPr>
                  <w:tcW w:w="1581" w:type="dxa"/>
                  <w:tcBorders>
                    <w:tl2br w:val="nil"/>
                    <w:tr2bl w:val="nil"/>
                  </w:tcBorders>
                  <w:noWrap w:val="0"/>
                  <w:vAlign w:val="center"/>
                </w:tcPr>
                <w:p w14:paraId="4FC70CFA">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烟筒高度</w:t>
                  </w:r>
                </w:p>
                <w:p w14:paraId="3FEFFD76">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987" w:type="dxa"/>
                  <w:tcBorders>
                    <w:tl2br w:val="nil"/>
                    <w:tr2bl w:val="nil"/>
                  </w:tcBorders>
                  <w:noWrap w:val="0"/>
                  <w:vAlign w:val="center"/>
                </w:tcPr>
                <w:p w14:paraId="0C734D1A">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r>
            <w:tr w14:paraId="221AC12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72" w:type="dxa"/>
                  <w:tcBorders>
                    <w:tl2br w:val="nil"/>
                    <w:tr2bl w:val="nil"/>
                  </w:tcBorders>
                  <w:noWrap w:val="0"/>
                  <w:vAlign w:val="center"/>
                </w:tcPr>
                <w:p w14:paraId="5DF4CCA4">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2363" w:type="dxa"/>
                  <w:tcBorders>
                    <w:tl2br w:val="nil"/>
                    <w:tr2bl w:val="nil"/>
                  </w:tcBorders>
                  <w:shd w:val="clear" w:color="auto" w:fill="auto"/>
                  <w:noWrap w:val="0"/>
                  <w:vAlign w:val="center"/>
                </w:tcPr>
                <w:p w14:paraId="187926F0">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第一次</w:t>
                  </w:r>
                </w:p>
              </w:tc>
              <w:tc>
                <w:tcPr>
                  <w:tcW w:w="2568" w:type="dxa"/>
                  <w:gridSpan w:val="2"/>
                  <w:tcBorders>
                    <w:tl2br w:val="nil"/>
                    <w:tr2bl w:val="nil"/>
                  </w:tcBorders>
                  <w:shd w:val="clear" w:color="auto" w:fill="auto"/>
                  <w:noWrap w:val="0"/>
                  <w:vAlign w:val="center"/>
                </w:tcPr>
                <w:p w14:paraId="1C4C07BD">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第二次</w:t>
                  </w:r>
                </w:p>
              </w:tc>
              <w:tc>
                <w:tcPr>
                  <w:tcW w:w="2568" w:type="dxa"/>
                  <w:gridSpan w:val="2"/>
                  <w:tcBorders>
                    <w:tl2br w:val="nil"/>
                    <w:tr2bl w:val="nil"/>
                  </w:tcBorders>
                  <w:shd w:val="clear" w:color="auto" w:fill="auto"/>
                  <w:noWrap w:val="0"/>
                  <w:vAlign w:val="center"/>
                </w:tcPr>
                <w:p w14:paraId="2A89B517">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第三次</w:t>
                  </w:r>
                </w:p>
              </w:tc>
            </w:tr>
            <w:tr w14:paraId="26A6CC2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33A23311">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标干流量</w:t>
                  </w:r>
                </w:p>
                <w:p w14:paraId="7EB9B012">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2363" w:type="dxa"/>
                  <w:tcBorders>
                    <w:tl2br w:val="nil"/>
                    <w:tr2bl w:val="nil"/>
                  </w:tcBorders>
                  <w:noWrap w:val="0"/>
                  <w:vAlign w:val="center"/>
                </w:tcPr>
                <w:p w14:paraId="5D2B17FB">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1779</w:t>
                  </w:r>
                </w:p>
              </w:tc>
              <w:tc>
                <w:tcPr>
                  <w:tcW w:w="2568" w:type="dxa"/>
                  <w:gridSpan w:val="2"/>
                  <w:tcBorders>
                    <w:tl2br w:val="nil"/>
                    <w:tr2bl w:val="nil"/>
                  </w:tcBorders>
                  <w:noWrap w:val="0"/>
                  <w:vAlign w:val="center"/>
                </w:tcPr>
                <w:p w14:paraId="2F5D9D89">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1825</w:t>
                  </w:r>
                </w:p>
              </w:tc>
              <w:tc>
                <w:tcPr>
                  <w:tcW w:w="2568" w:type="dxa"/>
                  <w:gridSpan w:val="2"/>
                  <w:tcBorders>
                    <w:tl2br w:val="nil"/>
                    <w:tr2bl w:val="nil"/>
                  </w:tcBorders>
                  <w:noWrap w:val="0"/>
                  <w:vAlign w:val="center"/>
                </w:tcPr>
                <w:p w14:paraId="2E709405">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1858</w:t>
                  </w:r>
                </w:p>
              </w:tc>
            </w:tr>
            <w:tr w14:paraId="053F41D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6B60562D">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rPr>
                    <w:t>排放浓度（mg/m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2363" w:type="dxa"/>
                  <w:tcBorders>
                    <w:tl2br w:val="nil"/>
                    <w:tr2bl w:val="nil"/>
                  </w:tcBorders>
                  <w:noWrap w:val="0"/>
                  <w:vAlign w:val="center"/>
                </w:tcPr>
                <w:p w14:paraId="1D91550F">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2568" w:type="dxa"/>
                  <w:gridSpan w:val="2"/>
                  <w:tcBorders>
                    <w:tl2br w:val="nil"/>
                    <w:tr2bl w:val="nil"/>
                  </w:tcBorders>
                  <w:noWrap w:val="0"/>
                  <w:vAlign w:val="center"/>
                </w:tcPr>
                <w:p w14:paraId="20C3C33B">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w:t>
                  </w:r>
                </w:p>
              </w:tc>
              <w:tc>
                <w:tcPr>
                  <w:tcW w:w="2568" w:type="dxa"/>
                  <w:gridSpan w:val="2"/>
                  <w:tcBorders>
                    <w:tl2br w:val="nil"/>
                    <w:tr2bl w:val="nil"/>
                  </w:tcBorders>
                  <w:noWrap w:val="0"/>
                  <w:vAlign w:val="center"/>
                </w:tcPr>
                <w:p w14:paraId="1B042664">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r>
            <w:tr w14:paraId="3E5EE39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2F86140B">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rPr>
                    <w:t>排放速率（kg/h）</w:t>
                  </w:r>
                </w:p>
              </w:tc>
              <w:tc>
                <w:tcPr>
                  <w:tcW w:w="2363" w:type="dxa"/>
                  <w:tcBorders>
                    <w:tl2br w:val="nil"/>
                    <w:tr2bl w:val="nil"/>
                  </w:tcBorders>
                  <w:noWrap w:val="0"/>
                  <w:vAlign w:val="center"/>
                </w:tcPr>
                <w:p w14:paraId="728EAE00">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5.0×10</w:t>
                  </w:r>
                  <w:r>
                    <w:rPr>
                      <w:rFonts w:hint="eastAsia" w:ascii="Times New Roman" w:hAnsi="Times New Roman" w:eastAsia="宋体" w:cs="Times New Roman"/>
                      <w:color w:val="auto"/>
                      <w:sz w:val="21"/>
                      <w:szCs w:val="21"/>
                      <w:vertAlign w:val="superscript"/>
                      <w:lang w:val="en-US" w:eastAsia="zh-CN"/>
                    </w:rPr>
                    <w:t>-3</w:t>
                  </w:r>
                </w:p>
              </w:tc>
              <w:tc>
                <w:tcPr>
                  <w:tcW w:w="2568" w:type="dxa"/>
                  <w:gridSpan w:val="2"/>
                  <w:tcBorders>
                    <w:tl2br w:val="nil"/>
                    <w:tr2bl w:val="nil"/>
                  </w:tcBorders>
                  <w:noWrap w:val="0"/>
                  <w:vAlign w:val="center"/>
                </w:tcPr>
                <w:p w14:paraId="6BEBC5D9">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6.0×10</w:t>
                  </w:r>
                  <w:r>
                    <w:rPr>
                      <w:rFonts w:hint="eastAsia" w:ascii="Times New Roman" w:hAnsi="Times New Roman" w:eastAsia="宋体" w:cs="Times New Roman"/>
                      <w:color w:val="auto"/>
                      <w:sz w:val="21"/>
                      <w:szCs w:val="21"/>
                      <w:vertAlign w:val="superscript"/>
                      <w:lang w:val="en-US" w:eastAsia="zh-CN"/>
                    </w:rPr>
                    <w:t>-3</w:t>
                  </w:r>
                </w:p>
              </w:tc>
              <w:tc>
                <w:tcPr>
                  <w:tcW w:w="2568" w:type="dxa"/>
                  <w:gridSpan w:val="2"/>
                  <w:tcBorders>
                    <w:tl2br w:val="nil"/>
                    <w:tr2bl w:val="nil"/>
                  </w:tcBorders>
                  <w:noWrap w:val="0"/>
                  <w:vAlign w:val="center"/>
                </w:tcPr>
                <w:p w14:paraId="0337561D">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4.5×10</w:t>
                  </w:r>
                  <w:r>
                    <w:rPr>
                      <w:rFonts w:hint="eastAsia" w:ascii="Times New Roman" w:hAnsi="Times New Roman" w:eastAsia="宋体" w:cs="Times New Roman"/>
                      <w:color w:val="auto"/>
                      <w:sz w:val="21"/>
                      <w:szCs w:val="21"/>
                      <w:vertAlign w:val="superscript"/>
                      <w:lang w:val="en-US" w:eastAsia="zh-CN"/>
                    </w:rPr>
                    <w:t>-3</w:t>
                  </w:r>
                </w:p>
              </w:tc>
            </w:tr>
            <w:tr w14:paraId="07DDFAE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shd w:val="clear" w:color="auto" w:fill="auto"/>
                  <w:noWrap w:val="0"/>
                  <w:vAlign w:val="center"/>
                </w:tcPr>
                <w:p w14:paraId="4AE766A4">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采样日期</w:t>
                  </w:r>
                </w:p>
              </w:tc>
              <w:tc>
                <w:tcPr>
                  <w:tcW w:w="7499" w:type="dxa"/>
                  <w:gridSpan w:val="5"/>
                  <w:tcBorders>
                    <w:tl2br w:val="nil"/>
                    <w:tr2bl w:val="nil"/>
                  </w:tcBorders>
                  <w:shd w:val="clear" w:color="auto" w:fill="auto"/>
                  <w:noWrap w:val="0"/>
                  <w:vAlign w:val="center"/>
                </w:tcPr>
                <w:p w14:paraId="3F62BDC6">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val="en-US" w:eastAsia="zh-CN"/>
                    </w:rPr>
                    <w:t>2024.09.02</w:t>
                  </w:r>
                </w:p>
              </w:tc>
            </w:tr>
            <w:tr w14:paraId="2CD8B06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17B711BA">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采样点位</w:t>
                  </w:r>
                </w:p>
              </w:tc>
              <w:tc>
                <w:tcPr>
                  <w:tcW w:w="2363" w:type="dxa"/>
                  <w:tcBorders>
                    <w:tl2br w:val="nil"/>
                    <w:tr2bl w:val="nil"/>
                  </w:tcBorders>
                  <w:noWrap w:val="0"/>
                  <w:vAlign w:val="center"/>
                </w:tcPr>
                <w:p w14:paraId="61648A79">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2#排气筒</w:t>
                  </w:r>
                  <w:r>
                    <w:rPr>
                      <w:rFonts w:hint="default" w:ascii="Times New Roman" w:hAnsi="Times New Roman" w:eastAsia="宋体" w:cs="Times New Roman"/>
                      <w:color w:val="auto"/>
                      <w:sz w:val="21"/>
                      <w:szCs w:val="21"/>
                    </w:rPr>
                    <w:t>出口</w:t>
                  </w:r>
                </w:p>
              </w:tc>
              <w:tc>
                <w:tcPr>
                  <w:tcW w:w="1598" w:type="dxa"/>
                  <w:tcBorders>
                    <w:tl2br w:val="nil"/>
                    <w:tr2bl w:val="nil"/>
                  </w:tcBorders>
                  <w:shd w:val="clear" w:color="auto" w:fill="auto"/>
                  <w:noWrap w:val="0"/>
                  <w:vAlign w:val="center"/>
                </w:tcPr>
                <w:p w14:paraId="5C2C35B3">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排气筒</w:t>
                  </w:r>
                  <w:r>
                    <w:rPr>
                      <w:rFonts w:hint="eastAsia" w:ascii="Times New Roman" w:hAnsi="Times New Roman" w:eastAsia="宋体" w:cs="Times New Roman"/>
                      <w:color w:val="auto"/>
                      <w:sz w:val="21"/>
                      <w:szCs w:val="21"/>
                      <w:lang w:val="en-US" w:eastAsia="zh-CN"/>
                    </w:rPr>
                    <w:t>截面积</w:t>
                  </w:r>
                  <w:r>
                    <w:rPr>
                      <w:rFonts w:hint="default" w:ascii="Times New Roman" w:hAnsi="Times New Roman" w:eastAsia="宋体" w:cs="Times New Roman"/>
                      <w:color w:val="auto"/>
                      <w:sz w:val="21"/>
                      <w:szCs w:val="21"/>
                    </w:rPr>
                    <w:t>（m</w:t>
                  </w:r>
                  <w:r>
                    <w:rPr>
                      <w:rFonts w:hint="eastAsia"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rPr>
                    <w:t>）</w:t>
                  </w:r>
                </w:p>
              </w:tc>
              <w:tc>
                <w:tcPr>
                  <w:tcW w:w="970" w:type="dxa"/>
                  <w:tcBorders>
                    <w:tl2br w:val="nil"/>
                    <w:tr2bl w:val="nil"/>
                  </w:tcBorders>
                  <w:shd w:val="clear" w:color="auto" w:fill="auto"/>
                  <w:noWrap w:val="0"/>
                  <w:vAlign w:val="center"/>
                </w:tcPr>
                <w:p w14:paraId="7486D922">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val="en-US" w:eastAsia="zh-CN"/>
                    </w:rPr>
                    <w:t>0.0491</w:t>
                  </w:r>
                </w:p>
              </w:tc>
              <w:tc>
                <w:tcPr>
                  <w:tcW w:w="1581" w:type="dxa"/>
                  <w:tcBorders>
                    <w:tl2br w:val="nil"/>
                    <w:tr2bl w:val="nil"/>
                  </w:tcBorders>
                  <w:shd w:val="clear" w:color="auto" w:fill="auto"/>
                  <w:noWrap w:val="0"/>
                  <w:vAlign w:val="center"/>
                </w:tcPr>
                <w:p w14:paraId="562F1C02">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烟筒高度</w:t>
                  </w:r>
                </w:p>
                <w:p w14:paraId="5D053136">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（m）</w:t>
                  </w:r>
                </w:p>
              </w:tc>
              <w:tc>
                <w:tcPr>
                  <w:tcW w:w="987" w:type="dxa"/>
                  <w:tcBorders>
                    <w:tl2br w:val="nil"/>
                    <w:tr2bl w:val="nil"/>
                  </w:tcBorders>
                  <w:shd w:val="clear" w:color="auto" w:fill="auto"/>
                  <w:noWrap w:val="0"/>
                  <w:vAlign w:val="center"/>
                </w:tcPr>
                <w:p w14:paraId="5D4AAE48">
                  <w:pPr>
                    <w:keepNext w:val="0"/>
                    <w:keepLines w:val="0"/>
                    <w:pageBreakBefore w:val="0"/>
                    <w:widowControl/>
                    <w:tabs>
                      <w:tab w:val="left" w:pos="9795"/>
                    </w:tabs>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15</w:t>
                  </w:r>
                </w:p>
              </w:tc>
            </w:tr>
            <w:tr w14:paraId="41095AA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4DA31B09">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2363" w:type="dxa"/>
                  <w:tcBorders>
                    <w:tl2br w:val="nil"/>
                    <w:tr2bl w:val="nil"/>
                  </w:tcBorders>
                  <w:shd w:val="clear" w:color="auto" w:fill="auto"/>
                  <w:noWrap w:val="0"/>
                  <w:vAlign w:val="center"/>
                </w:tcPr>
                <w:p w14:paraId="38C2D1AB">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第一次</w:t>
                  </w:r>
                </w:p>
              </w:tc>
              <w:tc>
                <w:tcPr>
                  <w:tcW w:w="2568" w:type="dxa"/>
                  <w:gridSpan w:val="2"/>
                  <w:tcBorders>
                    <w:tl2br w:val="nil"/>
                    <w:tr2bl w:val="nil"/>
                  </w:tcBorders>
                  <w:shd w:val="clear" w:color="auto" w:fill="auto"/>
                  <w:noWrap w:val="0"/>
                  <w:vAlign w:val="center"/>
                </w:tcPr>
                <w:p w14:paraId="7EDD97BD">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第二次</w:t>
                  </w:r>
                </w:p>
              </w:tc>
              <w:tc>
                <w:tcPr>
                  <w:tcW w:w="2568" w:type="dxa"/>
                  <w:gridSpan w:val="2"/>
                  <w:tcBorders>
                    <w:tl2br w:val="nil"/>
                    <w:tr2bl w:val="nil"/>
                  </w:tcBorders>
                  <w:shd w:val="clear" w:color="auto" w:fill="auto"/>
                  <w:noWrap w:val="0"/>
                  <w:vAlign w:val="center"/>
                </w:tcPr>
                <w:p w14:paraId="607029E5">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第三次</w:t>
                  </w:r>
                </w:p>
              </w:tc>
            </w:tr>
            <w:tr w14:paraId="088077D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noWrap w:val="0"/>
                  <w:vAlign w:val="center"/>
                </w:tcPr>
                <w:p w14:paraId="414112AF">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标干流量</w:t>
                  </w:r>
                </w:p>
                <w:p w14:paraId="7AD97ED5">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2363" w:type="dxa"/>
                  <w:tcBorders>
                    <w:tl2br w:val="nil"/>
                    <w:tr2bl w:val="nil"/>
                  </w:tcBorders>
                  <w:noWrap w:val="0"/>
                  <w:vAlign w:val="center"/>
                </w:tcPr>
                <w:p w14:paraId="62388106">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1179</w:t>
                  </w:r>
                </w:p>
              </w:tc>
              <w:tc>
                <w:tcPr>
                  <w:tcW w:w="2568" w:type="dxa"/>
                  <w:gridSpan w:val="2"/>
                  <w:tcBorders>
                    <w:tl2br w:val="nil"/>
                    <w:tr2bl w:val="nil"/>
                  </w:tcBorders>
                  <w:noWrap w:val="0"/>
                  <w:vAlign w:val="center"/>
                </w:tcPr>
                <w:p w14:paraId="0DDF2FDB">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1164</w:t>
                  </w:r>
                </w:p>
              </w:tc>
              <w:tc>
                <w:tcPr>
                  <w:tcW w:w="2568" w:type="dxa"/>
                  <w:gridSpan w:val="2"/>
                  <w:tcBorders>
                    <w:tl2br w:val="nil"/>
                    <w:tr2bl w:val="nil"/>
                  </w:tcBorders>
                  <w:noWrap w:val="0"/>
                  <w:vAlign w:val="center"/>
                </w:tcPr>
                <w:p w14:paraId="67D8AABF">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1176</w:t>
                  </w:r>
                </w:p>
              </w:tc>
            </w:tr>
            <w:tr w14:paraId="3EA0241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shd w:val="clear" w:color="auto" w:fill="auto"/>
                  <w:noWrap w:val="0"/>
                  <w:vAlign w:val="center"/>
                </w:tcPr>
                <w:p w14:paraId="3912C8A8">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rPr>
                    <w:t>排放浓度（mg/m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2363" w:type="dxa"/>
                  <w:tcBorders>
                    <w:tl2br w:val="nil"/>
                    <w:tr2bl w:val="nil"/>
                  </w:tcBorders>
                  <w:noWrap w:val="0"/>
                  <w:vAlign w:val="center"/>
                </w:tcPr>
                <w:p w14:paraId="7D0ADD43">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c>
                <w:tcPr>
                  <w:tcW w:w="2568" w:type="dxa"/>
                  <w:gridSpan w:val="2"/>
                  <w:tcBorders>
                    <w:tl2br w:val="nil"/>
                    <w:tr2bl w:val="nil"/>
                  </w:tcBorders>
                  <w:noWrap w:val="0"/>
                  <w:vAlign w:val="center"/>
                </w:tcPr>
                <w:p w14:paraId="222D43A4">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w:t>
                  </w:r>
                </w:p>
              </w:tc>
              <w:tc>
                <w:tcPr>
                  <w:tcW w:w="2568" w:type="dxa"/>
                  <w:gridSpan w:val="2"/>
                  <w:tcBorders>
                    <w:tl2br w:val="nil"/>
                    <w:tr2bl w:val="nil"/>
                  </w:tcBorders>
                  <w:noWrap w:val="0"/>
                  <w:vAlign w:val="center"/>
                </w:tcPr>
                <w:p w14:paraId="3ECC9FFF">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w:t>
                  </w:r>
                </w:p>
              </w:tc>
            </w:tr>
            <w:tr w14:paraId="11E1E5F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shd w:val="clear" w:color="auto" w:fill="auto"/>
                  <w:noWrap w:val="0"/>
                  <w:vAlign w:val="center"/>
                </w:tcPr>
                <w:p w14:paraId="52322881">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rPr>
                    <w:t>排放速率（kg/h）</w:t>
                  </w:r>
                </w:p>
              </w:tc>
              <w:tc>
                <w:tcPr>
                  <w:tcW w:w="2363" w:type="dxa"/>
                  <w:tcBorders>
                    <w:tl2br w:val="nil"/>
                    <w:tr2bl w:val="nil"/>
                  </w:tcBorders>
                  <w:noWrap w:val="0"/>
                  <w:vAlign w:val="center"/>
                </w:tcPr>
                <w:p w14:paraId="3418014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4.1×10</w:t>
                  </w:r>
                  <w:r>
                    <w:rPr>
                      <w:rFonts w:hint="eastAsia" w:ascii="Times New Roman" w:hAnsi="Times New Roman" w:eastAsia="宋体" w:cs="Times New Roman"/>
                      <w:color w:val="auto"/>
                      <w:sz w:val="21"/>
                      <w:szCs w:val="21"/>
                      <w:vertAlign w:val="superscript"/>
                      <w:lang w:val="en-US" w:eastAsia="zh-CN"/>
                    </w:rPr>
                    <w:t>-3</w:t>
                  </w:r>
                </w:p>
              </w:tc>
              <w:tc>
                <w:tcPr>
                  <w:tcW w:w="2568" w:type="dxa"/>
                  <w:gridSpan w:val="2"/>
                  <w:tcBorders>
                    <w:tl2br w:val="nil"/>
                    <w:tr2bl w:val="nil"/>
                  </w:tcBorders>
                  <w:noWrap w:val="0"/>
                  <w:vAlign w:val="center"/>
                </w:tcPr>
                <w:p w14:paraId="2C89A6B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4.5×10</w:t>
                  </w:r>
                  <w:r>
                    <w:rPr>
                      <w:rFonts w:hint="eastAsia" w:ascii="Times New Roman" w:hAnsi="Times New Roman" w:eastAsia="宋体" w:cs="Times New Roman"/>
                      <w:color w:val="auto"/>
                      <w:sz w:val="21"/>
                      <w:szCs w:val="21"/>
                      <w:vertAlign w:val="superscript"/>
                      <w:lang w:val="en-US" w:eastAsia="zh-CN"/>
                    </w:rPr>
                    <w:t>-3</w:t>
                  </w:r>
                </w:p>
              </w:tc>
              <w:tc>
                <w:tcPr>
                  <w:tcW w:w="2568" w:type="dxa"/>
                  <w:gridSpan w:val="2"/>
                  <w:tcBorders>
                    <w:tl2br w:val="nil"/>
                    <w:tr2bl w:val="nil"/>
                  </w:tcBorders>
                  <w:noWrap w:val="0"/>
                  <w:vAlign w:val="center"/>
                </w:tcPr>
                <w:p w14:paraId="5F87DF3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3.6×10</w:t>
                  </w:r>
                  <w:r>
                    <w:rPr>
                      <w:rFonts w:hint="eastAsia" w:ascii="Times New Roman" w:hAnsi="Times New Roman" w:eastAsia="宋体" w:cs="Times New Roman"/>
                      <w:color w:val="auto"/>
                      <w:sz w:val="21"/>
                      <w:szCs w:val="21"/>
                      <w:vertAlign w:val="superscript"/>
                      <w:lang w:val="en-US" w:eastAsia="zh-CN"/>
                    </w:rPr>
                    <w:t>-3</w:t>
                  </w:r>
                </w:p>
              </w:tc>
            </w:tr>
            <w:tr w14:paraId="2F61DE7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2" w:type="dxa"/>
                  <w:tcBorders>
                    <w:tl2br w:val="nil"/>
                    <w:tr2bl w:val="nil"/>
                  </w:tcBorders>
                  <w:shd w:val="clear" w:color="auto" w:fill="auto"/>
                  <w:noWrap w:val="0"/>
                  <w:vAlign w:val="center"/>
                </w:tcPr>
                <w:p w14:paraId="10FE4A84">
                  <w:pPr>
                    <w:keepNext w:val="0"/>
                    <w:keepLines w:val="0"/>
                    <w:pageBreakBefore w:val="0"/>
                    <w:widowControl/>
                    <w:kinsoku w:val="0"/>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备注</w:t>
                  </w:r>
                </w:p>
              </w:tc>
              <w:tc>
                <w:tcPr>
                  <w:tcW w:w="7499" w:type="dxa"/>
                  <w:gridSpan w:val="5"/>
                  <w:tcBorders>
                    <w:tl2br w:val="nil"/>
                    <w:tr2bl w:val="nil"/>
                  </w:tcBorders>
                  <w:noWrap w:val="0"/>
                  <w:vAlign w:val="center"/>
                </w:tcPr>
                <w:p w14:paraId="0651A0D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bl>
          <w:p w14:paraId="267A1E26">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根据</w:t>
            </w:r>
            <w:r>
              <w:rPr>
                <w:rFonts w:hint="eastAsia" w:ascii="Times New Roman" w:hAnsi="Times New Roman" w:eastAsia="宋体" w:cs="Times New Roman"/>
                <w:color w:val="auto"/>
                <w:sz w:val="24"/>
                <w:szCs w:val="24"/>
                <w:highlight w:val="none"/>
                <w:lang w:val="en-US" w:eastAsia="zh-CN"/>
              </w:rPr>
              <w:t>中和环境监测（山东）有限公司202</w:t>
            </w:r>
            <w:r>
              <w:rPr>
                <w:rFonts w:hint="eastAsia" w:ascii="Times New Roman" w:hAnsi="Times New Roman"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年</w:t>
            </w:r>
            <w:r>
              <w:rPr>
                <w:rFonts w:hint="eastAsia" w:ascii="Times New Roman" w:hAnsi="Times New Roman"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月出具的报告（报告编号：</w:t>
            </w:r>
            <w:r>
              <w:rPr>
                <w:rFonts w:hint="eastAsia" w:ascii="Times New Roman" w:hAnsi="Times New Roman" w:cs="Times New Roman"/>
                <w:color w:val="auto"/>
                <w:sz w:val="24"/>
                <w:szCs w:val="24"/>
                <w:highlight w:val="none"/>
                <w:lang w:val="en-US" w:eastAsia="zh-CN"/>
              </w:rPr>
              <w:t>FJH24032210</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现有项目</w:t>
            </w:r>
            <w:r>
              <w:rPr>
                <w:rFonts w:hint="default" w:ascii="Times New Roman" w:hAnsi="Times New Roman" w:cs="Times New Roman"/>
                <w:color w:val="auto"/>
                <w:sz w:val="24"/>
                <w:szCs w:val="24"/>
                <w:highlight w:val="none"/>
                <w:lang w:val="en-US" w:eastAsia="zh-CN"/>
              </w:rPr>
              <w:t>无组织废气</w:t>
            </w:r>
            <w:r>
              <w:rPr>
                <w:rFonts w:hint="default" w:ascii="Times New Roman" w:hAnsi="Times New Roman" w:eastAsia="宋体" w:cs="Times New Roman"/>
                <w:color w:val="auto"/>
                <w:sz w:val="24"/>
                <w:szCs w:val="24"/>
                <w:highlight w:val="none"/>
              </w:rPr>
              <w:t>排放情况见下表</w:t>
            </w:r>
            <w:r>
              <w:rPr>
                <w:rFonts w:hint="default" w:ascii="Times New Roman" w:hAnsi="Times New Roman" w:cs="Times New Roman"/>
                <w:color w:val="auto"/>
                <w:sz w:val="24"/>
                <w:szCs w:val="24"/>
                <w:highlight w:val="none"/>
                <w:lang w:eastAsia="zh-CN"/>
              </w:rPr>
              <w:t>：</w:t>
            </w:r>
          </w:p>
          <w:p w14:paraId="6F17B89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 2-</w:t>
            </w:r>
            <w:r>
              <w:rPr>
                <w:rFonts w:hint="eastAsia" w:ascii="Times New Roman" w:hAnsi="Times New Roman" w:cs="Times New Roman"/>
                <w:b/>
                <w:bCs/>
                <w:color w:val="auto"/>
                <w:sz w:val="24"/>
                <w:szCs w:val="24"/>
                <w:highlight w:val="none"/>
                <w:lang w:val="en-US" w:eastAsia="zh-CN"/>
              </w:rPr>
              <w:t xml:space="preserve">8 </w:t>
            </w:r>
            <w:r>
              <w:rPr>
                <w:rFonts w:hint="default" w:ascii="Times New Roman" w:hAnsi="Times New Roman" w:eastAsia="宋体" w:cs="Times New Roman"/>
                <w:b/>
                <w:bCs/>
                <w:color w:val="auto"/>
                <w:sz w:val="24"/>
                <w:szCs w:val="24"/>
                <w:highlight w:val="none"/>
              </w:rPr>
              <w:t>现有项目</w:t>
            </w:r>
            <w:r>
              <w:rPr>
                <w:rFonts w:hint="default" w:ascii="Times New Roman" w:hAnsi="Times New Roman" w:cs="Times New Roman"/>
                <w:b/>
                <w:bCs/>
                <w:color w:val="auto"/>
                <w:sz w:val="24"/>
                <w:szCs w:val="24"/>
                <w:highlight w:val="none"/>
                <w:lang w:val="en-US" w:eastAsia="zh-CN"/>
              </w:rPr>
              <w:t>无组织废气</w:t>
            </w:r>
            <w:r>
              <w:rPr>
                <w:rFonts w:hint="default" w:ascii="Times New Roman" w:hAnsi="Times New Roman" w:eastAsia="宋体" w:cs="Times New Roman"/>
                <w:b/>
                <w:bCs/>
                <w:color w:val="auto"/>
                <w:sz w:val="24"/>
                <w:szCs w:val="24"/>
                <w:highlight w:val="none"/>
              </w:rPr>
              <w:t>检测结果一览表</w:t>
            </w:r>
          </w:p>
          <w:tbl>
            <w:tblPr>
              <w:tblStyle w:val="1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7"/>
              <w:gridCol w:w="1108"/>
              <w:gridCol w:w="1195"/>
              <w:gridCol w:w="1500"/>
              <w:gridCol w:w="1500"/>
              <w:gridCol w:w="1501"/>
            </w:tblGrid>
            <w:tr w14:paraId="6DB04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67" w:type="dxa"/>
                  <w:vAlign w:val="center"/>
                </w:tcPr>
                <w:p w14:paraId="54DF1BF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采样点位</w:t>
                  </w:r>
                </w:p>
              </w:tc>
              <w:tc>
                <w:tcPr>
                  <w:tcW w:w="1108" w:type="dxa"/>
                  <w:vAlign w:val="center"/>
                </w:tcPr>
                <w:p w14:paraId="5E1EEA9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检测项目</w:t>
                  </w:r>
                </w:p>
              </w:tc>
              <w:tc>
                <w:tcPr>
                  <w:tcW w:w="1195" w:type="dxa"/>
                  <w:vAlign w:val="center"/>
                </w:tcPr>
                <w:p w14:paraId="602DF77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浓度单位</w:t>
                  </w:r>
                </w:p>
              </w:tc>
              <w:tc>
                <w:tcPr>
                  <w:tcW w:w="1500" w:type="dxa"/>
                  <w:vAlign w:val="center"/>
                </w:tcPr>
                <w:p w14:paraId="215FE2C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第一次</w:t>
                  </w:r>
                </w:p>
              </w:tc>
              <w:tc>
                <w:tcPr>
                  <w:tcW w:w="1500" w:type="dxa"/>
                  <w:vAlign w:val="center"/>
                </w:tcPr>
                <w:p w14:paraId="238F208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第二次</w:t>
                  </w:r>
                </w:p>
              </w:tc>
              <w:tc>
                <w:tcPr>
                  <w:tcW w:w="1501" w:type="dxa"/>
                  <w:vAlign w:val="center"/>
                </w:tcPr>
                <w:p w14:paraId="2EEA140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第三次</w:t>
                  </w:r>
                </w:p>
              </w:tc>
            </w:tr>
            <w:tr w14:paraId="309B1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67" w:type="dxa"/>
                  <w:vAlign w:val="center"/>
                </w:tcPr>
                <w:p w14:paraId="57EAB11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1#上风向</w:t>
                  </w:r>
                </w:p>
              </w:tc>
              <w:tc>
                <w:tcPr>
                  <w:tcW w:w="1108" w:type="dxa"/>
                  <w:vMerge w:val="restart"/>
                  <w:vAlign w:val="center"/>
                </w:tcPr>
                <w:p w14:paraId="21D96BA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颗粒物</w:t>
                  </w:r>
                </w:p>
              </w:tc>
              <w:tc>
                <w:tcPr>
                  <w:tcW w:w="1195" w:type="dxa"/>
                  <w:vAlign w:val="center"/>
                </w:tcPr>
                <w:p w14:paraId="2CE71DD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μ</w:t>
                  </w:r>
                  <w:r>
                    <w:rPr>
                      <w:rFonts w:hint="default" w:ascii="Times New Roman" w:hAnsi="Times New Roman" w:eastAsia="宋体" w:cs="Times New Roman"/>
                      <w:color w:val="auto"/>
                      <w:sz w:val="21"/>
                      <w:szCs w:val="21"/>
                      <w:highlight w:val="none"/>
                      <w:vertAlign w:val="baseline"/>
                      <w:lang w:val="en-US" w:eastAsia="zh-CN"/>
                    </w:rPr>
                    <w:t>g/m</w:t>
                  </w:r>
                  <w:r>
                    <w:rPr>
                      <w:rFonts w:hint="default" w:ascii="Times New Roman" w:hAnsi="Times New Roman" w:eastAsia="宋体" w:cs="Times New Roman"/>
                      <w:color w:val="auto"/>
                      <w:sz w:val="21"/>
                      <w:szCs w:val="21"/>
                      <w:highlight w:val="none"/>
                      <w:vertAlign w:val="superscript"/>
                      <w:lang w:val="en-US" w:eastAsia="zh-CN"/>
                    </w:rPr>
                    <w:t>3</w:t>
                  </w:r>
                </w:p>
              </w:tc>
              <w:tc>
                <w:tcPr>
                  <w:tcW w:w="1500" w:type="dxa"/>
                  <w:vAlign w:val="center"/>
                </w:tcPr>
                <w:p w14:paraId="0C67B8F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383</w:t>
                  </w:r>
                </w:p>
              </w:tc>
              <w:tc>
                <w:tcPr>
                  <w:tcW w:w="1500" w:type="dxa"/>
                  <w:vAlign w:val="center"/>
                </w:tcPr>
                <w:p w14:paraId="7175337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401</w:t>
                  </w:r>
                </w:p>
              </w:tc>
              <w:tc>
                <w:tcPr>
                  <w:tcW w:w="1501" w:type="dxa"/>
                  <w:vAlign w:val="center"/>
                </w:tcPr>
                <w:p w14:paraId="6D11922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398</w:t>
                  </w:r>
                </w:p>
              </w:tc>
            </w:tr>
            <w:tr w14:paraId="0C552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67" w:type="dxa"/>
                  <w:vAlign w:val="center"/>
                </w:tcPr>
                <w:p w14:paraId="6B137AC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2#下风向</w:t>
                  </w:r>
                </w:p>
              </w:tc>
              <w:tc>
                <w:tcPr>
                  <w:tcW w:w="1108" w:type="dxa"/>
                  <w:vMerge w:val="continue"/>
                  <w:vAlign w:val="center"/>
                </w:tcPr>
                <w:p w14:paraId="5B7E9D3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p>
              </w:tc>
              <w:tc>
                <w:tcPr>
                  <w:tcW w:w="1195" w:type="dxa"/>
                  <w:vAlign w:val="center"/>
                </w:tcPr>
                <w:p w14:paraId="031DE92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μ</w:t>
                  </w:r>
                  <w:r>
                    <w:rPr>
                      <w:rFonts w:hint="default" w:ascii="Times New Roman" w:hAnsi="Times New Roman" w:eastAsia="宋体" w:cs="Times New Roman"/>
                      <w:color w:val="auto"/>
                      <w:sz w:val="21"/>
                      <w:szCs w:val="21"/>
                      <w:highlight w:val="none"/>
                      <w:vertAlign w:val="baseline"/>
                      <w:lang w:val="en-US" w:eastAsia="zh-CN"/>
                    </w:rPr>
                    <w:t>g/m</w:t>
                  </w:r>
                  <w:r>
                    <w:rPr>
                      <w:rFonts w:hint="default" w:ascii="Times New Roman" w:hAnsi="Times New Roman" w:eastAsia="宋体" w:cs="Times New Roman"/>
                      <w:color w:val="auto"/>
                      <w:sz w:val="21"/>
                      <w:szCs w:val="21"/>
                      <w:highlight w:val="none"/>
                      <w:vertAlign w:val="superscript"/>
                      <w:lang w:val="en-US" w:eastAsia="zh-CN"/>
                    </w:rPr>
                    <w:t>3</w:t>
                  </w:r>
                </w:p>
              </w:tc>
              <w:tc>
                <w:tcPr>
                  <w:tcW w:w="1500" w:type="dxa"/>
                  <w:vAlign w:val="center"/>
                </w:tcPr>
                <w:p w14:paraId="3E1E02F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440</w:t>
                  </w:r>
                </w:p>
              </w:tc>
              <w:tc>
                <w:tcPr>
                  <w:tcW w:w="1500" w:type="dxa"/>
                  <w:vAlign w:val="center"/>
                </w:tcPr>
                <w:p w14:paraId="0C4C16D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432</w:t>
                  </w:r>
                </w:p>
              </w:tc>
              <w:tc>
                <w:tcPr>
                  <w:tcW w:w="1501" w:type="dxa"/>
                  <w:vAlign w:val="center"/>
                </w:tcPr>
                <w:p w14:paraId="240B264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438</w:t>
                  </w:r>
                </w:p>
              </w:tc>
            </w:tr>
            <w:tr w14:paraId="66166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67" w:type="dxa"/>
                  <w:vAlign w:val="center"/>
                </w:tcPr>
                <w:p w14:paraId="376898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3#下风向</w:t>
                  </w:r>
                </w:p>
              </w:tc>
              <w:tc>
                <w:tcPr>
                  <w:tcW w:w="1108" w:type="dxa"/>
                  <w:vMerge w:val="continue"/>
                  <w:vAlign w:val="center"/>
                </w:tcPr>
                <w:p w14:paraId="0F2BCF9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p>
              </w:tc>
              <w:tc>
                <w:tcPr>
                  <w:tcW w:w="1195" w:type="dxa"/>
                  <w:vAlign w:val="center"/>
                </w:tcPr>
                <w:p w14:paraId="3FF82FA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μ</w:t>
                  </w:r>
                  <w:r>
                    <w:rPr>
                      <w:rFonts w:hint="default" w:ascii="Times New Roman" w:hAnsi="Times New Roman" w:eastAsia="宋体" w:cs="Times New Roman"/>
                      <w:color w:val="auto"/>
                      <w:sz w:val="21"/>
                      <w:szCs w:val="21"/>
                      <w:highlight w:val="none"/>
                      <w:vertAlign w:val="baseline"/>
                      <w:lang w:val="en-US" w:eastAsia="zh-CN"/>
                    </w:rPr>
                    <w:t>g/m</w:t>
                  </w:r>
                  <w:r>
                    <w:rPr>
                      <w:rFonts w:hint="default" w:ascii="Times New Roman" w:hAnsi="Times New Roman" w:eastAsia="宋体" w:cs="Times New Roman"/>
                      <w:color w:val="auto"/>
                      <w:sz w:val="21"/>
                      <w:szCs w:val="21"/>
                      <w:highlight w:val="none"/>
                      <w:vertAlign w:val="superscript"/>
                      <w:lang w:val="en-US" w:eastAsia="zh-CN"/>
                    </w:rPr>
                    <w:t>3</w:t>
                  </w:r>
                </w:p>
              </w:tc>
              <w:tc>
                <w:tcPr>
                  <w:tcW w:w="1500" w:type="dxa"/>
                  <w:vAlign w:val="center"/>
                </w:tcPr>
                <w:p w14:paraId="4410C6D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433</w:t>
                  </w:r>
                </w:p>
              </w:tc>
              <w:tc>
                <w:tcPr>
                  <w:tcW w:w="1500" w:type="dxa"/>
                  <w:vAlign w:val="center"/>
                </w:tcPr>
                <w:p w14:paraId="2CA1FC8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428</w:t>
                  </w:r>
                </w:p>
              </w:tc>
              <w:tc>
                <w:tcPr>
                  <w:tcW w:w="1501" w:type="dxa"/>
                  <w:vAlign w:val="center"/>
                </w:tcPr>
                <w:p w14:paraId="6A86A0A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435</w:t>
                  </w:r>
                </w:p>
              </w:tc>
            </w:tr>
            <w:tr w14:paraId="390B8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67" w:type="dxa"/>
                  <w:vAlign w:val="center"/>
                </w:tcPr>
                <w:p w14:paraId="41A24CE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4#下风向</w:t>
                  </w:r>
                </w:p>
              </w:tc>
              <w:tc>
                <w:tcPr>
                  <w:tcW w:w="1108" w:type="dxa"/>
                  <w:vMerge w:val="continue"/>
                  <w:vAlign w:val="center"/>
                </w:tcPr>
                <w:p w14:paraId="519C19F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p>
              </w:tc>
              <w:tc>
                <w:tcPr>
                  <w:tcW w:w="1195" w:type="dxa"/>
                  <w:vAlign w:val="center"/>
                </w:tcPr>
                <w:p w14:paraId="529A91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μ</w:t>
                  </w:r>
                  <w:r>
                    <w:rPr>
                      <w:rFonts w:hint="default" w:ascii="Times New Roman" w:hAnsi="Times New Roman" w:eastAsia="宋体" w:cs="Times New Roman"/>
                      <w:color w:val="auto"/>
                      <w:sz w:val="21"/>
                      <w:szCs w:val="21"/>
                      <w:highlight w:val="none"/>
                      <w:vertAlign w:val="baseline"/>
                      <w:lang w:val="en-US" w:eastAsia="zh-CN"/>
                    </w:rPr>
                    <w:t>g/m</w:t>
                  </w:r>
                  <w:r>
                    <w:rPr>
                      <w:rFonts w:hint="default" w:ascii="Times New Roman" w:hAnsi="Times New Roman" w:eastAsia="宋体" w:cs="Times New Roman"/>
                      <w:color w:val="auto"/>
                      <w:sz w:val="21"/>
                      <w:szCs w:val="21"/>
                      <w:highlight w:val="none"/>
                      <w:vertAlign w:val="superscript"/>
                      <w:lang w:val="en-US" w:eastAsia="zh-CN"/>
                    </w:rPr>
                    <w:t>3</w:t>
                  </w:r>
                </w:p>
              </w:tc>
              <w:tc>
                <w:tcPr>
                  <w:tcW w:w="1500" w:type="dxa"/>
                  <w:vAlign w:val="center"/>
                </w:tcPr>
                <w:p w14:paraId="7479B73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425</w:t>
                  </w:r>
                </w:p>
              </w:tc>
              <w:tc>
                <w:tcPr>
                  <w:tcW w:w="1500" w:type="dxa"/>
                  <w:vAlign w:val="center"/>
                </w:tcPr>
                <w:p w14:paraId="6D81718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431</w:t>
                  </w:r>
                </w:p>
              </w:tc>
              <w:tc>
                <w:tcPr>
                  <w:tcW w:w="1501" w:type="dxa"/>
                  <w:vAlign w:val="center"/>
                </w:tcPr>
                <w:p w14:paraId="5509E4A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435</w:t>
                  </w:r>
                </w:p>
              </w:tc>
            </w:tr>
            <w:tr w14:paraId="3EC6C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67" w:type="dxa"/>
                  <w:vAlign w:val="center"/>
                </w:tcPr>
                <w:p w14:paraId="6CEB967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厂区内车间门口外1m</w:t>
                  </w:r>
                </w:p>
              </w:tc>
              <w:tc>
                <w:tcPr>
                  <w:tcW w:w="1108" w:type="dxa"/>
                  <w:vMerge w:val="continue"/>
                  <w:vAlign w:val="center"/>
                </w:tcPr>
                <w:p w14:paraId="37128E9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rPr>
                  </w:pPr>
                </w:p>
              </w:tc>
              <w:tc>
                <w:tcPr>
                  <w:tcW w:w="1195" w:type="dxa"/>
                  <w:vAlign w:val="center"/>
                </w:tcPr>
                <w:p w14:paraId="3CA68F7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μ</w:t>
                  </w:r>
                  <w:r>
                    <w:rPr>
                      <w:rFonts w:hint="default" w:ascii="Times New Roman" w:hAnsi="Times New Roman" w:eastAsia="宋体" w:cs="Times New Roman"/>
                      <w:color w:val="auto"/>
                      <w:sz w:val="21"/>
                      <w:szCs w:val="21"/>
                      <w:highlight w:val="none"/>
                      <w:vertAlign w:val="baseline"/>
                      <w:lang w:val="en-US" w:eastAsia="zh-CN"/>
                    </w:rPr>
                    <w:t>g/m</w:t>
                  </w:r>
                  <w:r>
                    <w:rPr>
                      <w:rFonts w:hint="default" w:ascii="Times New Roman" w:hAnsi="Times New Roman" w:eastAsia="宋体" w:cs="Times New Roman"/>
                      <w:color w:val="auto"/>
                      <w:sz w:val="21"/>
                      <w:szCs w:val="21"/>
                      <w:highlight w:val="none"/>
                      <w:vertAlign w:val="superscript"/>
                      <w:lang w:val="en-US" w:eastAsia="zh-CN"/>
                    </w:rPr>
                    <w:t>3</w:t>
                  </w:r>
                </w:p>
              </w:tc>
              <w:tc>
                <w:tcPr>
                  <w:tcW w:w="4501" w:type="dxa"/>
                  <w:gridSpan w:val="3"/>
                  <w:vAlign w:val="center"/>
                </w:tcPr>
                <w:p w14:paraId="6A1C33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427</w:t>
                  </w:r>
                </w:p>
              </w:tc>
            </w:tr>
          </w:tbl>
          <w:p w14:paraId="40CB03E7">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备注：</w:t>
            </w:r>
            <w:r>
              <w:rPr>
                <w:rFonts w:hint="eastAsia" w:ascii="Times New Roman" w:hAnsi="Times New Roman" w:cs="Times New Roman"/>
                <w:color w:val="auto"/>
                <w:sz w:val="24"/>
                <w:szCs w:val="24"/>
                <w:highlight w:val="none"/>
                <w:lang w:val="en-US" w:eastAsia="zh-CN"/>
              </w:rPr>
              <w:t>2025年检测期间未满负荷生产，仅1台电炉正常运行，故本次评价引用2024年监测数据进行现状分析。</w:t>
            </w:r>
          </w:p>
          <w:p w14:paraId="35D78BF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有组织颗粒物排放浓度</w:t>
            </w:r>
            <w:r>
              <w:rPr>
                <w:rFonts w:hint="eastAsia" w:ascii="Times New Roman" w:hAnsi="Times New Roman" w:cs="Times New Roman"/>
                <w:color w:val="auto"/>
                <w:sz w:val="24"/>
                <w:szCs w:val="24"/>
                <w:highlight w:val="none"/>
                <w:lang w:val="en-US" w:eastAsia="zh-CN"/>
              </w:rPr>
              <w:t>能够满足</w:t>
            </w:r>
            <w:r>
              <w:rPr>
                <w:rFonts w:hint="default" w:ascii="Times New Roman" w:hAnsi="Times New Roman" w:eastAsia="宋体" w:cs="Times New Roman"/>
                <w:color w:val="auto"/>
                <w:sz w:val="24"/>
                <w:szCs w:val="24"/>
                <w:highlight w:val="none"/>
                <w:lang w:val="en-US" w:eastAsia="zh-CN"/>
              </w:rPr>
              <w:t>《区域性大气污染物综合排放标准》（DB37/2376-2019）中表1中重点控制区大气污染物排放浓度限值</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厂界</w:t>
            </w:r>
            <w:r>
              <w:rPr>
                <w:rFonts w:hint="eastAsia" w:ascii="Times New Roman" w:hAnsi="Times New Roman" w:cs="Times New Roman"/>
                <w:color w:val="auto"/>
                <w:sz w:val="24"/>
                <w:szCs w:val="24"/>
                <w:highlight w:val="none"/>
                <w:lang w:eastAsia="zh-CN"/>
              </w:rPr>
              <w:t>无组织颗粒物</w:t>
            </w:r>
            <w:r>
              <w:rPr>
                <w:rFonts w:hint="eastAsia" w:ascii="Times New Roman" w:hAnsi="Times New Roman" w:cs="Times New Roman"/>
                <w:color w:val="auto"/>
                <w:sz w:val="24"/>
                <w:szCs w:val="24"/>
                <w:highlight w:val="none"/>
                <w:lang w:val="en-US" w:eastAsia="zh-CN"/>
              </w:rPr>
              <w:t>能够满足</w:t>
            </w:r>
            <w:r>
              <w:rPr>
                <w:rFonts w:hint="eastAsia" w:ascii="Times New Roman" w:hAnsi="Times New Roman" w:cs="Times New Roman"/>
                <w:color w:val="auto"/>
                <w:sz w:val="24"/>
                <w:szCs w:val="24"/>
                <w:highlight w:val="none"/>
                <w:lang w:eastAsia="zh-CN"/>
              </w:rPr>
              <w:t>《大气污染物综合排放标准》（</w:t>
            </w:r>
            <w:r>
              <w:rPr>
                <w:rFonts w:hint="eastAsia" w:ascii="Times New Roman" w:hAnsi="Times New Roman" w:cs="Times New Roman"/>
                <w:color w:val="auto"/>
                <w:sz w:val="24"/>
                <w:szCs w:val="24"/>
                <w:highlight w:val="none"/>
                <w:lang w:val="en-US" w:eastAsia="zh-CN"/>
              </w:rPr>
              <w:t>GB16297-1996</w:t>
            </w:r>
            <w:r>
              <w:rPr>
                <w:rFonts w:hint="eastAsia" w:ascii="Times New Roman" w:hAnsi="Times New Roman" w:cs="Times New Roman"/>
                <w:color w:val="auto"/>
                <w:sz w:val="24"/>
                <w:szCs w:val="24"/>
                <w:highlight w:val="none"/>
                <w:lang w:eastAsia="zh-CN"/>
              </w:rPr>
              <w:t>）表</w:t>
            </w:r>
            <w:r>
              <w:rPr>
                <w:rFonts w:hint="eastAsia" w:ascii="Times New Roman" w:hAnsi="Times New Roman" w:cs="Times New Roman"/>
                <w:color w:val="auto"/>
                <w:sz w:val="24"/>
                <w:szCs w:val="24"/>
                <w:highlight w:val="none"/>
                <w:lang w:val="en-US" w:eastAsia="zh-CN"/>
              </w:rPr>
              <w:t>2中</w:t>
            </w:r>
            <w:r>
              <w:rPr>
                <w:rFonts w:hint="eastAsia" w:ascii="Times New Roman" w:hAnsi="Times New Roman" w:cs="Times New Roman"/>
                <w:color w:val="auto"/>
                <w:sz w:val="24"/>
                <w:szCs w:val="24"/>
                <w:highlight w:val="none"/>
                <w:lang w:eastAsia="zh-CN"/>
              </w:rPr>
              <w:t>无组织排放监控浓度限值</w:t>
            </w:r>
            <w:r>
              <w:rPr>
                <w:rFonts w:hint="eastAsia" w:ascii="Times New Roman" w:hAnsi="Times New Roman" w:cs="Times New Roman"/>
                <w:color w:val="auto"/>
                <w:sz w:val="24"/>
                <w:szCs w:val="24"/>
                <w:highlight w:val="none"/>
                <w:lang w:val="en-US" w:eastAsia="zh-CN"/>
              </w:rPr>
              <w:t>要求（</w:t>
            </w:r>
            <w:r>
              <w:rPr>
                <w:rFonts w:hint="eastAsia" w:ascii="Times New Roman" w:hAnsi="Times New Roman" w:cs="Times New Roman"/>
                <w:color w:val="auto"/>
                <w:sz w:val="24"/>
                <w:szCs w:val="24"/>
                <w:highlight w:val="none"/>
                <w:lang w:eastAsia="zh-CN"/>
              </w:rPr>
              <w:t>颗粒物：</w:t>
            </w:r>
            <w:r>
              <w:rPr>
                <w:rFonts w:hint="eastAsia" w:ascii="Times New Roman" w:hAnsi="Times New Roman" w:cs="Times New Roman"/>
                <w:color w:val="auto"/>
                <w:sz w:val="24"/>
                <w:szCs w:val="24"/>
                <w:highlight w:val="none"/>
                <w:lang w:val="en-US" w:eastAsia="zh-CN"/>
              </w:rPr>
              <w:t>1.0</w:t>
            </w:r>
            <w:r>
              <w:rPr>
                <w:rFonts w:hint="eastAsia" w:ascii="Times New Roman" w:hAnsi="Times New Roman" w:cs="Times New Roman"/>
                <w:color w:val="auto"/>
                <w:sz w:val="24"/>
                <w:szCs w:val="24"/>
                <w:highlight w:val="none"/>
                <w:lang w:eastAsia="zh-CN"/>
              </w:rPr>
              <w:t>mg/m</w:t>
            </w:r>
            <w:r>
              <w:rPr>
                <w:rFonts w:hint="eastAsia" w:ascii="Times New Roman" w:hAnsi="Times New Roman" w:cs="Times New Roman"/>
                <w:color w:val="auto"/>
                <w:sz w:val="24"/>
                <w:szCs w:val="24"/>
                <w:highlight w:val="none"/>
                <w:vertAlign w:val="superscript"/>
                <w:lang w:eastAsia="zh-CN"/>
              </w:rPr>
              <w:t>3</w:t>
            </w:r>
            <w:r>
              <w:rPr>
                <w:rFonts w:hint="eastAsia" w:ascii="Times New Roman" w:hAnsi="Times New Roman" w:cs="Times New Roman"/>
                <w:color w:val="auto"/>
                <w:sz w:val="24"/>
                <w:szCs w:val="24"/>
                <w:highlight w:val="none"/>
                <w:lang w:val="en-US" w:eastAsia="zh-CN"/>
              </w:rPr>
              <w:t>）；厂区内无组织颗粒物浓度能够满足《铸造工业大气污染物排放标准》（GB39726-2020）附录A，厂区内的无组织排放限值（颗粒物：5.0mg/m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w:t>
            </w:r>
          </w:p>
          <w:p w14:paraId="5FA2229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2、噪声</w:t>
            </w:r>
          </w:p>
          <w:p w14:paraId="64903185">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现有项目噪声主要为</w:t>
            </w:r>
            <w:r>
              <w:rPr>
                <w:rFonts w:hint="eastAsia" w:ascii="Times New Roman" w:hAnsi="Times New Roman" w:cs="Times New Roman"/>
                <w:color w:val="auto"/>
                <w:sz w:val="24"/>
                <w:szCs w:val="24"/>
                <w:highlight w:val="none"/>
                <w:lang w:val="en-US" w:eastAsia="zh-CN"/>
              </w:rPr>
              <w:t>电炉、混砂机、抛丸机</w:t>
            </w:r>
            <w:r>
              <w:rPr>
                <w:rFonts w:hint="default" w:ascii="Times New Roman" w:hAnsi="Times New Roman" w:eastAsia="宋体" w:cs="Times New Roman"/>
                <w:color w:val="auto"/>
                <w:sz w:val="24"/>
                <w:szCs w:val="24"/>
                <w:highlight w:val="none"/>
              </w:rPr>
              <w:t>等设备运行产生的噪声，采取的噪声治理措施为：</w:t>
            </w:r>
          </w:p>
          <w:p w14:paraId="0B5056B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①在保证工艺生产的同时注意选用低噪声的设备；</w:t>
            </w:r>
          </w:p>
          <w:p w14:paraId="3DD74B0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②对振动较大的设备考虑设备基础的隔振、减振；</w:t>
            </w:r>
          </w:p>
          <w:p w14:paraId="0FDFF66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③利用建（构）筑物隔声降噪。</w:t>
            </w:r>
          </w:p>
          <w:p w14:paraId="294AC39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w:t>
            </w:r>
            <w:r>
              <w:rPr>
                <w:rFonts w:hint="eastAsia" w:ascii="Times New Roman" w:hAnsi="Times New Roman" w:cs="Times New Roman"/>
                <w:color w:val="auto"/>
                <w:sz w:val="24"/>
                <w:szCs w:val="24"/>
                <w:highlight w:val="none"/>
                <w:lang w:val="en-US" w:eastAsia="zh-CN"/>
              </w:rPr>
              <w:t>山东方杰检测技术有限公司</w:t>
            </w:r>
            <w:r>
              <w:rPr>
                <w:rFonts w:hint="default" w:ascii="Times New Roman" w:hAnsi="Times New Roman" w:cs="Times New Roman"/>
                <w:color w:val="auto"/>
                <w:sz w:val="24"/>
                <w:szCs w:val="24"/>
                <w:highlight w:val="none"/>
                <w:lang w:val="en-US" w:eastAsia="zh-CN"/>
              </w:rPr>
              <w:t>2024</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13</w:t>
            </w:r>
            <w:r>
              <w:rPr>
                <w:rFonts w:hint="default" w:ascii="Times New Roman" w:hAnsi="Times New Roman" w:eastAsia="宋体" w:cs="Times New Roman"/>
                <w:color w:val="auto"/>
                <w:sz w:val="24"/>
                <w:szCs w:val="24"/>
                <w:highlight w:val="none"/>
              </w:rPr>
              <w:t>日出具的检测报告</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报告编号</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FJH24090201</w:t>
            </w:r>
            <w:r>
              <w:rPr>
                <w:rFonts w:hint="default" w:ascii="Times New Roman" w:hAnsi="Times New Roman" w:eastAsia="宋体" w:cs="Times New Roman"/>
                <w:color w:val="auto"/>
                <w:sz w:val="24"/>
                <w:szCs w:val="24"/>
                <w:highlight w:val="none"/>
              </w:rPr>
              <w:t>可知，现有项目噪声排放情况见下表。</w:t>
            </w:r>
          </w:p>
          <w:p w14:paraId="7EE37220">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 2-</w:t>
            </w:r>
            <w:r>
              <w:rPr>
                <w:rFonts w:hint="eastAsia" w:ascii="Times New Roman" w:hAnsi="Times New Roman"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rPr>
              <w:t>现有项目厂界环境噪声检测结果一览表</w:t>
            </w:r>
          </w:p>
          <w:tbl>
            <w:tblPr>
              <w:tblStyle w:val="21"/>
              <w:tblW w:w="8957"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1555"/>
              <w:gridCol w:w="1312"/>
              <w:gridCol w:w="2468"/>
              <w:gridCol w:w="2468"/>
              <w:gridCol w:w="1154"/>
            </w:tblGrid>
            <w:tr w14:paraId="2945B0E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555" w:type="dxa"/>
                  <w:tcBorders>
                    <w:tl2br w:val="nil"/>
                    <w:tr2bl w:val="nil"/>
                  </w:tcBorders>
                  <w:vAlign w:val="center"/>
                </w:tcPr>
                <w:p w14:paraId="6E4673A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采样日期</w:t>
                  </w:r>
                </w:p>
              </w:tc>
              <w:tc>
                <w:tcPr>
                  <w:tcW w:w="1312" w:type="dxa"/>
                  <w:tcBorders>
                    <w:tl2br w:val="nil"/>
                    <w:tr2bl w:val="nil"/>
                  </w:tcBorders>
                  <w:vAlign w:val="center"/>
                </w:tcPr>
                <w:p w14:paraId="582A543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采样点位</w:t>
                  </w:r>
                </w:p>
              </w:tc>
              <w:tc>
                <w:tcPr>
                  <w:tcW w:w="2468" w:type="dxa"/>
                  <w:tcBorders>
                    <w:tl2br w:val="nil"/>
                    <w:tr2bl w:val="nil"/>
                  </w:tcBorders>
                  <w:vAlign w:val="center"/>
                </w:tcPr>
                <w:p w14:paraId="6637250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检测时段</w:t>
                  </w:r>
                </w:p>
              </w:tc>
              <w:tc>
                <w:tcPr>
                  <w:tcW w:w="2468" w:type="dxa"/>
                  <w:tcBorders>
                    <w:tl2br w:val="nil"/>
                    <w:tr2bl w:val="nil"/>
                  </w:tcBorders>
                  <w:vAlign w:val="center"/>
                </w:tcPr>
                <w:p w14:paraId="1076F6E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检测结果</w:t>
                  </w:r>
                </w:p>
                <w:p w14:paraId="632D5B9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snapToGrid w:val="0"/>
                      <w:color w:val="auto"/>
                      <w:kern w:val="0"/>
                      <w:sz w:val="21"/>
                      <w:szCs w:val="21"/>
                      <w:highlight w:val="none"/>
                      <w:lang w:val="en-US" w:eastAsia="en-US" w:bidi="ar-SA"/>
                    </w:rPr>
                  </w:pPr>
                  <w:r>
                    <w:rPr>
                      <w:rFonts w:hint="default" w:ascii="Times New Roman" w:hAnsi="Times New Roman" w:eastAsia="宋体" w:cs="Times New Roman"/>
                      <w:b/>
                      <w:bCs/>
                      <w:color w:val="auto"/>
                      <w:sz w:val="21"/>
                      <w:szCs w:val="21"/>
                      <w:highlight w:val="none"/>
                    </w:rPr>
                    <w:t>Leq</w:t>
                  </w:r>
                  <w:r>
                    <w:rPr>
                      <w:rFonts w:hint="default" w:ascii="Times New Roman" w:hAnsi="Times New Roman"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dB(A)</w:t>
                  </w:r>
                  <w:r>
                    <w:rPr>
                      <w:rFonts w:hint="default" w:ascii="Times New Roman" w:hAnsi="Times New Roman" w:cs="Times New Roman"/>
                      <w:b/>
                      <w:bCs/>
                      <w:color w:val="auto"/>
                      <w:sz w:val="21"/>
                      <w:szCs w:val="21"/>
                      <w:highlight w:val="none"/>
                      <w:lang w:eastAsia="zh-CN"/>
                    </w:rPr>
                    <w:t>）</w:t>
                  </w:r>
                </w:p>
              </w:tc>
              <w:tc>
                <w:tcPr>
                  <w:tcW w:w="1154" w:type="dxa"/>
                  <w:tcBorders>
                    <w:tl2br w:val="nil"/>
                    <w:tr2bl w:val="nil"/>
                  </w:tcBorders>
                  <w:vAlign w:val="center"/>
                </w:tcPr>
                <w:p w14:paraId="66C1A4E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气象条件</w:t>
                  </w:r>
                </w:p>
              </w:tc>
            </w:tr>
            <w:tr w14:paraId="0A3FF1E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1555" w:type="dxa"/>
                  <w:vMerge w:val="restart"/>
                  <w:tcBorders>
                    <w:tl2br w:val="nil"/>
                    <w:tr2bl w:val="nil"/>
                  </w:tcBorders>
                  <w:vAlign w:val="center"/>
                </w:tcPr>
                <w:p w14:paraId="24DB3F0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w:t>
                  </w:r>
                  <w:r>
                    <w:rPr>
                      <w:rFonts w:hint="default" w:ascii="Times New Roman" w:hAnsi="Times New Roman" w:cs="Times New Roman"/>
                      <w:color w:val="auto"/>
                      <w:sz w:val="21"/>
                      <w:szCs w:val="21"/>
                      <w:highlight w:val="none"/>
                      <w:lang w:val="en-US" w:eastAsia="zh-CN"/>
                    </w:rPr>
                    <w:t>24.</w:t>
                  </w:r>
                  <w:r>
                    <w:rPr>
                      <w:rFonts w:hint="eastAsia" w:ascii="Times New Roman" w:hAnsi="Times New Roman" w:cs="Times New Roman"/>
                      <w:color w:val="auto"/>
                      <w:sz w:val="21"/>
                      <w:szCs w:val="21"/>
                      <w:highlight w:val="none"/>
                      <w:lang w:val="en-US" w:eastAsia="zh-CN"/>
                    </w:rPr>
                    <w:t>09.02</w:t>
                  </w:r>
                </w:p>
              </w:tc>
              <w:tc>
                <w:tcPr>
                  <w:tcW w:w="1312" w:type="dxa"/>
                  <w:tcBorders>
                    <w:tl2br w:val="nil"/>
                    <w:tr2bl w:val="nil"/>
                  </w:tcBorders>
                  <w:vAlign w:val="center"/>
                </w:tcPr>
                <w:p w14:paraId="52FDE05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厂界东1m</w:t>
                  </w:r>
                </w:p>
              </w:tc>
              <w:tc>
                <w:tcPr>
                  <w:tcW w:w="2468" w:type="dxa"/>
                  <w:tcBorders>
                    <w:tl2br w:val="nil"/>
                    <w:tr2bl w:val="nil"/>
                  </w:tcBorders>
                  <w:vAlign w:val="center"/>
                </w:tcPr>
                <w:p w14:paraId="6118AF3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2468" w:type="dxa"/>
                  <w:tcBorders>
                    <w:tl2br w:val="nil"/>
                    <w:tr2bl w:val="nil"/>
                  </w:tcBorders>
                  <w:vAlign w:val="center"/>
                </w:tcPr>
                <w:p w14:paraId="4CEE42C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57.0</w:t>
                  </w:r>
                </w:p>
              </w:tc>
              <w:tc>
                <w:tcPr>
                  <w:tcW w:w="1154" w:type="dxa"/>
                  <w:vMerge w:val="restart"/>
                  <w:tcBorders>
                    <w:tl2br w:val="nil"/>
                    <w:tr2bl w:val="nil"/>
                  </w:tcBorders>
                  <w:vAlign w:val="center"/>
                </w:tcPr>
                <w:p w14:paraId="2D9ECF1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无雷电，无雨雪</w:t>
                  </w:r>
                </w:p>
              </w:tc>
            </w:tr>
            <w:tr w14:paraId="013B453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555" w:type="dxa"/>
                  <w:vMerge w:val="continue"/>
                  <w:tcBorders>
                    <w:tl2br w:val="nil"/>
                    <w:tr2bl w:val="nil"/>
                  </w:tcBorders>
                  <w:vAlign w:val="center"/>
                </w:tcPr>
                <w:p w14:paraId="3329ADE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312" w:type="dxa"/>
                  <w:tcBorders>
                    <w:tl2br w:val="nil"/>
                    <w:tr2bl w:val="nil"/>
                  </w:tcBorders>
                  <w:vAlign w:val="center"/>
                </w:tcPr>
                <w:p w14:paraId="6B3DE27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厂界</w:t>
                  </w:r>
                  <w:r>
                    <w:rPr>
                      <w:rFonts w:hint="default" w:ascii="Times New Roman" w:hAnsi="Times New Roman" w:cs="Times New Roman"/>
                      <w:color w:val="auto"/>
                      <w:sz w:val="21"/>
                      <w:szCs w:val="21"/>
                      <w:highlight w:val="none"/>
                      <w:lang w:val="en-US" w:eastAsia="zh-CN"/>
                    </w:rPr>
                    <w:t>南</w:t>
                  </w:r>
                  <w:r>
                    <w:rPr>
                      <w:rFonts w:hint="default" w:ascii="Times New Roman" w:hAnsi="Times New Roman" w:eastAsia="宋体" w:cs="Times New Roman"/>
                      <w:color w:val="auto"/>
                      <w:sz w:val="21"/>
                      <w:szCs w:val="21"/>
                      <w:highlight w:val="none"/>
                      <w:lang w:val="en-US" w:eastAsia="zh-CN"/>
                    </w:rPr>
                    <w:t>1m</w:t>
                  </w:r>
                </w:p>
              </w:tc>
              <w:tc>
                <w:tcPr>
                  <w:tcW w:w="2468" w:type="dxa"/>
                  <w:tcBorders>
                    <w:tl2br w:val="nil"/>
                    <w:tr2bl w:val="nil"/>
                  </w:tcBorders>
                  <w:vAlign w:val="center"/>
                </w:tcPr>
                <w:p w14:paraId="78263E6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2468" w:type="dxa"/>
                  <w:tcBorders>
                    <w:tl2br w:val="nil"/>
                    <w:tr2bl w:val="nil"/>
                  </w:tcBorders>
                  <w:vAlign w:val="center"/>
                </w:tcPr>
                <w:p w14:paraId="625ED02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57.4</w:t>
                  </w:r>
                </w:p>
              </w:tc>
              <w:tc>
                <w:tcPr>
                  <w:tcW w:w="1154" w:type="dxa"/>
                  <w:vMerge w:val="continue"/>
                  <w:tcBorders>
                    <w:tl2br w:val="nil"/>
                    <w:tr2bl w:val="nil"/>
                  </w:tcBorders>
                  <w:vAlign w:val="center"/>
                </w:tcPr>
                <w:p w14:paraId="35A77CF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5FD6161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555" w:type="dxa"/>
                  <w:vMerge w:val="continue"/>
                  <w:tcBorders>
                    <w:tl2br w:val="nil"/>
                    <w:tr2bl w:val="nil"/>
                  </w:tcBorders>
                  <w:vAlign w:val="center"/>
                </w:tcPr>
                <w:p w14:paraId="209D65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312" w:type="dxa"/>
                  <w:tcBorders>
                    <w:tl2br w:val="nil"/>
                    <w:tr2bl w:val="nil"/>
                  </w:tcBorders>
                  <w:vAlign w:val="center"/>
                </w:tcPr>
                <w:p w14:paraId="574CEB4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厂界</w:t>
                  </w:r>
                  <w:r>
                    <w:rPr>
                      <w:rFonts w:hint="default" w:ascii="Times New Roman" w:hAnsi="Times New Roman" w:cs="Times New Roman"/>
                      <w:color w:val="auto"/>
                      <w:sz w:val="21"/>
                      <w:szCs w:val="21"/>
                      <w:highlight w:val="none"/>
                      <w:lang w:val="en-US" w:eastAsia="zh-CN"/>
                    </w:rPr>
                    <w:t>西</w:t>
                  </w:r>
                  <w:r>
                    <w:rPr>
                      <w:rFonts w:hint="default" w:ascii="Times New Roman" w:hAnsi="Times New Roman" w:eastAsia="宋体" w:cs="Times New Roman"/>
                      <w:color w:val="auto"/>
                      <w:sz w:val="21"/>
                      <w:szCs w:val="21"/>
                      <w:highlight w:val="none"/>
                      <w:lang w:val="en-US" w:eastAsia="zh-CN"/>
                    </w:rPr>
                    <w:t>1m</w:t>
                  </w:r>
                </w:p>
              </w:tc>
              <w:tc>
                <w:tcPr>
                  <w:tcW w:w="2468" w:type="dxa"/>
                  <w:tcBorders>
                    <w:tl2br w:val="nil"/>
                    <w:tr2bl w:val="nil"/>
                  </w:tcBorders>
                  <w:vAlign w:val="center"/>
                </w:tcPr>
                <w:p w14:paraId="72FCF4F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2468" w:type="dxa"/>
                  <w:tcBorders>
                    <w:tl2br w:val="nil"/>
                    <w:tr2bl w:val="nil"/>
                  </w:tcBorders>
                  <w:vAlign w:val="center"/>
                </w:tcPr>
                <w:p w14:paraId="1EE135A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57.9</w:t>
                  </w:r>
                </w:p>
              </w:tc>
              <w:tc>
                <w:tcPr>
                  <w:tcW w:w="1154" w:type="dxa"/>
                  <w:vMerge w:val="continue"/>
                  <w:tcBorders>
                    <w:tl2br w:val="nil"/>
                    <w:tr2bl w:val="nil"/>
                  </w:tcBorders>
                  <w:vAlign w:val="center"/>
                </w:tcPr>
                <w:p w14:paraId="02C20B7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62D6AE1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555" w:type="dxa"/>
                  <w:vMerge w:val="continue"/>
                  <w:tcBorders>
                    <w:tl2br w:val="nil"/>
                    <w:tr2bl w:val="nil"/>
                  </w:tcBorders>
                  <w:vAlign w:val="center"/>
                </w:tcPr>
                <w:p w14:paraId="6E38548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312" w:type="dxa"/>
                  <w:tcBorders>
                    <w:tl2br w:val="nil"/>
                    <w:tr2bl w:val="nil"/>
                  </w:tcBorders>
                  <w:vAlign w:val="center"/>
                </w:tcPr>
                <w:p w14:paraId="715E607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厂界</w:t>
                  </w:r>
                  <w:r>
                    <w:rPr>
                      <w:rFonts w:hint="default" w:ascii="Times New Roman" w:hAnsi="Times New Roman"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lang w:val="en-US" w:eastAsia="zh-CN"/>
                    </w:rPr>
                    <w:t>1m</w:t>
                  </w:r>
                </w:p>
              </w:tc>
              <w:tc>
                <w:tcPr>
                  <w:tcW w:w="2468" w:type="dxa"/>
                  <w:tcBorders>
                    <w:tl2br w:val="nil"/>
                    <w:tr2bl w:val="nil"/>
                  </w:tcBorders>
                  <w:vAlign w:val="center"/>
                </w:tcPr>
                <w:p w14:paraId="56C7416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c>
                <w:tcPr>
                  <w:tcW w:w="2468" w:type="dxa"/>
                  <w:tcBorders>
                    <w:tl2br w:val="nil"/>
                    <w:tr2bl w:val="nil"/>
                  </w:tcBorders>
                  <w:vAlign w:val="center"/>
                </w:tcPr>
                <w:p w14:paraId="208CB15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154" w:type="dxa"/>
                  <w:vMerge w:val="continue"/>
                  <w:tcBorders>
                    <w:tl2br w:val="nil"/>
                    <w:tr2bl w:val="nil"/>
                  </w:tcBorders>
                  <w:vAlign w:val="center"/>
                </w:tcPr>
                <w:p w14:paraId="47C7F6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28C8EF7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555" w:type="dxa"/>
                  <w:tcBorders>
                    <w:tl2br w:val="nil"/>
                    <w:tr2bl w:val="nil"/>
                  </w:tcBorders>
                  <w:vAlign w:val="center"/>
                </w:tcPr>
                <w:p w14:paraId="3C9A301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c>
                <w:tcPr>
                  <w:tcW w:w="7402" w:type="dxa"/>
                  <w:gridSpan w:val="4"/>
                  <w:tcBorders>
                    <w:tl2br w:val="nil"/>
                    <w:tr2bl w:val="nil"/>
                  </w:tcBorders>
                  <w:vAlign w:val="center"/>
                </w:tcPr>
                <w:p w14:paraId="41086DB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厂界4北为共用厂界，不具备检测条件</w:t>
                  </w:r>
                </w:p>
              </w:tc>
            </w:tr>
          </w:tbl>
          <w:p w14:paraId="34D40C03">
            <w:pPr>
              <w:keepNext w:val="0"/>
              <w:keepLines w:val="0"/>
              <w:pageBreakBefore w:val="0"/>
              <w:widowControl/>
              <w:kinsoku/>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备注：</w:t>
            </w:r>
            <w:r>
              <w:rPr>
                <w:rFonts w:hint="default" w:ascii="Times New Roman" w:hAnsi="Times New Roman" w:eastAsia="宋体" w:cs="Times New Roman"/>
                <w:color w:val="auto"/>
                <w:sz w:val="24"/>
                <w:szCs w:val="24"/>
                <w:highlight w:val="none"/>
                <w:lang w:val="en-US" w:eastAsia="zh-CN"/>
              </w:rPr>
              <w:t>2025年检测期间未满负荷生产，故本次评价引用2024年监测数据进行现状分析。</w:t>
            </w:r>
          </w:p>
          <w:p w14:paraId="3B6D84FE">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yellow"/>
              </w:rPr>
            </w:pPr>
            <w:r>
              <w:rPr>
                <w:rFonts w:hint="default" w:ascii="Times New Roman" w:hAnsi="Times New Roman" w:eastAsia="宋体" w:cs="Times New Roman"/>
                <w:color w:val="auto"/>
                <w:sz w:val="24"/>
                <w:szCs w:val="24"/>
                <w:highlight w:val="none"/>
              </w:rPr>
              <w:t>根据检测结果可知，项目厂界昼间噪声最大值</w:t>
            </w:r>
            <w:r>
              <w:rPr>
                <w:rFonts w:hint="eastAsia" w:ascii="Times New Roman" w:hAnsi="Times New Roman" w:cs="Times New Roman"/>
                <w:color w:val="auto"/>
                <w:sz w:val="24"/>
                <w:szCs w:val="24"/>
                <w:highlight w:val="none"/>
                <w:lang w:val="en-US" w:eastAsia="zh-CN"/>
              </w:rPr>
              <w:t>57.9</w:t>
            </w:r>
            <w:r>
              <w:rPr>
                <w:rFonts w:hint="default" w:ascii="Times New Roman" w:hAnsi="Times New Roman" w:eastAsia="宋体" w:cs="Times New Roman"/>
                <w:color w:val="auto"/>
                <w:sz w:val="24"/>
                <w:szCs w:val="24"/>
                <w:highlight w:val="none"/>
              </w:rPr>
              <w:t>dB(A)，能满足《工业企业厂界环境噪声排放标准》（GB12348-2008）中</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类标准限值要求。</w:t>
            </w:r>
          </w:p>
          <w:p w14:paraId="099487B3">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i w:val="0"/>
                <w:iCs w:val="0"/>
                <w:color w:val="auto"/>
                <w:sz w:val="24"/>
                <w:szCs w:val="24"/>
                <w:highlight w:val="none"/>
              </w:rPr>
            </w:pPr>
            <w:r>
              <w:rPr>
                <w:rFonts w:hint="default" w:ascii="Times New Roman" w:hAnsi="Times New Roman" w:eastAsia="宋体" w:cs="Times New Roman"/>
                <w:i w:val="0"/>
                <w:iCs w:val="0"/>
                <w:color w:val="auto"/>
                <w:sz w:val="24"/>
                <w:szCs w:val="24"/>
                <w:highlight w:val="none"/>
              </w:rPr>
              <w:t>4、固体废物</w:t>
            </w:r>
          </w:p>
          <w:p w14:paraId="7A7D02D5">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yellow"/>
                <w:lang w:val="en-US" w:eastAsia="zh-CN"/>
              </w:rPr>
            </w:pPr>
            <w:r>
              <w:rPr>
                <w:rFonts w:hint="default" w:ascii="Times New Roman" w:hAnsi="Times New Roman" w:eastAsia="宋体" w:cs="Times New Roman"/>
                <w:i w:val="0"/>
                <w:iCs w:val="0"/>
                <w:color w:val="auto"/>
                <w:sz w:val="24"/>
                <w:szCs w:val="24"/>
                <w:highlight w:val="none"/>
              </w:rPr>
              <w:t>项目产生的固体废物主要为职工生活垃圾</w:t>
            </w:r>
            <w:r>
              <w:rPr>
                <w:rFonts w:hint="eastAsia" w:ascii="Times New Roman" w:hAnsi="Times New Roman" w:cs="Times New Roman"/>
                <w:i w:val="0"/>
                <w:iCs w:val="0"/>
                <w:color w:val="auto"/>
                <w:sz w:val="24"/>
                <w:szCs w:val="24"/>
                <w:highlight w:val="none"/>
                <w:lang w:eastAsia="zh-CN"/>
              </w:rPr>
              <w:t>，</w:t>
            </w:r>
            <w:r>
              <w:rPr>
                <w:rFonts w:hint="default" w:ascii="Times New Roman" w:hAnsi="Times New Roman" w:eastAsia="宋体" w:cs="Times New Roman"/>
                <w:i w:val="0"/>
                <w:iCs w:val="0"/>
                <w:color w:val="auto"/>
                <w:sz w:val="24"/>
                <w:szCs w:val="24"/>
                <w:highlight w:val="none"/>
              </w:rPr>
              <w:t>集中收集定期由环卫部门清理外运</w:t>
            </w:r>
            <w:r>
              <w:rPr>
                <w:rFonts w:hint="eastAsia" w:ascii="Times New Roman" w:hAnsi="Times New Roman" w:cs="Times New Roman"/>
                <w:i w:val="0"/>
                <w:iCs w:val="0"/>
                <w:color w:val="auto"/>
                <w:sz w:val="24"/>
                <w:szCs w:val="24"/>
                <w:highlight w:val="none"/>
                <w:lang w:eastAsia="zh-CN"/>
              </w:rPr>
              <w:t>；</w:t>
            </w:r>
            <w:r>
              <w:rPr>
                <w:rFonts w:hint="eastAsia" w:ascii="Times New Roman" w:hAnsi="Times New Roman" w:cs="Times New Roman"/>
                <w:i w:val="0"/>
                <w:iCs w:val="0"/>
                <w:color w:val="auto"/>
                <w:sz w:val="24"/>
                <w:szCs w:val="24"/>
                <w:highlight w:val="none"/>
                <w:lang w:val="en-US" w:eastAsia="zh-CN"/>
              </w:rPr>
              <w:t>电炉熔化残渣、生产中产</w:t>
            </w:r>
            <w:r>
              <w:rPr>
                <w:rFonts w:hint="eastAsia" w:ascii="Times New Roman" w:hAnsi="Times New Roman" w:eastAsia="宋体" w:cs="Times New Roman"/>
                <w:i w:val="0"/>
                <w:iCs w:val="0"/>
                <w:color w:val="auto"/>
                <w:sz w:val="24"/>
                <w:szCs w:val="24"/>
                <w:highlight w:val="none"/>
                <w:lang w:val="en-US" w:eastAsia="zh-CN"/>
              </w:rPr>
              <w:t>生的废砂、抛丸碎屑、除尘器收尘</w:t>
            </w:r>
            <w:r>
              <w:rPr>
                <w:rFonts w:hint="default" w:ascii="Times New Roman" w:hAnsi="Times New Roman" w:eastAsia="宋体" w:cs="Times New Roman"/>
                <w:i w:val="0"/>
                <w:iCs w:val="0"/>
                <w:color w:val="auto"/>
                <w:sz w:val="24"/>
                <w:szCs w:val="24"/>
                <w:highlight w:val="none"/>
              </w:rPr>
              <w:t>暂存于一般固废暂存处，定期外售。</w:t>
            </w:r>
            <w:r>
              <w:rPr>
                <w:rFonts w:hint="eastAsia" w:ascii="Times New Roman" w:hAnsi="Times New Roman" w:eastAsia="宋体" w:cs="Times New Roman"/>
                <w:i w:val="0"/>
                <w:iCs w:val="0"/>
                <w:color w:val="auto"/>
                <w:sz w:val="24"/>
                <w:szCs w:val="24"/>
                <w:highlight w:val="none"/>
                <w:lang w:val="en-US" w:eastAsia="zh-CN"/>
              </w:rPr>
              <w:t>废钢丸及残次品回用于生产。</w:t>
            </w:r>
          </w:p>
          <w:p w14:paraId="3248AF75">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 2-</w:t>
            </w:r>
            <w:r>
              <w:rPr>
                <w:rFonts w:hint="default" w:ascii="Times New Roman" w:hAnsi="Times New Roman"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现有项目固废情况一览表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646"/>
              <w:gridCol w:w="956"/>
              <w:gridCol w:w="1710"/>
              <w:gridCol w:w="1028"/>
              <w:gridCol w:w="2897"/>
              <w:gridCol w:w="806"/>
              <w:gridCol w:w="1028"/>
            </w:tblGrid>
            <w:tr w14:paraId="176AC83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646" w:type="dxa"/>
                  <w:tcBorders>
                    <w:tl2br w:val="nil"/>
                    <w:tr2bl w:val="nil"/>
                  </w:tcBorders>
                  <w:vAlign w:val="center"/>
                </w:tcPr>
                <w:p w14:paraId="3AEB1F7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956" w:type="dxa"/>
                  <w:tcBorders>
                    <w:tl2br w:val="nil"/>
                    <w:tr2bl w:val="nil"/>
                  </w:tcBorders>
                  <w:vAlign w:val="center"/>
                </w:tcPr>
                <w:p w14:paraId="45CCE3E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产生环节</w:t>
                  </w:r>
                </w:p>
              </w:tc>
              <w:tc>
                <w:tcPr>
                  <w:tcW w:w="1710" w:type="dxa"/>
                  <w:tcBorders>
                    <w:tl2br w:val="nil"/>
                    <w:tr2bl w:val="nil"/>
                  </w:tcBorders>
                  <w:vAlign w:val="center"/>
                </w:tcPr>
                <w:p w14:paraId="630C42E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固废名称</w:t>
                  </w:r>
                </w:p>
              </w:tc>
              <w:tc>
                <w:tcPr>
                  <w:tcW w:w="1028" w:type="dxa"/>
                  <w:tcBorders>
                    <w:tl2br w:val="nil"/>
                    <w:tr2bl w:val="nil"/>
                  </w:tcBorders>
                  <w:vAlign w:val="center"/>
                </w:tcPr>
                <w:p w14:paraId="26F343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产生量</w:t>
                  </w:r>
                </w:p>
              </w:tc>
              <w:tc>
                <w:tcPr>
                  <w:tcW w:w="2897" w:type="dxa"/>
                  <w:tcBorders>
                    <w:tl2br w:val="nil"/>
                    <w:tr2bl w:val="nil"/>
                  </w:tcBorders>
                  <w:vAlign w:val="center"/>
                </w:tcPr>
                <w:p w14:paraId="0EF203E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处理方式</w:t>
                  </w:r>
                </w:p>
              </w:tc>
              <w:tc>
                <w:tcPr>
                  <w:tcW w:w="806" w:type="dxa"/>
                  <w:tcBorders>
                    <w:tl2br w:val="nil"/>
                    <w:tr2bl w:val="nil"/>
                  </w:tcBorders>
                  <w:vAlign w:val="center"/>
                </w:tcPr>
                <w:p w14:paraId="1DFC44C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排放量</w:t>
                  </w:r>
                </w:p>
              </w:tc>
              <w:tc>
                <w:tcPr>
                  <w:tcW w:w="1028" w:type="dxa"/>
                  <w:tcBorders>
                    <w:tl2br w:val="nil"/>
                    <w:tr2bl w:val="nil"/>
                  </w:tcBorders>
                  <w:vAlign w:val="center"/>
                </w:tcPr>
                <w:p w14:paraId="291985B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性质</w:t>
                  </w:r>
                </w:p>
              </w:tc>
            </w:tr>
            <w:tr w14:paraId="3AB7734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646" w:type="dxa"/>
                  <w:tcBorders>
                    <w:tl2br w:val="nil"/>
                    <w:tr2bl w:val="nil"/>
                  </w:tcBorders>
                  <w:vAlign w:val="center"/>
                </w:tcPr>
                <w:p w14:paraId="4AB634B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956" w:type="dxa"/>
                  <w:tcBorders>
                    <w:tl2br w:val="nil"/>
                    <w:tr2bl w:val="nil"/>
                  </w:tcBorders>
                  <w:vAlign w:val="center"/>
                </w:tcPr>
                <w:p w14:paraId="57A693D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职工生活</w:t>
                  </w:r>
                </w:p>
              </w:tc>
              <w:tc>
                <w:tcPr>
                  <w:tcW w:w="1710" w:type="dxa"/>
                  <w:tcBorders>
                    <w:tl2br w:val="nil"/>
                    <w:tr2bl w:val="nil"/>
                  </w:tcBorders>
                  <w:vAlign w:val="center"/>
                </w:tcPr>
                <w:p w14:paraId="73B6291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1028" w:type="dxa"/>
                  <w:tcBorders>
                    <w:tl2br w:val="nil"/>
                    <w:tr2bl w:val="nil"/>
                  </w:tcBorders>
                  <w:vAlign w:val="center"/>
                </w:tcPr>
                <w:p w14:paraId="7507AF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rPr>
                    <w:t>t/a</w:t>
                  </w:r>
                </w:p>
              </w:tc>
              <w:tc>
                <w:tcPr>
                  <w:tcW w:w="2897" w:type="dxa"/>
                  <w:tcBorders>
                    <w:tl2br w:val="nil"/>
                    <w:tr2bl w:val="nil"/>
                  </w:tcBorders>
                  <w:vAlign w:val="center"/>
                </w:tcPr>
                <w:p w14:paraId="260D6D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暂存于厂区垃圾桶，定期由环卫部门清运处理</w:t>
                  </w:r>
                </w:p>
              </w:tc>
              <w:tc>
                <w:tcPr>
                  <w:tcW w:w="806" w:type="dxa"/>
                  <w:tcBorders>
                    <w:tl2br w:val="nil"/>
                    <w:tr2bl w:val="nil"/>
                  </w:tcBorders>
                  <w:vAlign w:val="center"/>
                </w:tcPr>
                <w:p w14:paraId="2526B22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028" w:type="dxa"/>
                  <w:tcBorders>
                    <w:tl2br w:val="nil"/>
                    <w:tr2bl w:val="nil"/>
                  </w:tcBorders>
                  <w:vAlign w:val="center"/>
                </w:tcPr>
                <w:p w14:paraId="1B4043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r>
            <w:tr w14:paraId="377BE97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646" w:type="dxa"/>
                  <w:tcBorders>
                    <w:tl2br w:val="nil"/>
                    <w:tr2bl w:val="nil"/>
                  </w:tcBorders>
                  <w:shd w:val="clear" w:color="auto" w:fill="auto"/>
                  <w:vAlign w:val="center"/>
                </w:tcPr>
                <w:p w14:paraId="1E84BDD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2</w:t>
                  </w:r>
                </w:p>
              </w:tc>
              <w:tc>
                <w:tcPr>
                  <w:tcW w:w="956" w:type="dxa"/>
                  <w:vMerge w:val="restart"/>
                  <w:tcBorders>
                    <w:tl2br w:val="nil"/>
                    <w:tr2bl w:val="nil"/>
                  </w:tcBorders>
                  <w:vAlign w:val="center"/>
                </w:tcPr>
                <w:p w14:paraId="5BD0B09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生产过程</w:t>
                  </w:r>
                </w:p>
              </w:tc>
              <w:tc>
                <w:tcPr>
                  <w:tcW w:w="1710" w:type="dxa"/>
                  <w:tcBorders>
                    <w:tl2br w:val="nil"/>
                    <w:tr2bl w:val="nil"/>
                  </w:tcBorders>
                  <w:shd w:val="clear" w:color="auto" w:fill="auto"/>
                  <w:vAlign w:val="center"/>
                </w:tcPr>
                <w:p w14:paraId="53B00AA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电炉残渣</w:t>
                  </w:r>
                </w:p>
              </w:tc>
              <w:tc>
                <w:tcPr>
                  <w:tcW w:w="1028" w:type="dxa"/>
                  <w:tcBorders>
                    <w:tl2br w:val="nil"/>
                    <w:tr2bl w:val="nil"/>
                  </w:tcBorders>
                  <w:shd w:val="clear" w:color="auto" w:fill="auto"/>
                  <w:vAlign w:val="center"/>
                </w:tcPr>
                <w:p w14:paraId="7AE5167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8</w:t>
                  </w:r>
                  <w:r>
                    <w:rPr>
                      <w:rFonts w:hint="default" w:ascii="Times New Roman" w:hAnsi="Times New Roman" w:eastAsia="宋体" w:cs="Times New Roman"/>
                      <w:color w:val="auto"/>
                      <w:sz w:val="21"/>
                      <w:szCs w:val="21"/>
                      <w:highlight w:val="none"/>
                    </w:rPr>
                    <w:t>t/a</w:t>
                  </w:r>
                </w:p>
              </w:tc>
              <w:tc>
                <w:tcPr>
                  <w:tcW w:w="2897" w:type="dxa"/>
                  <w:vMerge w:val="restart"/>
                  <w:tcBorders>
                    <w:tl2br w:val="nil"/>
                    <w:tr2bl w:val="nil"/>
                  </w:tcBorders>
                  <w:vAlign w:val="center"/>
                </w:tcPr>
                <w:p w14:paraId="710CB5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暂存于一般固废暂存处，定期外售</w:t>
                  </w:r>
                </w:p>
              </w:tc>
              <w:tc>
                <w:tcPr>
                  <w:tcW w:w="806" w:type="dxa"/>
                  <w:tcBorders>
                    <w:tl2br w:val="nil"/>
                    <w:tr2bl w:val="nil"/>
                  </w:tcBorders>
                  <w:vAlign w:val="center"/>
                </w:tcPr>
                <w:p w14:paraId="33CFA22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028" w:type="dxa"/>
                  <w:vMerge w:val="restart"/>
                  <w:tcBorders>
                    <w:tl2br w:val="nil"/>
                    <w:tr2bl w:val="nil"/>
                  </w:tcBorders>
                  <w:vAlign w:val="center"/>
                </w:tcPr>
                <w:p w14:paraId="2B74640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一般工业固废</w:t>
                  </w:r>
                </w:p>
              </w:tc>
            </w:tr>
            <w:tr w14:paraId="7EE94F8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646" w:type="dxa"/>
                  <w:tcBorders>
                    <w:tl2br w:val="nil"/>
                    <w:tr2bl w:val="nil"/>
                  </w:tcBorders>
                  <w:shd w:val="clear" w:color="auto" w:fill="auto"/>
                  <w:vAlign w:val="center"/>
                </w:tcPr>
                <w:p w14:paraId="032131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w:t>
                  </w:r>
                </w:p>
              </w:tc>
              <w:tc>
                <w:tcPr>
                  <w:tcW w:w="956" w:type="dxa"/>
                  <w:vMerge w:val="continue"/>
                  <w:tcBorders>
                    <w:tl2br w:val="nil"/>
                    <w:tr2bl w:val="nil"/>
                  </w:tcBorders>
                  <w:vAlign w:val="center"/>
                </w:tcPr>
                <w:p w14:paraId="20A1842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710" w:type="dxa"/>
                  <w:tcBorders>
                    <w:tl2br w:val="nil"/>
                    <w:tr2bl w:val="nil"/>
                  </w:tcBorders>
                  <w:shd w:val="clear" w:color="auto" w:fill="auto"/>
                  <w:vAlign w:val="center"/>
                </w:tcPr>
                <w:p w14:paraId="66FD5EA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废砂</w:t>
                  </w:r>
                </w:p>
              </w:tc>
              <w:tc>
                <w:tcPr>
                  <w:tcW w:w="1028" w:type="dxa"/>
                  <w:tcBorders>
                    <w:tl2br w:val="nil"/>
                    <w:tr2bl w:val="nil"/>
                  </w:tcBorders>
                  <w:shd w:val="clear" w:color="auto" w:fill="auto"/>
                  <w:vAlign w:val="center"/>
                </w:tcPr>
                <w:p w14:paraId="0B57DF1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198</w:t>
                  </w:r>
                  <w:r>
                    <w:rPr>
                      <w:rFonts w:hint="default" w:ascii="Times New Roman" w:hAnsi="Times New Roman" w:eastAsia="宋体" w:cs="Times New Roman"/>
                      <w:color w:val="auto"/>
                      <w:sz w:val="21"/>
                      <w:szCs w:val="21"/>
                      <w:highlight w:val="none"/>
                    </w:rPr>
                    <w:t>t/a</w:t>
                  </w:r>
                </w:p>
              </w:tc>
              <w:tc>
                <w:tcPr>
                  <w:tcW w:w="2897" w:type="dxa"/>
                  <w:vMerge w:val="continue"/>
                  <w:tcBorders>
                    <w:tl2br w:val="nil"/>
                    <w:tr2bl w:val="nil"/>
                  </w:tcBorders>
                  <w:vAlign w:val="center"/>
                </w:tcPr>
                <w:p w14:paraId="41B3337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06" w:type="dxa"/>
                  <w:tcBorders>
                    <w:tl2br w:val="nil"/>
                    <w:tr2bl w:val="nil"/>
                  </w:tcBorders>
                  <w:vAlign w:val="center"/>
                </w:tcPr>
                <w:p w14:paraId="3DD3228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028" w:type="dxa"/>
                  <w:vMerge w:val="continue"/>
                  <w:tcBorders>
                    <w:tl2br w:val="nil"/>
                    <w:tr2bl w:val="nil"/>
                  </w:tcBorders>
                  <w:vAlign w:val="center"/>
                </w:tcPr>
                <w:p w14:paraId="285C5C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603BEF6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646" w:type="dxa"/>
                  <w:tcBorders>
                    <w:tl2br w:val="nil"/>
                    <w:tr2bl w:val="nil"/>
                  </w:tcBorders>
                  <w:shd w:val="clear" w:color="auto" w:fill="auto"/>
                  <w:vAlign w:val="center"/>
                </w:tcPr>
                <w:p w14:paraId="0974A92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w:t>
                  </w:r>
                </w:p>
              </w:tc>
              <w:tc>
                <w:tcPr>
                  <w:tcW w:w="956" w:type="dxa"/>
                  <w:vMerge w:val="continue"/>
                  <w:tcBorders>
                    <w:tl2br w:val="nil"/>
                    <w:tr2bl w:val="nil"/>
                  </w:tcBorders>
                  <w:vAlign w:val="center"/>
                </w:tcPr>
                <w:p w14:paraId="0929E9B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710" w:type="dxa"/>
                  <w:tcBorders>
                    <w:tl2br w:val="nil"/>
                    <w:tr2bl w:val="nil"/>
                  </w:tcBorders>
                  <w:shd w:val="clear" w:color="auto" w:fill="auto"/>
                  <w:vAlign w:val="center"/>
                </w:tcPr>
                <w:p w14:paraId="3ED412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抛丸碎屑</w:t>
                  </w:r>
                </w:p>
              </w:tc>
              <w:tc>
                <w:tcPr>
                  <w:tcW w:w="1028" w:type="dxa"/>
                  <w:tcBorders>
                    <w:tl2br w:val="nil"/>
                    <w:tr2bl w:val="nil"/>
                  </w:tcBorders>
                  <w:shd w:val="clear" w:color="auto" w:fill="auto"/>
                  <w:vAlign w:val="center"/>
                </w:tcPr>
                <w:p w14:paraId="7C44DA7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2</w:t>
                  </w:r>
                  <w:r>
                    <w:rPr>
                      <w:rFonts w:hint="default" w:ascii="Times New Roman" w:hAnsi="Times New Roman" w:eastAsia="宋体" w:cs="Times New Roman"/>
                      <w:color w:val="auto"/>
                      <w:sz w:val="21"/>
                      <w:szCs w:val="21"/>
                      <w:highlight w:val="none"/>
                    </w:rPr>
                    <w:t>t/a</w:t>
                  </w:r>
                </w:p>
              </w:tc>
              <w:tc>
                <w:tcPr>
                  <w:tcW w:w="2897" w:type="dxa"/>
                  <w:vMerge w:val="continue"/>
                  <w:tcBorders>
                    <w:tl2br w:val="nil"/>
                    <w:tr2bl w:val="nil"/>
                  </w:tcBorders>
                  <w:vAlign w:val="center"/>
                </w:tcPr>
                <w:p w14:paraId="72818A0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06" w:type="dxa"/>
                  <w:tcBorders>
                    <w:tl2br w:val="nil"/>
                    <w:tr2bl w:val="nil"/>
                  </w:tcBorders>
                  <w:vAlign w:val="center"/>
                </w:tcPr>
                <w:p w14:paraId="25FC606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028" w:type="dxa"/>
                  <w:vMerge w:val="continue"/>
                  <w:tcBorders>
                    <w:tl2br w:val="nil"/>
                    <w:tr2bl w:val="nil"/>
                  </w:tcBorders>
                  <w:vAlign w:val="center"/>
                </w:tcPr>
                <w:p w14:paraId="73070E7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r>
            <w:tr w14:paraId="7E2537A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0" w:type="auto"/>
                  <w:shd w:val="clear" w:color="auto" w:fill="auto"/>
                  <w:vAlign w:val="center"/>
                </w:tcPr>
                <w:p w14:paraId="5B3E786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w:t>
                  </w:r>
                </w:p>
              </w:tc>
              <w:tc>
                <w:tcPr>
                  <w:tcW w:w="956" w:type="dxa"/>
                  <w:vMerge w:val="continue"/>
                </w:tcPr>
                <w:p w14:paraId="4A773EB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0" w:type="auto"/>
                  <w:shd w:val="clear" w:color="auto" w:fill="auto"/>
                  <w:vAlign w:val="center"/>
                </w:tcPr>
                <w:p w14:paraId="1664243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除尘器收尘</w:t>
                  </w:r>
                </w:p>
              </w:tc>
              <w:tc>
                <w:tcPr>
                  <w:tcW w:w="0" w:type="auto"/>
                  <w:shd w:val="clear" w:color="auto" w:fill="auto"/>
                  <w:vAlign w:val="center"/>
                </w:tcPr>
                <w:p w14:paraId="795C7BC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7.84</w:t>
                  </w:r>
                  <w:r>
                    <w:rPr>
                      <w:rFonts w:hint="default" w:ascii="Times New Roman" w:hAnsi="Times New Roman" w:eastAsia="宋体" w:cs="Times New Roman"/>
                      <w:color w:val="auto"/>
                      <w:sz w:val="21"/>
                      <w:szCs w:val="21"/>
                      <w:highlight w:val="none"/>
                    </w:rPr>
                    <w:t>t/a</w:t>
                  </w:r>
                </w:p>
              </w:tc>
              <w:tc>
                <w:tcPr>
                  <w:tcW w:w="2897" w:type="dxa"/>
                  <w:vMerge w:val="continue"/>
                </w:tcPr>
                <w:p w14:paraId="0F2CE76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0" w:type="auto"/>
                  <w:shd w:val="clear" w:color="auto" w:fill="auto"/>
                  <w:vAlign w:val="center"/>
                </w:tcPr>
                <w:p w14:paraId="18B0F8F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1028" w:type="dxa"/>
                  <w:vMerge w:val="continue"/>
                </w:tcPr>
                <w:p w14:paraId="78C4824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2B4BBC6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0" w:type="auto"/>
                  <w:shd w:val="clear" w:color="auto" w:fill="auto"/>
                  <w:vAlign w:val="center"/>
                </w:tcPr>
                <w:p w14:paraId="1281E07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w:t>
                  </w:r>
                </w:p>
              </w:tc>
              <w:tc>
                <w:tcPr>
                  <w:tcW w:w="956" w:type="dxa"/>
                  <w:vMerge w:val="continue"/>
                </w:tcPr>
                <w:p w14:paraId="61A438A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0" w:type="auto"/>
                  <w:shd w:val="clear" w:color="auto" w:fill="auto"/>
                  <w:vAlign w:val="center"/>
                </w:tcPr>
                <w:p w14:paraId="20BD2A6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废钢丸</w:t>
                  </w:r>
                </w:p>
              </w:tc>
              <w:tc>
                <w:tcPr>
                  <w:tcW w:w="0" w:type="auto"/>
                  <w:shd w:val="clear" w:color="auto" w:fill="auto"/>
                  <w:vAlign w:val="center"/>
                </w:tcPr>
                <w:p w14:paraId="497A28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w:t>
                  </w:r>
                  <w:r>
                    <w:rPr>
                      <w:rFonts w:hint="default" w:ascii="Times New Roman" w:hAnsi="Times New Roman" w:eastAsia="宋体" w:cs="Times New Roman"/>
                      <w:color w:val="auto"/>
                      <w:sz w:val="21"/>
                      <w:szCs w:val="21"/>
                      <w:highlight w:val="none"/>
                    </w:rPr>
                    <w:t>t/a</w:t>
                  </w:r>
                </w:p>
              </w:tc>
              <w:tc>
                <w:tcPr>
                  <w:tcW w:w="2897" w:type="dxa"/>
                  <w:vMerge w:val="restart"/>
                  <w:vAlign w:val="center"/>
                </w:tcPr>
                <w:p w14:paraId="5040FD3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回用于生产</w:t>
                  </w:r>
                </w:p>
              </w:tc>
              <w:tc>
                <w:tcPr>
                  <w:tcW w:w="0" w:type="auto"/>
                  <w:shd w:val="clear" w:color="auto" w:fill="auto"/>
                  <w:vAlign w:val="center"/>
                </w:tcPr>
                <w:p w14:paraId="02C3CB3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028" w:type="dxa"/>
                  <w:vMerge w:val="continue"/>
                </w:tcPr>
                <w:p w14:paraId="0A9EA90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763CEEB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0" w:type="auto"/>
                  <w:shd w:val="clear" w:color="auto" w:fill="auto"/>
                  <w:vAlign w:val="center"/>
                </w:tcPr>
                <w:p w14:paraId="42F0839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w:t>
                  </w:r>
                </w:p>
              </w:tc>
              <w:tc>
                <w:tcPr>
                  <w:tcW w:w="956" w:type="dxa"/>
                  <w:vMerge w:val="continue"/>
                </w:tcPr>
                <w:p w14:paraId="09D18F9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0" w:type="auto"/>
                  <w:shd w:val="clear" w:color="auto" w:fill="auto"/>
                  <w:vAlign w:val="center"/>
                </w:tcPr>
                <w:p w14:paraId="315A4ED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残次品</w:t>
                  </w:r>
                </w:p>
              </w:tc>
              <w:tc>
                <w:tcPr>
                  <w:tcW w:w="0" w:type="auto"/>
                  <w:shd w:val="clear" w:color="auto" w:fill="auto"/>
                  <w:vAlign w:val="center"/>
                </w:tcPr>
                <w:p w14:paraId="4E191E0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400</w:t>
                  </w:r>
                  <w:r>
                    <w:rPr>
                      <w:rFonts w:hint="default" w:ascii="Times New Roman" w:hAnsi="Times New Roman" w:eastAsia="宋体" w:cs="Times New Roman"/>
                      <w:color w:val="auto"/>
                      <w:sz w:val="21"/>
                      <w:szCs w:val="21"/>
                      <w:highlight w:val="none"/>
                    </w:rPr>
                    <w:t>t/a</w:t>
                  </w:r>
                </w:p>
              </w:tc>
              <w:tc>
                <w:tcPr>
                  <w:tcW w:w="2897" w:type="dxa"/>
                  <w:vMerge w:val="continue"/>
                </w:tcPr>
                <w:p w14:paraId="7CCF035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0" w:type="auto"/>
                  <w:shd w:val="clear" w:color="auto" w:fill="auto"/>
                  <w:vAlign w:val="center"/>
                </w:tcPr>
                <w:p w14:paraId="427BF31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028" w:type="dxa"/>
                  <w:vMerge w:val="continue"/>
                </w:tcPr>
                <w:p w14:paraId="28E44EE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bl>
          <w:p w14:paraId="584EF633">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 2-</w:t>
            </w:r>
            <w:r>
              <w:rPr>
                <w:rFonts w:hint="default" w:ascii="Times New Roman" w:hAnsi="Times New Roman"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现有项目污染物排放情况汇总表</w:t>
            </w:r>
          </w:p>
          <w:tbl>
            <w:tblPr>
              <w:tblStyle w:val="21"/>
              <w:tblW w:w="8957"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1020"/>
              <w:gridCol w:w="1462"/>
              <w:gridCol w:w="3208"/>
              <w:gridCol w:w="1970"/>
              <w:gridCol w:w="1297"/>
            </w:tblGrid>
            <w:tr w14:paraId="2792608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2482" w:type="dxa"/>
                  <w:gridSpan w:val="2"/>
                  <w:tcBorders>
                    <w:tl2br w:val="nil"/>
                    <w:tr2bl w:val="nil"/>
                  </w:tcBorders>
                  <w:vAlign w:val="center"/>
                </w:tcPr>
                <w:p w14:paraId="3917C23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种类</w:t>
                  </w:r>
                </w:p>
              </w:tc>
              <w:tc>
                <w:tcPr>
                  <w:tcW w:w="3208" w:type="dxa"/>
                  <w:tcBorders>
                    <w:tl2br w:val="nil"/>
                    <w:tr2bl w:val="nil"/>
                  </w:tcBorders>
                  <w:vAlign w:val="center"/>
                </w:tcPr>
                <w:p w14:paraId="3611F3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污染物名称</w:t>
                  </w:r>
                </w:p>
              </w:tc>
              <w:tc>
                <w:tcPr>
                  <w:tcW w:w="1970" w:type="dxa"/>
                  <w:tcBorders>
                    <w:tl2br w:val="nil"/>
                    <w:tr2bl w:val="nil"/>
                  </w:tcBorders>
                  <w:vAlign w:val="center"/>
                </w:tcPr>
                <w:p w14:paraId="4F79E80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排放量（t/a）</w:t>
                  </w:r>
                </w:p>
              </w:tc>
              <w:tc>
                <w:tcPr>
                  <w:tcW w:w="1297" w:type="dxa"/>
                  <w:tcBorders>
                    <w:tl2br w:val="nil"/>
                    <w:tr2bl w:val="nil"/>
                  </w:tcBorders>
                  <w:vAlign w:val="center"/>
                </w:tcPr>
                <w:p w14:paraId="5111C2B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14:paraId="1F9F819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1020" w:type="dxa"/>
                  <w:tcBorders>
                    <w:tl2br w:val="nil"/>
                    <w:tr2bl w:val="nil"/>
                  </w:tcBorders>
                  <w:vAlign w:val="center"/>
                </w:tcPr>
                <w:p w14:paraId="3F54D4C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462" w:type="dxa"/>
                  <w:tcBorders>
                    <w:tl2br w:val="nil"/>
                    <w:tr2bl w:val="nil"/>
                  </w:tcBorders>
                  <w:shd w:val="clear" w:color="auto" w:fill="auto"/>
                  <w:vAlign w:val="center"/>
                </w:tcPr>
                <w:p w14:paraId="23A8047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cs="Times New Roman"/>
                      <w:color w:val="auto"/>
                      <w:sz w:val="21"/>
                      <w:szCs w:val="21"/>
                      <w:highlight w:val="none"/>
                      <w:lang w:val="en-US" w:eastAsia="zh-CN"/>
                    </w:rPr>
                    <w:t>有</w:t>
                  </w:r>
                  <w:r>
                    <w:rPr>
                      <w:rFonts w:hint="default" w:ascii="Times New Roman" w:hAnsi="Times New Roman" w:eastAsia="宋体" w:cs="Times New Roman"/>
                      <w:color w:val="auto"/>
                      <w:sz w:val="21"/>
                      <w:szCs w:val="21"/>
                      <w:highlight w:val="none"/>
                    </w:rPr>
                    <w:t>组织排放</w:t>
                  </w:r>
                </w:p>
              </w:tc>
              <w:tc>
                <w:tcPr>
                  <w:tcW w:w="3208" w:type="dxa"/>
                  <w:tcBorders>
                    <w:tl2br w:val="nil"/>
                    <w:tr2bl w:val="nil"/>
                  </w:tcBorders>
                  <w:shd w:val="clear" w:color="auto" w:fill="auto"/>
                  <w:vAlign w:val="center"/>
                </w:tcPr>
                <w:p w14:paraId="6E0A37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970" w:type="dxa"/>
                  <w:tcBorders>
                    <w:tl2br w:val="nil"/>
                    <w:tr2bl w:val="nil"/>
                  </w:tcBorders>
                  <w:shd w:val="clear" w:color="auto" w:fill="auto"/>
                  <w:vAlign w:val="center"/>
                </w:tcPr>
                <w:p w14:paraId="46B04BB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0000FF"/>
                      <w:sz w:val="21"/>
                      <w:szCs w:val="21"/>
                      <w:highlight w:val="none"/>
                      <w:lang w:val="en-US" w:eastAsia="zh-CN"/>
                    </w:rPr>
                    <w:t>0.</w:t>
                  </w:r>
                  <w:r>
                    <w:rPr>
                      <w:rFonts w:hint="eastAsia" w:ascii="Times New Roman" w:hAnsi="Times New Roman" w:cs="Times New Roman"/>
                      <w:color w:val="0000FF"/>
                      <w:sz w:val="21"/>
                      <w:szCs w:val="21"/>
                      <w:highlight w:val="none"/>
                      <w:lang w:val="en-US" w:eastAsia="zh-CN"/>
                    </w:rPr>
                    <w:t>16</w:t>
                  </w:r>
                  <w:r>
                    <w:rPr>
                      <w:rFonts w:hint="default" w:ascii="Times New Roman" w:hAnsi="Times New Roman" w:eastAsia="宋体" w:cs="Times New Roman"/>
                      <w:color w:val="0000FF"/>
                      <w:sz w:val="21"/>
                      <w:szCs w:val="21"/>
                      <w:highlight w:val="none"/>
                      <w:lang w:val="en-US" w:eastAsia="zh-CN"/>
                    </w:rPr>
                    <w:t>t/a</w:t>
                  </w:r>
                  <w:r>
                    <w:rPr>
                      <w:rFonts w:hint="eastAsia" w:ascii="Times New Roman" w:hAnsi="Times New Roman" w:eastAsia="宋体" w:cs="Times New Roman"/>
                      <w:color w:val="0000FF"/>
                      <w:sz w:val="21"/>
                      <w:szCs w:val="21"/>
                      <w:highlight w:val="none"/>
                      <w:lang w:val="en-US" w:eastAsia="zh-CN"/>
                    </w:rPr>
                    <w:t xml:space="preserve"> </w:t>
                  </w:r>
                </w:p>
              </w:tc>
              <w:tc>
                <w:tcPr>
                  <w:tcW w:w="1297" w:type="dxa"/>
                  <w:tcBorders>
                    <w:tl2br w:val="nil"/>
                    <w:tr2bl w:val="nil"/>
                  </w:tcBorders>
                  <w:shd w:val="clear" w:color="auto" w:fill="auto"/>
                  <w:vAlign w:val="center"/>
                </w:tcPr>
                <w:p w14:paraId="57179D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en-US"/>
                    </w:rPr>
                  </w:pPr>
                </w:p>
              </w:tc>
            </w:tr>
            <w:tr w14:paraId="16E8EAF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407" w:hRule="atLeast"/>
                <w:jc w:val="center"/>
              </w:trPr>
              <w:tc>
                <w:tcPr>
                  <w:tcW w:w="1020" w:type="dxa"/>
                  <w:vMerge w:val="restart"/>
                  <w:tcBorders>
                    <w:tl2br w:val="nil"/>
                    <w:tr2bl w:val="nil"/>
                  </w:tcBorders>
                  <w:vAlign w:val="center"/>
                </w:tcPr>
                <w:p w14:paraId="3FB1F0F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 物</w:t>
                  </w:r>
                </w:p>
              </w:tc>
              <w:tc>
                <w:tcPr>
                  <w:tcW w:w="1462" w:type="dxa"/>
                  <w:tcBorders>
                    <w:tl2br w:val="nil"/>
                    <w:tr2bl w:val="nil"/>
                  </w:tcBorders>
                  <w:vAlign w:val="center"/>
                </w:tcPr>
                <w:p w14:paraId="360CE43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3208" w:type="dxa"/>
                  <w:tcBorders>
                    <w:tl2br w:val="nil"/>
                    <w:tr2bl w:val="nil"/>
                  </w:tcBorders>
                  <w:shd w:val="clear" w:color="auto" w:fill="auto"/>
                  <w:vAlign w:val="center"/>
                </w:tcPr>
                <w:p w14:paraId="65BC9F4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生活垃圾</w:t>
                  </w:r>
                </w:p>
              </w:tc>
              <w:tc>
                <w:tcPr>
                  <w:tcW w:w="1970" w:type="dxa"/>
                  <w:tcBorders>
                    <w:tl2br w:val="nil"/>
                    <w:tr2bl w:val="nil"/>
                  </w:tcBorders>
                  <w:shd w:val="clear" w:color="auto" w:fill="auto"/>
                  <w:vAlign w:val="center"/>
                </w:tcPr>
                <w:p w14:paraId="4D50E3F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rPr>
                    <w:t>t/a</w:t>
                  </w:r>
                </w:p>
              </w:tc>
              <w:tc>
                <w:tcPr>
                  <w:tcW w:w="1297" w:type="dxa"/>
                  <w:tcBorders>
                    <w:tl2br w:val="nil"/>
                    <w:tr2bl w:val="nil"/>
                  </w:tcBorders>
                  <w:vAlign w:val="center"/>
                </w:tcPr>
                <w:p w14:paraId="4BD48B3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203B036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020" w:type="dxa"/>
                  <w:vMerge w:val="continue"/>
                  <w:tcBorders>
                    <w:tl2br w:val="nil"/>
                    <w:tr2bl w:val="nil"/>
                  </w:tcBorders>
                  <w:vAlign w:val="center"/>
                </w:tcPr>
                <w:p w14:paraId="169C59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62" w:type="dxa"/>
                  <w:vMerge w:val="restart"/>
                  <w:tcBorders>
                    <w:tl2br w:val="nil"/>
                    <w:tr2bl w:val="nil"/>
                  </w:tcBorders>
                  <w:vAlign w:val="center"/>
                </w:tcPr>
                <w:p w14:paraId="5C06533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一般工业固废</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产生量</w:t>
                  </w:r>
                  <w:r>
                    <w:rPr>
                      <w:rFonts w:hint="eastAsia" w:ascii="Times New Roman" w:hAnsi="Times New Roman" w:cs="Times New Roman"/>
                      <w:color w:val="auto"/>
                      <w:sz w:val="21"/>
                      <w:szCs w:val="21"/>
                      <w:highlight w:val="none"/>
                      <w:lang w:eastAsia="zh-CN"/>
                    </w:rPr>
                    <w:t>）</w:t>
                  </w:r>
                </w:p>
              </w:tc>
              <w:tc>
                <w:tcPr>
                  <w:tcW w:w="3208" w:type="dxa"/>
                  <w:tcBorders>
                    <w:tl2br w:val="nil"/>
                    <w:tr2bl w:val="nil"/>
                  </w:tcBorders>
                  <w:shd w:val="clear" w:color="auto" w:fill="auto"/>
                  <w:vAlign w:val="center"/>
                </w:tcPr>
                <w:p w14:paraId="0CF82A4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电炉残渣</w:t>
                  </w:r>
                </w:p>
              </w:tc>
              <w:tc>
                <w:tcPr>
                  <w:tcW w:w="1970" w:type="dxa"/>
                  <w:tcBorders>
                    <w:tl2br w:val="nil"/>
                    <w:tr2bl w:val="nil"/>
                  </w:tcBorders>
                  <w:shd w:val="clear" w:color="auto" w:fill="auto"/>
                  <w:vAlign w:val="center"/>
                </w:tcPr>
                <w:p w14:paraId="17FB4FD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8</w:t>
                  </w:r>
                  <w:r>
                    <w:rPr>
                      <w:rFonts w:hint="default" w:ascii="Times New Roman" w:hAnsi="Times New Roman" w:eastAsia="宋体" w:cs="Times New Roman"/>
                      <w:color w:val="auto"/>
                      <w:sz w:val="21"/>
                      <w:szCs w:val="21"/>
                      <w:highlight w:val="none"/>
                    </w:rPr>
                    <w:t>t/a</w:t>
                  </w:r>
                </w:p>
              </w:tc>
              <w:tc>
                <w:tcPr>
                  <w:tcW w:w="1297" w:type="dxa"/>
                  <w:tcBorders>
                    <w:tl2br w:val="nil"/>
                    <w:tr2bl w:val="nil"/>
                  </w:tcBorders>
                  <w:vAlign w:val="center"/>
                </w:tcPr>
                <w:p w14:paraId="0D023FC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697A4E1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1020" w:type="dxa"/>
                  <w:vMerge w:val="continue"/>
                  <w:tcBorders>
                    <w:tl2br w:val="nil"/>
                    <w:tr2bl w:val="nil"/>
                  </w:tcBorders>
                  <w:vAlign w:val="center"/>
                </w:tcPr>
                <w:p w14:paraId="61FB8B6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62" w:type="dxa"/>
                  <w:vMerge w:val="continue"/>
                  <w:tcBorders>
                    <w:tl2br w:val="nil"/>
                    <w:tr2bl w:val="nil"/>
                  </w:tcBorders>
                  <w:vAlign w:val="center"/>
                </w:tcPr>
                <w:p w14:paraId="3ED9C34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3208" w:type="dxa"/>
                  <w:tcBorders>
                    <w:tl2br w:val="nil"/>
                    <w:tr2bl w:val="nil"/>
                  </w:tcBorders>
                  <w:shd w:val="clear" w:color="auto" w:fill="auto"/>
                  <w:vAlign w:val="center"/>
                </w:tcPr>
                <w:p w14:paraId="338630A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废砂</w:t>
                  </w:r>
                </w:p>
              </w:tc>
              <w:tc>
                <w:tcPr>
                  <w:tcW w:w="1970" w:type="dxa"/>
                  <w:tcBorders>
                    <w:tl2br w:val="nil"/>
                    <w:tr2bl w:val="nil"/>
                  </w:tcBorders>
                  <w:shd w:val="clear" w:color="auto" w:fill="auto"/>
                  <w:vAlign w:val="center"/>
                </w:tcPr>
                <w:p w14:paraId="3293BD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198</w:t>
                  </w:r>
                  <w:r>
                    <w:rPr>
                      <w:rFonts w:hint="default" w:ascii="Times New Roman" w:hAnsi="Times New Roman" w:eastAsia="宋体" w:cs="Times New Roman"/>
                      <w:color w:val="auto"/>
                      <w:sz w:val="21"/>
                      <w:szCs w:val="21"/>
                      <w:highlight w:val="none"/>
                    </w:rPr>
                    <w:t>t/a</w:t>
                  </w:r>
                </w:p>
              </w:tc>
              <w:tc>
                <w:tcPr>
                  <w:tcW w:w="1297" w:type="dxa"/>
                  <w:tcBorders>
                    <w:tl2br w:val="nil"/>
                    <w:tr2bl w:val="nil"/>
                  </w:tcBorders>
                  <w:vAlign w:val="center"/>
                </w:tcPr>
                <w:p w14:paraId="35FF8EE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7DFD7C2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1020" w:type="dxa"/>
                  <w:vMerge w:val="continue"/>
                </w:tcPr>
                <w:p w14:paraId="5E93A54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62" w:type="dxa"/>
                  <w:vMerge w:val="continue"/>
                </w:tcPr>
                <w:p w14:paraId="5B7C94F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3208" w:type="dxa"/>
                  <w:shd w:val="clear" w:color="auto" w:fill="auto"/>
                  <w:vAlign w:val="center"/>
                </w:tcPr>
                <w:p w14:paraId="6969B83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抛丸碎屑</w:t>
                  </w:r>
                </w:p>
              </w:tc>
              <w:tc>
                <w:tcPr>
                  <w:tcW w:w="1970" w:type="dxa"/>
                  <w:shd w:val="clear" w:color="auto" w:fill="auto"/>
                  <w:vAlign w:val="center"/>
                </w:tcPr>
                <w:p w14:paraId="79BFCAD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2</w:t>
                  </w:r>
                  <w:r>
                    <w:rPr>
                      <w:rFonts w:hint="default" w:ascii="Times New Roman" w:hAnsi="Times New Roman" w:eastAsia="宋体" w:cs="Times New Roman"/>
                      <w:color w:val="auto"/>
                      <w:sz w:val="21"/>
                      <w:szCs w:val="21"/>
                      <w:highlight w:val="none"/>
                    </w:rPr>
                    <w:t>t/a</w:t>
                  </w:r>
                </w:p>
              </w:tc>
              <w:tc>
                <w:tcPr>
                  <w:tcW w:w="1297" w:type="dxa"/>
                  <w:vAlign w:val="center"/>
                </w:tcPr>
                <w:p w14:paraId="6B0AEA8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162A383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1020" w:type="dxa"/>
                  <w:vMerge w:val="continue"/>
                </w:tcPr>
                <w:p w14:paraId="2EF2BC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62" w:type="dxa"/>
                  <w:vMerge w:val="continue"/>
                </w:tcPr>
                <w:p w14:paraId="4D9A2DC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3208" w:type="dxa"/>
                  <w:shd w:val="clear" w:color="auto" w:fill="auto"/>
                  <w:vAlign w:val="center"/>
                </w:tcPr>
                <w:p w14:paraId="6C858E6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除尘器收尘</w:t>
                  </w:r>
                </w:p>
              </w:tc>
              <w:tc>
                <w:tcPr>
                  <w:tcW w:w="1970" w:type="dxa"/>
                  <w:shd w:val="clear" w:color="auto" w:fill="auto"/>
                  <w:vAlign w:val="center"/>
                </w:tcPr>
                <w:p w14:paraId="0A95F8C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7.84</w:t>
                  </w:r>
                  <w:r>
                    <w:rPr>
                      <w:rFonts w:hint="default" w:ascii="Times New Roman" w:hAnsi="Times New Roman" w:eastAsia="宋体" w:cs="Times New Roman"/>
                      <w:color w:val="auto"/>
                      <w:sz w:val="21"/>
                      <w:szCs w:val="21"/>
                      <w:highlight w:val="none"/>
                    </w:rPr>
                    <w:t>t/a</w:t>
                  </w:r>
                </w:p>
              </w:tc>
              <w:tc>
                <w:tcPr>
                  <w:tcW w:w="1297" w:type="dxa"/>
                  <w:vAlign w:val="center"/>
                </w:tcPr>
                <w:p w14:paraId="4478993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15DF3B5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1020" w:type="dxa"/>
                  <w:vMerge w:val="continue"/>
                </w:tcPr>
                <w:p w14:paraId="5D6B011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62" w:type="dxa"/>
                  <w:vMerge w:val="continue"/>
                </w:tcPr>
                <w:p w14:paraId="54D04F3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3208" w:type="dxa"/>
                  <w:shd w:val="clear" w:color="auto" w:fill="auto"/>
                  <w:vAlign w:val="center"/>
                </w:tcPr>
                <w:p w14:paraId="4272C32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废钢丸</w:t>
                  </w:r>
                </w:p>
              </w:tc>
              <w:tc>
                <w:tcPr>
                  <w:tcW w:w="1970" w:type="dxa"/>
                  <w:shd w:val="clear" w:color="auto" w:fill="auto"/>
                  <w:vAlign w:val="center"/>
                </w:tcPr>
                <w:p w14:paraId="76F7C5A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w:t>
                  </w:r>
                  <w:r>
                    <w:rPr>
                      <w:rFonts w:hint="default" w:ascii="Times New Roman" w:hAnsi="Times New Roman" w:eastAsia="宋体" w:cs="Times New Roman"/>
                      <w:color w:val="auto"/>
                      <w:sz w:val="21"/>
                      <w:szCs w:val="21"/>
                      <w:highlight w:val="none"/>
                    </w:rPr>
                    <w:t>t/a</w:t>
                  </w:r>
                </w:p>
              </w:tc>
              <w:tc>
                <w:tcPr>
                  <w:tcW w:w="1297" w:type="dxa"/>
                  <w:vAlign w:val="center"/>
                </w:tcPr>
                <w:p w14:paraId="5A158C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0A696CD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1020" w:type="dxa"/>
                  <w:vMerge w:val="continue"/>
                </w:tcPr>
                <w:p w14:paraId="76CFBA8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462" w:type="dxa"/>
                  <w:vMerge w:val="continue"/>
                </w:tcPr>
                <w:p w14:paraId="32EBC27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3208" w:type="dxa"/>
                  <w:shd w:val="clear" w:color="auto" w:fill="auto"/>
                  <w:vAlign w:val="center"/>
                </w:tcPr>
                <w:p w14:paraId="2A764E3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残次品</w:t>
                  </w:r>
                </w:p>
              </w:tc>
              <w:tc>
                <w:tcPr>
                  <w:tcW w:w="1970" w:type="dxa"/>
                  <w:shd w:val="clear" w:color="auto" w:fill="auto"/>
                  <w:vAlign w:val="center"/>
                </w:tcPr>
                <w:p w14:paraId="336078E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400</w:t>
                  </w:r>
                  <w:r>
                    <w:rPr>
                      <w:rFonts w:hint="default" w:ascii="Times New Roman" w:hAnsi="Times New Roman" w:eastAsia="宋体" w:cs="Times New Roman"/>
                      <w:color w:val="auto"/>
                      <w:sz w:val="21"/>
                      <w:szCs w:val="21"/>
                      <w:highlight w:val="none"/>
                    </w:rPr>
                    <w:t>t/a</w:t>
                  </w:r>
                </w:p>
              </w:tc>
              <w:tc>
                <w:tcPr>
                  <w:tcW w:w="1297" w:type="dxa"/>
                  <w:vAlign w:val="center"/>
                </w:tcPr>
                <w:p w14:paraId="3421E89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bl>
          <w:p w14:paraId="608F7213">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cs="Times New Roman"/>
                <w:b/>
                <w:bCs/>
                <w:color w:val="auto"/>
              </w:rPr>
            </w:pPr>
            <w:r>
              <w:rPr>
                <w:rFonts w:hint="default" w:ascii="Times New Roman" w:hAnsi="Times New Roman" w:cs="Times New Roman"/>
                <w:b/>
                <w:bCs/>
                <w:color w:val="auto"/>
              </w:rPr>
              <w:t>三、存在的问题及整改措施</w:t>
            </w:r>
          </w:p>
          <w:p w14:paraId="0D4AF5CE">
            <w:pPr>
              <w:pStyle w:val="3"/>
              <w:keepNext w:val="0"/>
              <w:keepLines w:val="0"/>
              <w:pageBreakBefore w:val="0"/>
              <w:widowControl/>
              <w:kinsoku w:val="0"/>
              <w:wordWrap/>
              <w:overflowPunct/>
              <w:topLinePunct w:val="0"/>
              <w:autoSpaceDE w:val="0"/>
              <w:autoSpaceDN w:val="0"/>
              <w:bidi w:val="0"/>
              <w:adjustRightInd w:val="0"/>
              <w:snapToGrid w:val="0"/>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1、现有项目没有总量指标</w:t>
            </w:r>
            <w:r>
              <w:rPr>
                <w:rFonts w:hint="eastAsia"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本次评价一同申请</w:t>
            </w:r>
            <w:r>
              <w:rPr>
                <w:rFonts w:hint="eastAsia" w:ascii="Times New Roman" w:hAnsi="Times New Roman" w:eastAsia="宋体" w:cs="Times New Roman"/>
                <w:color w:val="auto"/>
                <w:lang w:val="en-US" w:eastAsia="zh-CN"/>
              </w:rPr>
              <w:t>；</w:t>
            </w:r>
          </w:p>
          <w:p w14:paraId="4DF5289B">
            <w:pPr>
              <w:pStyle w:val="3"/>
              <w:keepNext w:val="0"/>
              <w:keepLines w:val="0"/>
              <w:pageBreakBefore w:val="0"/>
              <w:widowControl/>
              <w:kinsoku w:val="0"/>
              <w:wordWrap/>
              <w:overflowPunct/>
              <w:topLinePunct w:val="0"/>
              <w:autoSpaceDE w:val="0"/>
              <w:autoSpaceDN w:val="0"/>
              <w:bidi w:val="0"/>
              <w:adjustRightInd w:val="0"/>
              <w:snapToGrid w:val="0"/>
              <w:ind w:firstLine="480" w:firstLineChars="200"/>
              <w:jc w:val="both"/>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lang w:val="en-US" w:eastAsia="zh-CN"/>
              </w:rPr>
              <w:t>2、现有项目风机风量较低，收集效率不足，技改后更换为大风量风机</w:t>
            </w:r>
            <w:r>
              <w:rPr>
                <w:rFonts w:hint="default" w:ascii="Times New Roman" w:hAnsi="Times New Roman" w:eastAsia="宋体" w:cs="Times New Roman"/>
                <w:color w:val="auto"/>
                <w:highlight w:val="none"/>
              </w:rPr>
              <w:t>。</w:t>
            </w:r>
          </w:p>
          <w:p w14:paraId="26BBFA0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highlight w:val="none"/>
              </w:rPr>
              <w:t>现有项目</w:t>
            </w:r>
            <w:r>
              <w:rPr>
                <w:rFonts w:hint="default" w:ascii="Times New Roman" w:hAnsi="Times New Roman" w:eastAsia="宋体" w:cs="Times New Roman"/>
                <w:color w:val="auto"/>
                <w:sz w:val="24"/>
                <w:szCs w:val="24"/>
                <w:highlight w:val="none"/>
                <w:lang w:val="en-US" w:eastAsia="zh-CN"/>
              </w:rPr>
              <w:t>用地性质为工业用地，</w:t>
            </w:r>
            <w:r>
              <w:rPr>
                <w:rFonts w:hint="eastAsia" w:ascii="Times New Roman" w:hAnsi="Times New Roman" w:cs="Times New Roman"/>
                <w:color w:val="auto"/>
                <w:sz w:val="24"/>
                <w:szCs w:val="24"/>
                <w:highlight w:val="none"/>
                <w:lang w:val="en-US" w:eastAsia="zh-CN"/>
              </w:rPr>
              <w:t>依托</w:t>
            </w:r>
            <w:r>
              <w:rPr>
                <w:rFonts w:hint="default" w:ascii="Times New Roman" w:hAnsi="Times New Roman" w:eastAsia="宋体" w:cs="Times New Roman"/>
                <w:color w:val="auto"/>
                <w:sz w:val="24"/>
                <w:szCs w:val="24"/>
                <w:highlight w:val="none"/>
                <w:lang w:val="en-US" w:eastAsia="zh-CN"/>
              </w:rPr>
              <w:t>现有生产厂房进行建设，本项目现场及周边情况见下图：</w:t>
            </w:r>
          </w:p>
          <w:tbl>
            <w:tblPr>
              <w:tblStyle w:val="16"/>
              <w:tblW w:w="907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535"/>
              <w:gridCol w:w="4536"/>
            </w:tblGrid>
            <w:tr w14:paraId="66416D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3972" w:type="dxa"/>
                  <w:tcBorders>
                    <w:tl2br w:val="nil"/>
                    <w:tr2bl w:val="nil"/>
                  </w:tcBorders>
                  <w:noWrap w:val="0"/>
                  <w:vAlign w:val="top"/>
                </w:tcPr>
                <w:p w14:paraId="676C3F36">
                  <w:pPr>
                    <w:spacing w:line="240" w:lineRule="auto"/>
                    <w:jc w:val="center"/>
                    <w:rPr>
                      <w:rFonts w:hint="default" w:ascii="Times New Roman" w:hAnsi="Times New Roman" w:eastAsia="宋体" w:cs="Times New Roman"/>
                      <w:b/>
                      <w:bCs/>
                      <w:color w:val="auto"/>
                      <w:kern w:val="0"/>
                      <w:sz w:val="24"/>
                      <w:szCs w:val="24"/>
                      <w:highlight w:val="none"/>
                      <w:vertAlign w:val="baseline"/>
                      <w:lang w:eastAsia="zh-CN"/>
                    </w:rPr>
                  </w:pPr>
                  <w:r>
                    <w:rPr>
                      <w:rFonts w:hint="default" w:ascii="Times New Roman" w:hAnsi="Times New Roman" w:eastAsia="宋体" w:cs="Times New Roman"/>
                      <w:b/>
                      <w:bCs/>
                      <w:color w:val="auto"/>
                      <w:kern w:val="0"/>
                      <w:sz w:val="24"/>
                      <w:szCs w:val="24"/>
                      <w:highlight w:val="none"/>
                      <w:vertAlign w:val="baseline"/>
                      <w:lang w:eastAsia="zh-CN"/>
                    </w:rPr>
                    <w:drawing>
                      <wp:inline distT="0" distB="0" distL="114300" distR="114300">
                        <wp:extent cx="2732405" cy="2049780"/>
                        <wp:effectExtent l="0" t="0" r="10795" b="7620"/>
                        <wp:docPr id="120" name="图片 120" descr="20250625151452550-81-112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0250625151452550-81-1122485"/>
                                <pic:cNvPicPr>
                                  <a:picLocks noChangeAspect="1"/>
                                </pic:cNvPicPr>
                              </pic:nvPicPr>
                              <pic:blipFill>
                                <a:blip r:embed="rId16"/>
                                <a:stretch>
                                  <a:fillRect/>
                                </a:stretch>
                              </pic:blipFill>
                              <pic:spPr>
                                <a:xfrm>
                                  <a:off x="0" y="0"/>
                                  <a:ext cx="2732405" cy="2049780"/>
                                </a:xfrm>
                                <a:prstGeom prst="rect">
                                  <a:avLst/>
                                </a:prstGeom>
                              </pic:spPr>
                            </pic:pic>
                          </a:graphicData>
                        </a:graphic>
                      </wp:inline>
                    </w:drawing>
                  </w:r>
                </w:p>
              </w:tc>
              <w:tc>
                <w:tcPr>
                  <w:tcW w:w="3973" w:type="dxa"/>
                  <w:tcBorders>
                    <w:tl2br w:val="nil"/>
                    <w:tr2bl w:val="nil"/>
                  </w:tcBorders>
                  <w:noWrap w:val="0"/>
                  <w:vAlign w:val="top"/>
                </w:tcPr>
                <w:p w14:paraId="1D9AAAEA">
                  <w:pPr>
                    <w:spacing w:line="240" w:lineRule="auto"/>
                    <w:jc w:val="center"/>
                    <w:rPr>
                      <w:rFonts w:hint="default" w:ascii="Times New Roman" w:hAnsi="Times New Roman" w:eastAsia="宋体" w:cs="Times New Roman"/>
                      <w:b/>
                      <w:bCs/>
                      <w:color w:val="auto"/>
                      <w:kern w:val="0"/>
                      <w:sz w:val="24"/>
                      <w:szCs w:val="24"/>
                      <w:highlight w:val="none"/>
                      <w:vertAlign w:val="baseline"/>
                      <w:lang w:eastAsia="zh-CN"/>
                    </w:rPr>
                  </w:pPr>
                  <w:r>
                    <w:rPr>
                      <w:rFonts w:hint="default" w:ascii="Times New Roman" w:hAnsi="Times New Roman" w:eastAsia="宋体" w:cs="Times New Roman"/>
                      <w:b/>
                      <w:bCs/>
                      <w:color w:val="auto"/>
                      <w:kern w:val="0"/>
                      <w:sz w:val="24"/>
                      <w:szCs w:val="24"/>
                      <w:highlight w:val="none"/>
                      <w:vertAlign w:val="baseline"/>
                      <w:lang w:eastAsia="zh-CN"/>
                    </w:rPr>
                    <w:drawing>
                      <wp:inline distT="0" distB="0" distL="114300" distR="114300">
                        <wp:extent cx="2732405" cy="2049780"/>
                        <wp:effectExtent l="0" t="0" r="10795" b="7620"/>
                        <wp:docPr id="114" name="图片 114" descr="20250625151314191-0-86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0250625151314191-0-867797"/>
                                <pic:cNvPicPr>
                                  <a:picLocks noChangeAspect="1"/>
                                </pic:cNvPicPr>
                              </pic:nvPicPr>
                              <pic:blipFill>
                                <a:blip r:embed="rId17"/>
                                <a:stretch>
                                  <a:fillRect/>
                                </a:stretch>
                              </pic:blipFill>
                              <pic:spPr>
                                <a:xfrm>
                                  <a:off x="0" y="0"/>
                                  <a:ext cx="2732405" cy="2049780"/>
                                </a:xfrm>
                                <a:prstGeom prst="rect">
                                  <a:avLst/>
                                </a:prstGeom>
                              </pic:spPr>
                            </pic:pic>
                          </a:graphicData>
                        </a:graphic>
                      </wp:inline>
                    </w:drawing>
                  </w:r>
                </w:p>
              </w:tc>
            </w:tr>
            <w:tr w14:paraId="75A25C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2" w:type="dxa"/>
                  <w:tcBorders>
                    <w:tl2br w:val="nil"/>
                    <w:tr2bl w:val="nil"/>
                  </w:tcBorders>
                  <w:noWrap w:val="0"/>
                  <w:vAlign w:val="top"/>
                </w:tcPr>
                <w:p w14:paraId="43267055">
                  <w:pPr>
                    <w:spacing w:line="240" w:lineRule="auto"/>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东侧</w:t>
                  </w:r>
                  <w:r>
                    <w:rPr>
                      <w:rFonts w:hint="eastAsia" w:ascii="Times New Roman" w:hAnsi="Times New Roman" w:cs="Times New Roman"/>
                      <w:b/>
                      <w:bCs/>
                      <w:color w:val="auto"/>
                      <w:sz w:val="24"/>
                      <w:szCs w:val="24"/>
                      <w:highlight w:val="none"/>
                      <w:lang w:val="en-US" w:eastAsia="zh-CN"/>
                    </w:rPr>
                    <w:t>乡村道路</w:t>
                  </w:r>
                </w:p>
              </w:tc>
              <w:tc>
                <w:tcPr>
                  <w:tcW w:w="3973" w:type="dxa"/>
                  <w:tcBorders>
                    <w:tl2br w:val="nil"/>
                    <w:tr2bl w:val="nil"/>
                  </w:tcBorders>
                  <w:noWrap w:val="0"/>
                  <w:vAlign w:val="top"/>
                </w:tcPr>
                <w:p w14:paraId="491D69C3">
                  <w:pPr>
                    <w:spacing w:line="240" w:lineRule="auto"/>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西侧</w:t>
                  </w:r>
                  <w:r>
                    <w:rPr>
                      <w:rFonts w:hint="eastAsia" w:ascii="Times New Roman" w:hAnsi="Times New Roman" w:cs="Times New Roman"/>
                      <w:b/>
                      <w:bCs/>
                      <w:color w:val="auto"/>
                      <w:sz w:val="24"/>
                      <w:szCs w:val="24"/>
                      <w:highlight w:val="none"/>
                      <w:lang w:val="en-US" w:eastAsia="zh-CN"/>
                    </w:rPr>
                    <w:t>耕地</w:t>
                  </w:r>
                </w:p>
              </w:tc>
            </w:tr>
            <w:tr w14:paraId="422009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3972" w:type="dxa"/>
                  <w:tcBorders>
                    <w:tl2br w:val="nil"/>
                    <w:tr2bl w:val="nil"/>
                  </w:tcBorders>
                  <w:noWrap w:val="0"/>
                  <w:vAlign w:val="top"/>
                </w:tcPr>
                <w:p w14:paraId="1DE010A1">
                  <w:pPr>
                    <w:spacing w:line="240" w:lineRule="auto"/>
                    <w:jc w:val="center"/>
                    <w:rPr>
                      <w:rFonts w:hint="default" w:ascii="Times New Roman" w:hAnsi="Times New Roman" w:eastAsia="宋体" w:cs="Times New Roman"/>
                      <w:b/>
                      <w:bCs/>
                      <w:color w:val="auto"/>
                      <w:kern w:val="0"/>
                      <w:sz w:val="24"/>
                      <w:szCs w:val="24"/>
                      <w:highlight w:val="none"/>
                      <w:vertAlign w:val="baseline"/>
                      <w:lang w:eastAsia="zh-CN"/>
                    </w:rPr>
                  </w:pPr>
                  <w:r>
                    <w:rPr>
                      <w:rFonts w:hint="default" w:ascii="Times New Roman" w:hAnsi="Times New Roman" w:eastAsia="宋体" w:cs="Times New Roman"/>
                      <w:b/>
                      <w:bCs/>
                      <w:color w:val="auto"/>
                      <w:kern w:val="0"/>
                      <w:sz w:val="24"/>
                      <w:szCs w:val="24"/>
                      <w:highlight w:val="none"/>
                      <w:vertAlign w:val="baseline"/>
                      <w:lang w:eastAsia="zh-CN"/>
                    </w:rPr>
                    <w:drawing>
                      <wp:inline distT="0" distB="0" distL="114300" distR="114300">
                        <wp:extent cx="2732405" cy="2049780"/>
                        <wp:effectExtent l="0" t="0" r="10795" b="7620"/>
                        <wp:docPr id="124" name="图片 124" descr="20250625151729638-61-86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20250625151729638-61-867529"/>
                                <pic:cNvPicPr>
                                  <a:picLocks noChangeAspect="1"/>
                                </pic:cNvPicPr>
                              </pic:nvPicPr>
                              <pic:blipFill>
                                <a:blip r:embed="rId18"/>
                                <a:stretch>
                                  <a:fillRect/>
                                </a:stretch>
                              </pic:blipFill>
                              <pic:spPr>
                                <a:xfrm>
                                  <a:off x="0" y="0"/>
                                  <a:ext cx="2732405" cy="2049780"/>
                                </a:xfrm>
                                <a:prstGeom prst="rect">
                                  <a:avLst/>
                                </a:prstGeom>
                              </pic:spPr>
                            </pic:pic>
                          </a:graphicData>
                        </a:graphic>
                      </wp:inline>
                    </w:drawing>
                  </w:r>
                </w:p>
              </w:tc>
              <w:tc>
                <w:tcPr>
                  <w:tcW w:w="3973" w:type="dxa"/>
                  <w:tcBorders>
                    <w:tl2br w:val="nil"/>
                    <w:tr2bl w:val="nil"/>
                  </w:tcBorders>
                  <w:noWrap w:val="0"/>
                  <w:vAlign w:val="top"/>
                </w:tcPr>
                <w:p w14:paraId="6435A85B">
                  <w:pPr>
                    <w:spacing w:line="240" w:lineRule="auto"/>
                    <w:jc w:val="center"/>
                    <w:rPr>
                      <w:rFonts w:hint="default" w:ascii="Times New Roman" w:hAnsi="Times New Roman" w:eastAsia="宋体" w:cs="Times New Roman"/>
                      <w:b/>
                      <w:bCs/>
                      <w:color w:val="auto"/>
                      <w:kern w:val="0"/>
                      <w:sz w:val="24"/>
                      <w:szCs w:val="24"/>
                      <w:highlight w:val="none"/>
                      <w:vertAlign w:val="baseline"/>
                      <w:lang w:eastAsia="zh-CN"/>
                    </w:rPr>
                  </w:pPr>
                  <w:r>
                    <w:rPr>
                      <w:rFonts w:hint="default" w:ascii="Times New Roman" w:hAnsi="Times New Roman" w:eastAsia="宋体" w:cs="Times New Roman"/>
                      <w:b/>
                      <w:bCs/>
                      <w:color w:val="auto"/>
                      <w:kern w:val="0"/>
                      <w:sz w:val="24"/>
                      <w:szCs w:val="24"/>
                      <w:highlight w:val="none"/>
                      <w:vertAlign w:val="baseline"/>
                      <w:lang w:eastAsia="zh-CN"/>
                    </w:rPr>
                    <w:drawing>
                      <wp:inline distT="0" distB="0" distL="114300" distR="114300">
                        <wp:extent cx="2732405" cy="2049780"/>
                        <wp:effectExtent l="0" t="0" r="10795" b="7620"/>
                        <wp:docPr id="122" name="图片 122" descr="20250625151610729-24-80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0250625151610729-24-803416"/>
                                <pic:cNvPicPr>
                                  <a:picLocks noChangeAspect="1"/>
                                </pic:cNvPicPr>
                              </pic:nvPicPr>
                              <pic:blipFill>
                                <a:blip r:embed="rId19"/>
                                <a:stretch>
                                  <a:fillRect/>
                                </a:stretch>
                              </pic:blipFill>
                              <pic:spPr>
                                <a:xfrm>
                                  <a:off x="0" y="0"/>
                                  <a:ext cx="2732405" cy="2049780"/>
                                </a:xfrm>
                                <a:prstGeom prst="rect">
                                  <a:avLst/>
                                </a:prstGeom>
                              </pic:spPr>
                            </pic:pic>
                          </a:graphicData>
                        </a:graphic>
                      </wp:inline>
                    </w:drawing>
                  </w:r>
                </w:p>
              </w:tc>
            </w:tr>
            <w:tr w14:paraId="269E07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2" w:type="dxa"/>
                  <w:tcBorders>
                    <w:tl2br w:val="nil"/>
                    <w:tr2bl w:val="nil"/>
                  </w:tcBorders>
                  <w:noWrap w:val="0"/>
                  <w:vAlign w:val="top"/>
                </w:tcPr>
                <w:p w14:paraId="7DB277E3">
                  <w:pPr>
                    <w:spacing w:line="240" w:lineRule="auto"/>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南侧</w:t>
                  </w:r>
                  <w:r>
                    <w:rPr>
                      <w:rFonts w:hint="eastAsia" w:ascii="Times New Roman" w:hAnsi="Times New Roman" w:cs="Times New Roman"/>
                      <w:b/>
                      <w:bCs/>
                      <w:color w:val="auto"/>
                      <w:sz w:val="24"/>
                      <w:szCs w:val="24"/>
                      <w:highlight w:val="none"/>
                      <w:lang w:val="en-US" w:eastAsia="zh-CN"/>
                    </w:rPr>
                    <w:t>再生资源公司</w:t>
                  </w:r>
                </w:p>
              </w:tc>
              <w:tc>
                <w:tcPr>
                  <w:tcW w:w="3973" w:type="dxa"/>
                  <w:tcBorders>
                    <w:tl2br w:val="nil"/>
                    <w:tr2bl w:val="nil"/>
                  </w:tcBorders>
                  <w:noWrap w:val="0"/>
                  <w:vAlign w:val="top"/>
                </w:tcPr>
                <w:p w14:paraId="4F71939B">
                  <w:pPr>
                    <w:spacing w:line="240" w:lineRule="auto"/>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北侧</w:t>
                  </w:r>
                  <w:r>
                    <w:rPr>
                      <w:rFonts w:hint="eastAsia" w:ascii="Times New Roman" w:hAnsi="Times New Roman" w:cs="Times New Roman"/>
                      <w:b/>
                      <w:bCs/>
                      <w:color w:val="auto"/>
                      <w:sz w:val="24"/>
                      <w:szCs w:val="24"/>
                      <w:highlight w:val="none"/>
                      <w:lang w:val="en-US" w:eastAsia="zh-CN"/>
                    </w:rPr>
                    <w:t>闲置厂房</w:t>
                  </w:r>
                </w:p>
              </w:tc>
            </w:tr>
            <w:tr w14:paraId="5B6EB9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3972" w:type="dxa"/>
                  <w:tcBorders>
                    <w:tl2br w:val="nil"/>
                    <w:tr2bl w:val="nil"/>
                  </w:tcBorders>
                  <w:noWrap w:val="0"/>
                  <w:vAlign w:val="top"/>
                </w:tcPr>
                <w:p w14:paraId="4B408B11">
                  <w:pPr>
                    <w:spacing w:line="240" w:lineRule="auto"/>
                    <w:jc w:val="center"/>
                    <w:rPr>
                      <w:rFonts w:hint="default" w:ascii="Times New Roman" w:hAnsi="Times New Roman" w:eastAsia="宋体" w:cs="Times New Roman"/>
                      <w:b/>
                      <w:bCs/>
                      <w:color w:val="auto"/>
                      <w:kern w:val="0"/>
                      <w:sz w:val="24"/>
                      <w:szCs w:val="24"/>
                      <w:highlight w:val="none"/>
                      <w:vertAlign w:val="baseline"/>
                      <w:lang w:eastAsia="zh-CN"/>
                    </w:rPr>
                  </w:pPr>
                  <w:r>
                    <w:rPr>
                      <w:rFonts w:hint="default" w:ascii="Times New Roman" w:hAnsi="Times New Roman" w:eastAsia="宋体" w:cs="Times New Roman"/>
                      <w:b/>
                      <w:bCs/>
                      <w:color w:val="auto"/>
                      <w:kern w:val="0"/>
                      <w:sz w:val="24"/>
                      <w:szCs w:val="24"/>
                      <w:highlight w:val="none"/>
                      <w:vertAlign w:val="baseline"/>
                      <w:lang w:eastAsia="zh-CN"/>
                    </w:rPr>
                    <w:drawing>
                      <wp:inline distT="0" distB="0" distL="114300" distR="114300">
                        <wp:extent cx="2732405" cy="2049780"/>
                        <wp:effectExtent l="0" t="0" r="10795" b="7620"/>
                        <wp:docPr id="95" name="图片 95" descr="20250625144825867-3-100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0250625144825867-3-1009478"/>
                                <pic:cNvPicPr>
                                  <a:picLocks noChangeAspect="1"/>
                                </pic:cNvPicPr>
                              </pic:nvPicPr>
                              <pic:blipFill>
                                <a:blip r:embed="rId20"/>
                                <a:stretch>
                                  <a:fillRect/>
                                </a:stretch>
                              </pic:blipFill>
                              <pic:spPr>
                                <a:xfrm>
                                  <a:off x="0" y="0"/>
                                  <a:ext cx="2732405" cy="2049780"/>
                                </a:xfrm>
                                <a:prstGeom prst="rect">
                                  <a:avLst/>
                                </a:prstGeom>
                              </pic:spPr>
                            </pic:pic>
                          </a:graphicData>
                        </a:graphic>
                      </wp:inline>
                    </w:drawing>
                  </w:r>
                </w:p>
              </w:tc>
              <w:tc>
                <w:tcPr>
                  <w:tcW w:w="3973" w:type="dxa"/>
                  <w:tcBorders>
                    <w:tl2br w:val="nil"/>
                    <w:tr2bl w:val="nil"/>
                  </w:tcBorders>
                  <w:noWrap w:val="0"/>
                  <w:vAlign w:val="top"/>
                </w:tcPr>
                <w:p w14:paraId="22A75531">
                  <w:pPr>
                    <w:spacing w:line="240" w:lineRule="auto"/>
                    <w:jc w:val="center"/>
                    <w:rPr>
                      <w:rFonts w:hint="default" w:ascii="Times New Roman" w:hAnsi="Times New Roman" w:eastAsia="宋体" w:cs="Times New Roman"/>
                      <w:b/>
                      <w:bCs/>
                      <w:color w:val="auto"/>
                      <w:kern w:val="0"/>
                      <w:sz w:val="24"/>
                      <w:szCs w:val="24"/>
                      <w:highlight w:val="none"/>
                      <w:vertAlign w:val="baseline"/>
                      <w:lang w:eastAsia="zh-CN"/>
                    </w:rPr>
                  </w:pPr>
                  <w:r>
                    <w:rPr>
                      <w:rFonts w:hint="default" w:ascii="Times New Roman" w:hAnsi="Times New Roman" w:eastAsia="宋体" w:cs="Times New Roman"/>
                      <w:b/>
                      <w:bCs/>
                      <w:color w:val="auto"/>
                      <w:kern w:val="0"/>
                      <w:sz w:val="24"/>
                      <w:szCs w:val="24"/>
                      <w:highlight w:val="none"/>
                      <w:vertAlign w:val="baseline"/>
                      <w:lang w:eastAsia="zh-CN"/>
                    </w:rPr>
                    <w:drawing>
                      <wp:inline distT="0" distB="0" distL="114300" distR="114300">
                        <wp:extent cx="2732405" cy="2049780"/>
                        <wp:effectExtent l="0" t="0" r="10795" b="7620"/>
                        <wp:docPr id="123" name="图片 123" descr="20250625151624733-96-8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0250625151624733-96-843021"/>
                                <pic:cNvPicPr>
                                  <a:picLocks noChangeAspect="1"/>
                                </pic:cNvPicPr>
                              </pic:nvPicPr>
                              <pic:blipFill>
                                <a:blip r:embed="rId21"/>
                                <a:stretch>
                                  <a:fillRect/>
                                </a:stretch>
                              </pic:blipFill>
                              <pic:spPr>
                                <a:xfrm>
                                  <a:off x="0" y="0"/>
                                  <a:ext cx="2732405" cy="2049780"/>
                                </a:xfrm>
                                <a:prstGeom prst="rect">
                                  <a:avLst/>
                                </a:prstGeom>
                              </pic:spPr>
                            </pic:pic>
                          </a:graphicData>
                        </a:graphic>
                      </wp:inline>
                    </w:drawing>
                  </w:r>
                </w:p>
              </w:tc>
            </w:tr>
            <w:tr w14:paraId="459A63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2" w:type="dxa"/>
                  <w:tcBorders>
                    <w:tl2br w:val="nil"/>
                    <w:tr2bl w:val="nil"/>
                  </w:tcBorders>
                  <w:noWrap w:val="0"/>
                  <w:vAlign w:val="top"/>
                </w:tcPr>
                <w:p w14:paraId="52487F96">
                  <w:pPr>
                    <w:spacing w:line="240" w:lineRule="auto"/>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项目现场</w:t>
                  </w:r>
                </w:p>
              </w:tc>
              <w:tc>
                <w:tcPr>
                  <w:tcW w:w="3973" w:type="dxa"/>
                  <w:tcBorders>
                    <w:tl2br w:val="nil"/>
                    <w:tr2bl w:val="nil"/>
                  </w:tcBorders>
                  <w:noWrap w:val="0"/>
                  <w:vAlign w:val="top"/>
                </w:tcPr>
                <w:p w14:paraId="3AD3F721">
                  <w:pPr>
                    <w:spacing w:line="240" w:lineRule="auto"/>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项目现场</w:t>
                  </w:r>
                </w:p>
              </w:tc>
            </w:tr>
            <w:tr w14:paraId="6FC729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2" w:type="dxa"/>
                  <w:tcBorders>
                    <w:tl2br w:val="nil"/>
                    <w:tr2bl w:val="nil"/>
                  </w:tcBorders>
                  <w:noWrap w:val="0"/>
                  <w:vAlign w:val="top"/>
                </w:tcPr>
                <w:p w14:paraId="13AA4718">
                  <w:pPr>
                    <w:spacing w:line="240" w:lineRule="auto"/>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drawing>
                      <wp:inline distT="0" distB="0" distL="114300" distR="114300">
                        <wp:extent cx="2732405" cy="2049780"/>
                        <wp:effectExtent l="0" t="0" r="10795" b="7620"/>
                        <wp:docPr id="98" name="图片 98" descr="20250625145000321-35-79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0250625145000321-35-793159"/>
                                <pic:cNvPicPr>
                                  <a:picLocks noChangeAspect="1"/>
                                </pic:cNvPicPr>
                              </pic:nvPicPr>
                              <pic:blipFill>
                                <a:blip r:embed="rId22"/>
                                <a:stretch>
                                  <a:fillRect/>
                                </a:stretch>
                              </pic:blipFill>
                              <pic:spPr>
                                <a:xfrm>
                                  <a:off x="0" y="0"/>
                                  <a:ext cx="2732405" cy="2049780"/>
                                </a:xfrm>
                                <a:prstGeom prst="rect">
                                  <a:avLst/>
                                </a:prstGeom>
                              </pic:spPr>
                            </pic:pic>
                          </a:graphicData>
                        </a:graphic>
                      </wp:inline>
                    </w:drawing>
                  </w:r>
                </w:p>
              </w:tc>
              <w:tc>
                <w:tcPr>
                  <w:tcW w:w="3973" w:type="dxa"/>
                  <w:tcBorders>
                    <w:tl2br w:val="nil"/>
                    <w:tr2bl w:val="nil"/>
                  </w:tcBorders>
                  <w:noWrap w:val="0"/>
                  <w:vAlign w:val="top"/>
                </w:tcPr>
                <w:p w14:paraId="045D998C">
                  <w:pPr>
                    <w:spacing w:line="240" w:lineRule="auto"/>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drawing>
                      <wp:inline distT="0" distB="0" distL="114300" distR="114300">
                        <wp:extent cx="2732405" cy="2049780"/>
                        <wp:effectExtent l="0" t="0" r="10795" b="7620"/>
                        <wp:docPr id="113" name="图片 113" descr="20250625145018321-83-101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0250625145018321-83-1018344"/>
                                <pic:cNvPicPr>
                                  <a:picLocks noChangeAspect="1"/>
                                </pic:cNvPicPr>
                              </pic:nvPicPr>
                              <pic:blipFill>
                                <a:blip r:embed="rId23"/>
                                <a:stretch>
                                  <a:fillRect/>
                                </a:stretch>
                              </pic:blipFill>
                              <pic:spPr>
                                <a:xfrm>
                                  <a:off x="0" y="0"/>
                                  <a:ext cx="2732405" cy="2049780"/>
                                </a:xfrm>
                                <a:prstGeom prst="rect">
                                  <a:avLst/>
                                </a:prstGeom>
                              </pic:spPr>
                            </pic:pic>
                          </a:graphicData>
                        </a:graphic>
                      </wp:inline>
                    </w:drawing>
                  </w:r>
                </w:p>
              </w:tc>
            </w:tr>
            <w:tr w14:paraId="3592C9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2" w:type="dxa"/>
                  <w:tcBorders>
                    <w:tl2br w:val="nil"/>
                    <w:tr2bl w:val="nil"/>
                  </w:tcBorders>
                  <w:noWrap w:val="0"/>
                  <w:vAlign w:val="top"/>
                </w:tcPr>
                <w:p w14:paraId="6DC6177E">
                  <w:pPr>
                    <w:spacing w:line="240" w:lineRule="auto"/>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项目现场</w:t>
                  </w:r>
                </w:p>
              </w:tc>
              <w:tc>
                <w:tcPr>
                  <w:tcW w:w="3973" w:type="dxa"/>
                  <w:tcBorders>
                    <w:tl2br w:val="nil"/>
                    <w:tr2bl w:val="nil"/>
                  </w:tcBorders>
                  <w:noWrap w:val="0"/>
                  <w:vAlign w:val="top"/>
                </w:tcPr>
                <w:p w14:paraId="111E43A9">
                  <w:pPr>
                    <w:spacing w:line="240" w:lineRule="auto"/>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项目现场</w:t>
                  </w:r>
                </w:p>
              </w:tc>
            </w:tr>
          </w:tbl>
          <w:p w14:paraId="3ED5878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2" w:firstLineChars="200"/>
              <w:jc w:val="center"/>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eastAsia="宋体" w:cs="Times New Roman"/>
                <w:b/>
                <w:bCs w:val="0"/>
                <w:color w:val="auto"/>
                <w:sz w:val="24"/>
                <w:szCs w:val="24"/>
                <w:highlight w:val="none"/>
                <w:lang w:eastAsia="zh-CN"/>
              </w:rPr>
              <w:t>图</w:t>
            </w:r>
            <w:r>
              <w:rPr>
                <w:rFonts w:hint="default" w:ascii="Times New Roman" w:hAnsi="Times New Roman" w:eastAsia="宋体" w:cs="Times New Roman"/>
                <w:b/>
                <w:bCs w:val="0"/>
                <w:color w:val="auto"/>
                <w:sz w:val="24"/>
                <w:szCs w:val="24"/>
                <w:highlight w:val="none"/>
                <w:lang w:val="en-US" w:eastAsia="zh-CN"/>
              </w:rPr>
              <w:t>2-</w:t>
            </w:r>
            <w:r>
              <w:rPr>
                <w:rFonts w:hint="eastAsia" w:ascii="Times New Roman" w:hAnsi="Times New Roman"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lang w:val="en-US" w:eastAsia="zh-CN"/>
              </w:rPr>
              <w:t xml:space="preserve"> </w:t>
            </w:r>
            <w:r>
              <w:rPr>
                <w:rFonts w:hint="default" w:ascii="Times New Roman" w:hAnsi="Times New Roman" w:eastAsia="宋体" w:cs="Times New Roman"/>
                <w:b/>
                <w:bCs w:val="0"/>
                <w:color w:val="auto"/>
                <w:sz w:val="24"/>
                <w:szCs w:val="24"/>
                <w:highlight w:val="none"/>
                <w:lang w:eastAsia="zh-CN"/>
              </w:rPr>
              <w:t>项目</w:t>
            </w:r>
            <w:r>
              <w:rPr>
                <w:rFonts w:hint="default" w:ascii="Times New Roman" w:hAnsi="Times New Roman" w:eastAsia="宋体" w:cs="Times New Roman"/>
                <w:b/>
                <w:bCs w:val="0"/>
                <w:color w:val="auto"/>
                <w:sz w:val="24"/>
                <w:szCs w:val="24"/>
                <w:highlight w:val="none"/>
                <w:lang w:val="en-US" w:eastAsia="zh-CN"/>
              </w:rPr>
              <w:t>现场及</w:t>
            </w:r>
            <w:r>
              <w:rPr>
                <w:rFonts w:hint="default" w:ascii="Times New Roman" w:hAnsi="Times New Roman" w:eastAsia="宋体" w:cs="Times New Roman"/>
                <w:b/>
                <w:bCs w:val="0"/>
                <w:color w:val="auto"/>
                <w:sz w:val="24"/>
                <w:szCs w:val="24"/>
                <w:highlight w:val="none"/>
                <w:lang w:eastAsia="zh-CN"/>
              </w:rPr>
              <w:t>四周情况图</w:t>
            </w:r>
          </w:p>
          <w:p w14:paraId="137FA76B">
            <w:pPr>
              <w:pStyle w:val="14"/>
              <w:rPr>
                <w:rFonts w:hint="default" w:ascii="Times New Roman" w:hAnsi="Times New Roman" w:eastAsia="宋体" w:cs="Times New Roman"/>
                <w:b/>
                <w:bCs w:val="0"/>
                <w:color w:val="auto"/>
                <w:sz w:val="24"/>
                <w:szCs w:val="24"/>
                <w:highlight w:val="none"/>
                <w:lang w:eastAsia="zh-CN"/>
              </w:rPr>
            </w:pPr>
          </w:p>
          <w:p w14:paraId="09D34570">
            <w:pPr>
              <w:rPr>
                <w:rFonts w:hint="default" w:ascii="Times New Roman" w:hAnsi="Times New Roman" w:eastAsia="宋体" w:cs="Times New Roman"/>
                <w:b/>
                <w:bCs w:val="0"/>
                <w:color w:val="auto"/>
                <w:sz w:val="24"/>
                <w:szCs w:val="24"/>
                <w:highlight w:val="none"/>
                <w:lang w:eastAsia="zh-CN"/>
              </w:rPr>
            </w:pPr>
          </w:p>
          <w:p w14:paraId="2474D18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2" w:firstLineChars="200"/>
              <w:jc w:val="center"/>
              <w:textAlignment w:val="auto"/>
              <w:rPr>
                <w:rFonts w:hint="default" w:ascii="Times New Roman" w:hAnsi="Times New Roman" w:eastAsia="宋体" w:cs="Times New Roman"/>
                <w:b/>
                <w:bCs w:val="0"/>
                <w:color w:val="auto"/>
                <w:sz w:val="24"/>
                <w:szCs w:val="24"/>
                <w:highlight w:val="none"/>
                <w:lang w:eastAsia="zh-CN"/>
              </w:rPr>
            </w:pPr>
          </w:p>
          <w:p w14:paraId="0F50944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2" w:firstLineChars="200"/>
              <w:jc w:val="center"/>
              <w:textAlignment w:val="auto"/>
              <w:rPr>
                <w:rFonts w:hint="default" w:ascii="Times New Roman" w:hAnsi="Times New Roman" w:eastAsia="宋体" w:cs="Times New Roman"/>
                <w:b/>
                <w:bCs w:val="0"/>
                <w:color w:val="auto"/>
                <w:sz w:val="24"/>
                <w:szCs w:val="24"/>
                <w:highlight w:val="none"/>
                <w:lang w:eastAsia="zh-CN"/>
              </w:rPr>
            </w:pPr>
          </w:p>
          <w:p w14:paraId="5582680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2" w:firstLineChars="200"/>
              <w:jc w:val="center"/>
              <w:textAlignment w:val="auto"/>
              <w:rPr>
                <w:rFonts w:hint="default" w:ascii="Times New Roman" w:hAnsi="Times New Roman" w:eastAsia="宋体" w:cs="Times New Roman"/>
                <w:b/>
                <w:bCs w:val="0"/>
                <w:color w:val="auto"/>
                <w:sz w:val="24"/>
                <w:szCs w:val="24"/>
                <w:highlight w:val="none"/>
                <w:lang w:eastAsia="zh-CN"/>
              </w:rPr>
            </w:pPr>
          </w:p>
          <w:p w14:paraId="1213B31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2" w:firstLineChars="200"/>
              <w:jc w:val="center"/>
              <w:textAlignment w:val="auto"/>
              <w:rPr>
                <w:rFonts w:hint="default" w:ascii="Times New Roman" w:hAnsi="Times New Roman" w:eastAsia="宋体" w:cs="Times New Roman"/>
                <w:b/>
                <w:bCs w:val="0"/>
                <w:color w:val="auto"/>
                <w:sz w:val="24"/>
                <w:szCs w:val="24"/>
                <w:highlight w:val="none"/>
                <w:lang w:eastAsia="zh-CN"/>
              </w:rPr>
            </w:pPr>
          </w:p>
        </w:tc>
      </w:tr>
    </w:tbl>
    <w:p w14:paraId="1EA51A63">
      <w:pPr>
        <w:spacing w:before="59" w:line="219" w:lineRule="auto"/>
        <w:ind w:left="1650"/>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pacing w:val="-1"/>
          <w:sz w:val="30"/>
          <w:szCs w:val="30"/>
        </w:rPr>
        <w:t>三、区域环境质量现状、环境保护目标及评价标准</w:t>
      </w:r>
    </w:p>
    <w:tbl>
      <w:tblPr>
        <w:tblStyle w:val="21"/>
        <w:tblW w:w="986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79"/>
        <w:gridCol w:w="9285"/>
      </w:tblGrid>
      <w:tr w14:paraId="62C492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08" w:hRule="atLeast"/>
          <w:jc w:val="center"/>
        </w:trPr>
        <w:tc>
          <w:tcPr>
            <w:tcW w:w="579" w:type="dxa"/>
            <w:tcBorders>
              <w:right w:val="single" w:color="000000" w:sz="2" w:space="0"/>
            </w:tcBorders>
            <w:vAlign w:val="center"/>
          </w:tcPr>
          <w:p w14:paraId="3074A02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59"/>
              </w:rPr>
              <w:t>区域环境质量现状</w:t>
            </w:r>
          </w:p>
        </w:tc>
        <w:tc>
          <w:tcPr>
            <w:tcW w:w="9285" w:type="dxa"/>
            <w:tcBorders>
              <w:left w:val="single" w:color="000000" w:sz="2" w:space="0"/>
            </w:tcBorders>
            <w:vAlign w:val="top"/>
          </w:tcPr>
          <w:p w14:paraId="7A9D465C">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cs="Times New Roman"/>
                <w:b/>
                <w:bCs/>
                <w:color w:val="auto"/>
              </w:rPr>
            </w:pPr>
            <w:r>
              <w:rPr>
                <w:rFonts w:hint="default" w:ascii="Times New Roman" w:hAnsi="Times New Roman" w:cs="Times New Roman"/>
                <w:b/>
                <w:bCs/>
                <w:color w:val="auto"/>
              </w:rPr>
              <w:t>一、环境空气质量现状</w:t>
            </w:r>
          </w:p>
          <w:p w14:paraId="51ABDAF4">
            <w:pPr>
              <w:pStyle w:val="22"/>
              <w:keepNext w:val="0"/>
              <w:keepLines w:val="0"/>
              <w:pageBreakBefore w:val="0"/>
              <w:widowControl/>
              <w:kinsoku/>
              <w:wordWrap/>
              <w:overflowPunct/>
              <w:topLinePunct/>
              <w:autoSpaceDE w:val="0"/>
              <w:autoSpaceDN w:val="0"/>
              <w:bidi w:val="0"/>
              <w:adjustRightInd w:val="0"/>
              <w:snapToGrid w:val="0"/>
              <w:spacing w:line="360" w:lineRule="auto"/>
              <w:ind w:left="0" w:right="0" w:firstLine="508" w:firstLineChars="200"/>
              <w:textAlignment w:val="baseline"/>
              <w:rPr>
                <w:rFonts w:hint="default" w:ascii="Times New Roman" w:hAnsi="Times New Roman" w:cs="Times New Roman"/>
                <w:color w:val="auto"/>
                <w:highlight w:val="none"/>
              </w:rPr>
            </w:pPr>
            <w:r>
              <w:rPr>
                <w:rFonts w:hint="default" w:ascii="Times New Roman" w:hAnsi="Times New Roman" w:cs="Times New Roman"/>
                <w:color w:val="auto"/>
                <w:spacing w:val="7"/>
                <w:highlight w:val="none"/>
              </w:rPr>
              <w:t>根据</w:t>
            </w:r>
            <w:r>
              <w:rPr>
                <w:rFonts w:hint="default" w:ascii="Times New Roman" w:hAnsi="Times New Roman" w:eastAsia="Times New Roman" w:cs="Times New Roman"/>
                <w:color w:val="auto"/>
                <w:spacing w:val="7"/>
                <w:highlight w:val="none"/>
              </w:rPr>
              <w:t>202</w:t>
            </w:r>
            <w:r>
              <w:rPr>
                <w:rFonts w:hint="eastAsia" w:ascii="Times New Roman" w:hAnsi="Times New Roman" w:eastAsia="宋体" w:cs="Times New Roman"/>
                <w:color w:val="auto"/>
                <w:spacing w:val="7"/>
                <w:highlight w:val="none"/>
                <w:lang w:val="en-US" w:eastAsia="zh-CN"/>
              </w:rPr>
              <w:t>5</w:t>
            </w:r>
            <w:r>
              <w:rPr>
                <w:rFonts w:hint="default" w:ascii="Times New Roman" w:hAnsi="Times New Roman" w:cs="Times New Roman"/>
                <w:color w:val="auto"/>
                <w:spacing w:val="7"/>
                <w:highlight w:val="none"/>
              </w:rPr>
              <w:t>年</w:t>
            </w:r>
            <w:r>
              <w:rPr>
                <w:rFonts w:hint="eastAsia" w:ascii="Times New Roman" w:hAnsi="Times New Roman" w:eastAsia="宋体" w:cs="Times New Roman"/>
                <w:color w:val="auto"/>
                <w:spacing w:val="7"/>
                <w:highlight w:val="none"/>
                <w:lang w:val="en-US" w:eastAsia="zh-CN"/>
              </w:rPr>
              <w:t>1</w:t>
            </w:r>
            <w:r>
              <w:rPr>
                <w:rFonts w:hint="default" w:ascii="Times New Roman" w:hAnsi="Times New Roman" w:cs="Times New Roman"/>
                <w:color w:val="auto"/>
                <w:spacing w:val="7"/>
                <w:highlight w:val="none"/>
              </w:rPr>
              <w:t>月</w:t>
            </w:r>
            <w:r>
              <w:rPr>
                <w:rFonts w:hint="eastAsia" w:ascii="Times New Roman" w:hAnsi="Times New Roman" w:cs="Times New Roman"/>
                <w:color w:val="auto"/>
                <w:spacing w:val="7"/>
                <w:highlight w:val="none"/>
                <w:lang w:val="en-US" w:eastAsia="zh-CN"/>
              </w:rPr>
              <w:t>2</w:t>
            </w:r>
            <w:r>
              <w:rPr>
                <w:rFonts w:hint="default" w:ascii="Times New Roman" w:hAnsi="Times New Roman" w:eastAsia="Times New Roman" w:cs="Times New Roman"/>
                <w:color w:val="auto"/>
                <w:spacing w:val="7"/>
                <w:highlight w:val="none"/>
              </w:rPr>
              <w:t>7</w:t>
            </w:r>
            <w:r>
              <w:rPr>
                <w:rFonts w:hint="default" w:ascii="Times New Roman" w:hAnsi="Times New Roman" w:cs="Times New Roman"/>
                <w:color w:val="auto"/>
                <w:spacing w:val="7"/>
                <w:highlight w:val="none"/>
              </w:rPr>
              <w:t>日淄博市生态环境局下发的《</w:t>
            </w:r>
            <w:r>
              <w:rPr>
                <w:rFonts w:hint="default" w:ascii="Times New Roman" w:hAnsi="Times New Roman" w:eastAsia="Times New Roman" w:cs="Times New Roman"/>
                <w:color w:val="auto"/>
                <w:spacing w:val="7"/>
                <w:highlight w:val="none"/>
              </w:rPr>
              <w:t>202</w:t>
            </w:r>
            <w:r>
              <w:rPr>
                <w:rFonts w:hint="eastAsia" w:ascii="Times New Roman" w:hAnsi="Times New Roman" w:eastAsia="宋体" w:cs="Times New Roman"/>
                <w:color w:val="auto"/>
                <w:spacing w:val="7"/>
                <w:highlight w:val="none"/>
                <w:lang w:val="en-US" w:eastAsia="zh-CN"/>
              </w:rPr>
              <w:t>4</w:t>
            </w:r>
            <w:r>
              <w:rPr>
                <w:rFonts w:hint="default" w:ascii="Times New Roman" w:hAnsi="Times New Roman" w:cs="Times New Roman"/>
                <w:color w:val="auto"/>
                <w:spacing w:val="7"/>
                <w:highlight w:val="none"/>
              </w:rPr>
              <w:t>年</w:t>
            </w:r>
            <w:r>
              <w:rPr>
                <w:rFonts w:hint="default" w:ascii="Times New Roman" w:hAnsi="Times New Roman" w:eastAsia="Times New Roman" w:cs="Times New Roman"/>
                <w:color w:val="auto"/>
                <w:spacing w:val="7"/>
                <w:highlight w:val="none"/>
              </w:rPr>
              <w:t>12</w:t>
            </w:r>
            <w:r>
              <w:rPr>
                <w:rFonts w:hint="default" w:ascii="Times New Roman" w:hAnsi="Times New Roman" w:cs="Times New Roman"/>
                <w:color w:val="auto"/>
                <w:spacing w:val="7"/>
                <w:highlight w:val="none"/>
              </w:rPr>
              <w:t>月份及全年环境空气质量情况通</w:t>
            </w:r>
            <w:r>
              <w:rPr>
                <w:rFonts w:hint="default" w:ascii="Times New Roman" w:hAnsi="Times New Roman" w:cs="Times New Roman"/>
                <w:color w:val="auto"/>
                <w:spacing w:val="2"/>
                <w:highlight w:val="none"/>
              </w:rPr>
              <w:t>报》，</w:t>
            </w:r>
            <w:r>
              <w:rPr>
                <w:rFonts w:hint="default" w:ascii="Times New Roman" w:hAnsi="Times New Roman" w:eastAsia="Times New Roman" w:cs="Times New Roman"/>
                <w:color w:val="auto"/>
                <w:spacing w:val="2"/>
                <w:highlight w:val="none"/>
              </w:rPr>
              <w:t>2024年12月份，全市良好天数28天（国控），同比增加8天。其中，二氧化硫（SO</w:t>
            </w:r>
            <w:r>
              <w:rPr>
                <w:rFonts w:hint="default" w:ascii="Times New Roman" w:hAnsi="Times New Roman" w:eastAsia="Times New Roman" w:cs="Times New Roman"/>
                <w:color w:val="auto"/>
                <w:spacing w:val="2"/>
                <w:highlight w:val="none"/>
                <w:vertAlign w:val="subscript"/>
              </w:rPr>
              <w:t>2</w:t>
            </w:r>
            <w:r>
              <w:rPr>
                <w:rFonts w:hint="default" w:ascii="Times New Roman" w:hAnsi="Times New Roman" w:eastAsia="Times New Roman" w:cs="Times New Roman"/>
                <w:color w:val="auto"/>
                <w:spacing w:val="2"/>
                <w:highlight w:val="none"/>
              </w:rPr>
              <w:t>）18微克/立方米，同比恶化50.0%；二氧化氮（NO</w:t>
            </w:r>
            <w:r>
              <w:rPr>
                <w:rFonts w:hint="default" w:ascii="Times New Roman" w:hAnsi="Times New Roman" w:eastAsia="Times New Roman" w:cs="Times New Roman"/>
                <w:color w:val="auto"/>
                <w:spacing w:val="2"/>
                <w:highlight w:val="none"/>
                <w:vertAlign w:val="subscript"/>
              </w:rPr>
              <w:t>2</w:t>
            </w:r>
            <w:r>
              <w:rPr>
                <w:rFonts w:hint="default" w:ascii="Times New Roman" w:hAnsi="Times New Roman" w:eastAsia="Times New Roman" w:cs="Times New Roman"/>
                <w:color w:val="auto"/>
                <w:spacing w:val="2"/>
                <w:highlight w:val="none"/>
              </w:rPr>
              <w:t>）50微克/立方米，同比恶化13.6%；可吸入颗粒物（PM</w:t>
            </w:r>
            <w:r>
              <w:rPr>
                <w:rFonts w:hint="default" w:ascii="Times New Roman" w:hAnsi="Times New Roman" w:eastAsia="Times New Roman" w:cs="Times New Roman"/>
                <w:color w:val="auto"/>
                <w:spacing w:val="2"/>
                <w:highlight w:val="none"/>
                <w:vertAlign w:val="subscript"/>
              </w:rPr>
              <w:t>10</w:t>
            </w:r>
            <w:r>
              <w:rPr>
                <w:rFonts w:hint="default" w:ascii="Times New Roman" w:hAnsi="Times New Roman" w:eastAsia="Times New Roman" w:cs="Times New Roman"/>
                <w:color w:val="auto"/>
                <w:spacing w:val="2"/>
                <w:highlight w:val="none"/>
              </w:rPr>
              <w:t>）87微克/立方米，同比改善12.1%；细颗粒物（PM</w:t>
            </w:r>
            <w:r>
              <w:rPr>
                <w:rFonts w:hint="default" w:ascii="Times New Roman" w:hAnsi="Times New Roman" w:eastAsia="Times New Roman" w:cs="Times New Roman"/>
                <w:color w:val="auto"/>
                <w:spacing w:val="2"/>
                <w:highlight w:val="none"/>
                <w:vertAlign w:val="subscript"/>
              </w:rPr>
              <w:t>2.5</w:t>
            </w:r>
            <w:r>
              <w:rPr>
                <w:rFonts w:hint="default" w:ascii="Times New Roman" w:hAnsi="Times New Roman" w:eastAsia="Times New Roman" w:cs="Times New Roman"/>
                <w:color w:val="auto"/>
                <w:spacing w:val="2"/>
                <w:highlight w:val="none"/>
              </w:rPr>
              <w:t>）50微克/立方米，同比改善27.5%；一氧化碳（CO）1.5毫克/立方米，同比改善21.1%；臭氧（O</w:t>
            </w:r>
            <w:r>
              <w:rPr>
                <w:rFonts w:hint="default" w:ascii="Times New Roman" w:hAnsi="Times New Roman" w:eastAsia="Times New Roman" w:cs="Times New Roman"/>
                <w:color w:val="auto"/>
                <w:spacing w:val="2"/>
                <w:highlight w:val="none"/>
                <w:vertAlign w:val="subscript"/>
              </w:rPr>
              <w:t>3</w:t>
            </w:r>
            <w:r>
              <w:rPr>
                <w:rFonts w:hint="default" w:ascii="Times New Roman" w:hAnsi="Times New Roman" w:eastAsia="Times New Roman" w:cs="Times New Roman"/>
                <w:color w:val="auto"/>
                <w:spacing w:val="2"/>
                <w:highlight w:val="none"/>
              </w:rPr>
              <w:t>）63微克/立方米，同比改善13.7%。全市综合指数为4.99，同比改善11.2%</w:t>
            </w:r>
            <w:r>
              <w:rPr>
                <w:rFonts w:hint="default" w:ascii="Times New Roman" w:hAnsi="Times New Roman" w:cs="Times New Roman"/>
                <w:color w:val="auto"/>
                <w:spacing w:val="2"/>
                <w:highlight w:val="none"/>
              </w:rPr>
              <w:t>。</w:t>
            </w:r>
          </w:p>
          <w:p w14:paraId="2970B441">
            <w:pPr>
              <w:pStyle w:val="22"/>
              <w:keepNext w:val="0"/>
              <w:keepLines w:val="0"/>
              <w:pageBreakBefore w:val="0"/>
              <w:widowControl/>
              <w:kinsoku/>
              <w:wordWrap/>
              <w:overflowPunct/>
              <w:topLinePunct/>
              <w:autoSpaceDE w:val="0"/>
              <w:autoSpaceDN w:val="0"/>
              <w:bidi w:val="0"/>
              <w:adjustRightInd w:val="0"/>
              <w:snapToGrid w:val="0"/>
              <w:spacing w:line="360" w:lineRule="auto"/>
              <w:ind w:left="0" w:right="0" w:firstLine="492"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cs="Times New Roman"/>
                <w:color w:val="auto"/>
                <w:spacing w:val="3"/>
              </w:rPr>
              <w:t>淄博</w:t>
            </w:r>
            <w:r>
              <w:rPr>
                <w:rFonts w:hint="eastAsia" w:ascii="Times New Roman" w:hAnsi="Times New Roman" w:cs="Times New Roman"/>
                <w:color w:val="auto"/>
                <w:spacing w:val="3"/>
                <w:lang w:eastAsia="zh-CN"/>
              </w:rPr>
              <w:t>淄川区</w:t>
            </w:r>
            <w:r>
              <w:rPr>
                <w:rFonts w:hint="default" w:ascii="Times New Roman" w:hAnsi="Times New Roman" w:eastAsia="Times New Roman" w:cs="Times New Roman"/>
                <w:color w:val="auto"/>
                <w:spacing w:val="3"/>
              </w:rPr>
              <w:t>202</w:t>
            </w:r>
            <w:r>
              <w:rPr>
                <w:rFonts w:hint="eastAsia" w:ascii="Times New Roman" w:hAnsi="Times New Roman" w:eastAsia="宋体" w:cs="Times New Roman"/>
                <w:color w:val="auto"/>
                <w:spacing w:val="3"/>
                <w:lang w:val="en-US" w:eastAsia="zh-CN"/>
              </w:rPr>
              <w:t>4</w:t>
            </w:r>
            <w:r>
              <w:rPr>
                <w:rFonts w:hint="default" w:ascii="Times New Roman" w:hAnsi="Times New Roman" w:cs="Times New Roman"/>
                <w:color w:val="auto"/>
                <w:spacing w:val="3"/>
              </w:rPr>
              <w:t>年全年主要污染物的平均浓度见下表。根据《环境影响评价技术</w:t>
            </w:r>
            <w:r>
              <w:rPr>
                <w:rFonts w:hint="default" w:ascii="Times New Roman" w:hAnsi="Times New Roman" w:cs="Times New Roman"/>
                <w:color w:val="auto"/>
                <w:spacing w:val="2"/>
              </w:rPr>
              <w:t>导则大气</w:t>
            </w:r>
            <w:r>
              <w:rPr>
                <w:rFonts w:hint="default" w:ascii="Times New Roman" w:hAnsi="Times New Roman" w:cs="Times New Roman"/>
                <w:color w:val="auto"/>
                <w:spacing w:val="3"/>
              </w:rPr>
              <w:t>环境》（</w:t>
            </w:r>
            <w:r>
              <w:rPr>
                <w:rFonts w:hint="default" w:ascii="Times New Roman" w:hAnsi="Times New Roman" w:eastAsia="Times New Roman" w:cs="Times New Roman"/>
                <w:color w:val="auto"/>
              </w:rPr>
              <w:t>HJ</w:t>
            </w:r>
            <w:r>
              <w:rPr>
                <w:rFonts w:hint="default" w:ascii="Times New Roman" w:hAnsi="Times New Roman" w:eastAsia="Times New Roman" w:cs="Times New Roman"/>
                <w:color w:val="auto"/>
                <w:spacing w:val="3"/>
              </w:rPr>
              <w:t>2.2-2018</w:t>
            </w:r>
            <w:r>
              <w:rPr>
                <w:rFonts w:hint="default" w:ascii="Times New Roman" w:hAnsi="Times New Roman" w:cs="Times New Roman"/>
                <w:color w:val="auto"/>
                <w:spacing w:val="3"/>
              </w:rPr>
              <w:t>）对项目所在区域环境空气质量进行达标判断，见下表</w:t>
            </w:r>
            <w:r>
              <w:rPr>
                <w:rFonts w:hint="default" w:ascii="Times New Roman" w:hAnsi="Times New Roman" w:eastAsia="宋体" w:cs="Times New Roman"/>
                <w:color w:val="auto"/>
                <w:spacing w:val="-1"/>
                <w:sz w:val="24"/>
                <w:szCs w:val="24"/>
              </w:rPr>
              <w:t>：</w:t>
            </w:r>
          </w:p>
          <w:p w14:paraId="1776C225">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snapToGrid w:val="0"/>
                <w:color w:val="auto"/>
                <w:kern w:val="0"/>
                <w:sz w:val="24"/>
                <w:szCs w:val="24"/>
                <w:highlight w:val="none"/>
                <w:lang w:val="en-US" w:eastAsia="en-US" w:bidi="ar-SA"/>
              </w:rPr>
            </w:pPr>
            <w:r>
              <w:rPr>
                <w:rFonts w:hint="default" w:ascii="Times New Roman" w:hAnsi="Times New Roman" w:eastAsia="宋体" w:cs="Times New Roman"/>
                <w:b/>
                <w:bCs/>
                <w:snapToGrid w:val="0"/>
                <w:color w:val="auto"/>
                <w:kern w:val="0"/>
                <w:sz w:val="24"/>
                <w:szCs w:val="24"/>
                <w:highlight w:val="none"/>
                <w:lang w:val="en-US" w:eastAsia="en-US" w:bidi="ar-SA"/>
              </w:rPr>
              <w:t xml:space="preserve">表3-1  </w:t>
            </w:r>
            <w:r>
              <w:rPr>
                <w:rFonts w:hint="eastAsia" w:ascii="Times New Roman" w:hAnsi="Times New Roman" w:cs="Times New Roman"/>
                <w:b/>
                <w:bCs/>
                <w:snapToGrid w:val="0"/>
                <w:color w:val="auto"/>
                <w:kern w:val="0"/>
                <w:sz w:val="24"/>
                <w:szCs w:val="24"/>
                <w:highlight w:val="none"/>
                <w:lang w:val="en-US" w:eastAsia="zh-CN" w:bidi="ar-SA"/>
              </w:rPr>
              <w:t>淄川区</w:t>
            </w:r>
            <w:r>
              <w:rPr>
                <w:rFonts w:hint="default" w:ascii="Times New Roman" w:hAnsi="Times New Roman" w:eastAsia="宋体" w:cs="Times New Roman"/>
                <w:b/>
                <w:bCs/>
                <w:snapToGrid w:val="0"/>
                <w:color w:val="auto"/>
                <w:kern w:val="0"/>
                <w:sz w:val="24"/>
                <w:szCs w:val="24"/>
                <w:highlight w:val="none"/>
                <w:lang w:val="en-US" w:eastAsia="en-US" w:bidi="ar-SA"/>
              </w:rPr>
              <w:t>202</w:t>
            </w:r>
            <w:r>
              <w:rPr>
                <w:rFonts w:hint="eastAsia" w:ascii="Times New Roman" w:hAnsi="Times New Roman" w:cs="Times New Roman"/>
                <w:b/>
                <w:bCs/>
                <w:snapToGrid w:val="0"/>
                <w:color w:val="auto"/>
                <w:kern w:val="0"/>
                <w:sz w:val="24"/>
                <w:szCs w:val="24"/>
                <w:highlight w:val="none"/>
                <w:lang w:val="en-US" w:eastAsia="zh-CN" w:bidi="ar-SA"/>
              </w:rPr>
              <w:t>4</w:t>
            </w:r>
            <w:r>
              <w:rPr>
                <w:rFonts w:hint="default" w:ascii="Times New Roman" w:hAnsi="Times New Roman" w:eastAsia="宋体" w:cs="Times New Roman"/>
                <w:b/>
                <w:bCs/>
                <w:snapToGrid w:val="0"/>
                <w:color w:val="auto"/>
                <w:kern w:val="0"/>
                <w:sz w:val="24"/>
                <w:szCs w:val="24"/>
                <w:highlight w:val="none"/>
                <w:lang w:val="en-US" w:eastAsia="en-US" w:bidi="ar-SA"/>
              </w:rPr>
              <w:t>年度环境质量情况</w:t>
            </w:r>
          </w:p>
          <w:p w14:paraId="52B4E7DF">
            <w:pPr>
              <w:spacing w:line="123" w:lineRule="exact"/>
              <w:rPr>
                <w:rFonts w:hint="default" w:ascii="Times New Roman" w:hAnsi="Times New Roman" w:cs="Times New Roman"/>
                <w:color w:val="auto"/>
              </w:rPr>
            </w:pPr>
          </w:p>
          <w:tbl>
            <w:tblPr>
              <w:tblStyle w:val="21"/>
              <w:tblW w:w="907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32"/>
              <w:gridCol w:w="978"/>
              <w:gridCol w:w="2614"/>
              <w:gridCol w:w="1308"/>
              <w:gridCol w:w="1148"/>
              <w:gridCol w:w="1075"/>
              <w:gridCol w:w="916"/>
            </w:tblGrid>
            <w:tr w14:paraId="566E48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7" w:hRule="atLeast"/>
                <w:jc w:val="center"/>
              </w:trPr>
              <w:tc>
                <w:tcPr>
                  <w:tcW w:w="1032" w:type="dxa"/>
                  <w:vAlign w:val="center"/>
                </w:tcPr>
                <w:p w14:paraId="1117F6AB">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污染物</w:t>
                  </w:r>
                </w:p>
              </w:tc>
              <w:tc>
                <w:tcPr>
                  <w:tcW w:w="978" w:type="dxa"/>
                  <w:vAlign w:val="center"/>
                </w:tcPr>
                <w:p w14:paraId="3DE8CE0E">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单位</w:t>
                  </w:r>
                </w:p>
              </w:tc>
              <w:tc>
                <w:tcPr>
                  <w:tcW w:w="2614" w:type="dxa"/>
                  <w:vAlign w:val="center"/>
                </w:tcPr>
                <w:p w14:paraId="583A7C19">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7"/>
                      <w:sz w:val="21"/>
                      <w:szCs w:val="21"/>
                    </w:rPr>
                    <w:t>年评价指标</w:t>
                  </w:r>
                </w:p>
              </w:tc>
              <w:tc>
                <w:tcPr>
                  <w:tcW w:w="1308" w:type="dxa"/>
                  <w:vAlign w:val="center"/>
                </w:tcPr>
                <w:p w14:paraId="56CD9B8D">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现状浓度</w:t>
                  </w:r>
                </w:p>
              </w:tc>
              <w:tc>
                <w:tcPr>
                  <w:tcW w:w="1148" w:type="dxa"/>
                  <w:vAlign w:val="center"/>
                </w:tcPr>
                <w:p w14:paraId="648D9A77">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7"/>
                      <w:sz w:val="21"/>
                      <w:szCs w:val="21"/>
                    </w:rPr>
                    <w:t>评价标准</w:t>
                  </w:r>
                </w:p>
              </w:tc>
              <w:tc>
                <w:tcPr>
                  <w:tcW w:w="1075" w:type="dxa"/>
                  <w:vAlign w:val="center"/>
                </w:tcPr>
                <w:p w14:paraId="2BB68BDA">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占标率</w:t>
                  </w:r>
                </w:p>
              </w:tc>
              <w:tc>
                <w:tcPr>
                  <w:tcW w:w="916" w:type="dxa"/>
                  <w:vAlign w:val="center"/>
                </w:tcPr>
                <w:p w14:paraId="6EF57A50">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5"/>
                      <w:sz w:val="21"/>
                      <w:szCs w:val="21"/>
                    </w:rPr>
                    <w:t>达标</w:t>
                  </w:r>
                  <w:r>
                    <w:rPr>
                      <w:rFonts w:hint="default" w:ascii="Times New Roman" w:hAnsi="Times New Roman" w:eastAsia="宋体" w:cs="Times New Roman"/>
                      <w:b/>
                      <w:bCs/>
                      <w:color w:val="auto"/>
                      <w:spacing w:val="4"/>
                      <w:sz w:val="21"/>
                      <w:szCs w:val="21"/>
                    </w:rPr>
                    <w:t>情况</w:t>
                  </w:r>
                </w:p>
              </w:tc>
            </w:tr>
            <w:tr w14:paraId="345D0E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1032" w:type="dxa"/>
                  <w:vAlign w:val="center"/>
                </w:tcPr>
                <w:p w14:paraId="6CB46EC6">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pacing w:val="6"/>
                      <w:position w:val="-1"/>
                      <w:sz w:val="21"/>
                      <w:szCs w:val="21"/>
                      <w:vertAlign w:val="subscript"/>
                    </w:rPr>
                    <w:t>2</w:t>
                  </w:r>
                </w:p>
              </w:tc>
              <w:tc>
                <w:tcPr>
                  <w:tcW w:w="978" w:type="dxa"/>
                  <w:vAlign w:val="center"/>
                </w:tcPr>
                <w:p w14:paraId="7AB499C1">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rPr>
                    <w:t>µg/m</w:t>
                  </w:r>
                  <w:r>
                    <w:rPr>
                      <w:rFonts w:hint="default" w:ascii="Times New Roman" w:hAnsi="Times New Roman" w:eastAsia="宋体" w:cs="Times New Roman"/>
                      <w:color w:val="auto"/>
                      <w:spacing w:val="2"/>
                      <w:sz w:val="21"/>
                      <w:szCs w:val="21"/>
                      <w:vertAlign w:val="superscript"/>
                      <w:lang w:val="en-US" w:eastAsia="zh-CN"/>
                    </w:rPr>
                    <w:t>3</w:t>
                  </w:r>
                </w:p>
              </w:tc>
              <w:tc>
                <w:tcPr>
                  <w:tcW w:w="2614" w:type="dxa"/>
                  <w:vAlign w:val="center"/>
                </w:tcPr>
                <w:p w14:paraId="72958370">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年平均质量浓度</w:t>
                  </w:r>
                </w:p>
              </w:tc>
              <w:tc>
                <w:tcPr>
                  <w:tcW w:w="1308" w:type="dxa"/>
                  <w:vAlign w:val="center"/>
                </w:tcPr>
                <w:p w14:paraId="6030CC38">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1148" w:type="dxa"/>
                  <w:vAlign w:val="center"/>
                </w:tcPr>
                <w:p w14:paraId="63623D27">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75" w:type="dxa"/>
                  <w:vAlign w:val="center"/>
                </w:tcPr>
                <w:p w14:paraId="2F77BB2D">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20%</w:t>
                  </w:r>
                </w:p>
              </w:tc>
              <w:tc>
                <w:tcPr>
                  <w:tcW w:w="916" w:type="dxa"/>
                  <w:vAlign w:val="center"/>
                </w:tcPr>
                <w:p w14:paraId="5F69CFF9">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14:paraId="7C74D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1032" w:type="dxa"/>
                  <w:vAlign w:val="center"/>
                </w:tcPr>
                <w:p w14:paraId="2591F496">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NO</w:t>
                  </w:r>
                  <w:r>
                    <w:rPr>
                      <w:rFonts w:hint="default" w:ascii="Times New Roman" w:hAnsi="Times New Roman" w:eastAsia="宋体" w:cs="Times New Roman"/>
                      <w:color w:val="auto"/>
                      <w:spacing w:val="6"/>
                      <w:position w:val="-1"/>
                      <w:sz w:val="21"/>
                      <w:szCs w:val="21"/>
                      <w:vertAlign w:val="subscript"/>
                    </w:rPr>
                    <w:t>2</w:t>
                  </w:r>
                </w:p>
              </w:tc>
              <w:tc>
                <w:tcPr>
                  <w:tcW w:w="978" w:type="dxa"/>
                  <w:vAlign w:val="center"/>
                </w:tcPr>
                <w:p w14:paraId="54C70BFE">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µg/m</w:t>
                  </w:r>
                  <w:r>
                    <w:rPr>
                      <w:rFonts w:hint="default" w:ascii="Times New Roman" w:hAnsi="Times New Roman" w:eastAsia="宋体" w:cs="Times New Roman"/>
                      <w:color w:val="auto"/>
                      <w:spacing w:val="2"/>
                      <w:sz w:val="21"/>
                      <w:szCs w:val="21"/>
                      <w:vertAlign w:val="superscript"/>
                      <w:lang w:val="en-US" w:eastAsia="zh-CN"/>
                    </w:rPr>
                    <w:t>3</w:t>
                  </w:r>
                </w:p>
              </w:tc>
              <w:tc>
                <w:tcPr>
                  <w:tcW w:w="2614" w:type="dxa"/>
                  <w:vAlign w:val="center"/>
                </w:tcPr>
                <w:p w14:paraId="70908596">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年平均质量浓度</w:t>
                  </w:r>
                </w:p>
              </w:tc>
              <w:tc>
                <w:tcPr>
                  <w:tcW w:w="1308" w:type="dxa"/>
                  <w:vAlign w:val="center"/>
                </w:tcPr>
                <w:p w14:paraId="59F7625A">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1148" w:type="dxa"/>
                  <w:vAlign w:val="center"/>
                </w:tcPr>
                <w:p w14:paraId="40740626">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40</w:t>
                  </w:r>
                </w:p>
              </w:tc>
              <w:tc>
                <w:tcPr>
                  <w:tcW w:w="1075" w:type="dxa"/>
                  <w:vAlign w:val="center"/>
                </w:tcPr>
                <w:p w14:paraId="36254DEA">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75%</w:t>
                  </w:r>
                </w:p>
              </w:tc>
              <w:tc>
                <w:tcPr>
                  <w:tcW w:w="916" w:type="dxa"/>
                  <w:vAlign w:val="center"/>
                </w:tcPr>
                <w:p w14:paraId="7BE87059">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14:paraId="6601C0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1032" w:type="dxa"/>
                  <w:vAlign w:val="center"/>
                </w:tcPr>
                <w:p w14:paraId="307F2C12">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pacing w:val="12"/>
                      <w:position w:val="-1"/>
                      <w:sz w:val="21"/>
                      <w:szCs w:val="21"/>
                      <w:vertAlign w:val="subscript"/>
                    </w:rPr>
                    <w:t>10</w:t>
                  </w:r>
                </w:p>
              </w:tc>
              <w:tc>
                <w:tcPr>
                  <w:tcW w:w="978" w:type="dxa"/>
                  <w:vAlign w:val="center"/>
                </w:tcPr>
                <w:p w14:paraId="1F8F4A31">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µg/m</w:t>
                  </w:r>
                  <w:r>
                    <w:rPr>
                      <w:rFonts w:hint="default" w:ascii="Times New Roman" w:hAnsi="Times New Roman" w:eastAsia="宋体" w:cs="Times New Roman"/>
                      <w:color w:val="auto"/>
                      <w:spacing w:val="2"/>
                      <w:sz w:val="21"/>
                      <w:szCs w:val="21"/>
                      <w:vertAlign w:val="superscript"/>
                      <w:lang w:val="en-US" w:eastAsia="zh-CN"/>
                    </w:rPr>
                    <w:t>3</w:t>
                  </w:r>
                </w:p>
              </w:tc>
              <w:tc>
                <w:tcPr>
                  <w:tcW w:w="2614" w:type="dxa"/>
                  <w:vAlign w:val="center"/>
                </w:tcPr>
                <w:p w14:paraId="521D6AB8">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年平均质量浓度</w:t>
                  </w:r>
                </w:p>
              </w:tc>
              <w:tc>
                <w:tcPr>
                  <w:tcW w:w="1308" w:type="dxa"/>
                  <w:vAlign w:val="center"/>
                </w:tcPr>
                <w:p w14:paraId="014E8EAF">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69</w:t>
                  </w:r>
                </w:p>
              </w:tc>
              <w:tc>
                <w:tcPr>
                  <w:tcW w:w="1148" w:type="dxa"/>
                  <w:vAlign w:val="center"/>
                </w:tcPr>
                <w:p w14:paraId="1B57D2F0">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70</w:t>
                  </w:r>
                </w:p>
              </w:tc>
              <w:tc>
                <w:tcPr>
                  <w:tcW w:w="1075" w:type="dxa"/>
                  <w:vAlign w:val="center"/>
                </w:tcPr>
                <w:p w14:paraId="408D79E0">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99%</w:t>
                  </w:r>
                </w:p>
              </w:tc>
              <w:tc>
                <w:tcPr>
                  <w:tcW w:w="916" w:type="dxa"/>
                  <w:vAlign w:val="center"/>
                </w:tcPr>
                <w:p w14:paraId="7D43B43A">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14:paraId="51C3CF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1032" w:type="dxa"/>
                  <w:vAlign w:val="center"/>
                </w:tcPr>
                <w:p w14:paraId="5909BBE0">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pacing w:val="8"/>
                      <w:position w:val="-1"/>
                      <w:sz w:val="21"/>
                      <w:szCs w:val="21"/>
                      <w:vertAlign w:val="subscript"/>
                    </w:rPr>
                    <w:t>2.5</w:t>
                  </w:r>
                </w:p>
              </w:tc>
              <w:tc>
                <w:tcPr>
                  <w:tcW w:w="978" w:type="dxa"/>
                  <w:vAlign w:val="center"/>
                </w:tcPr>
                <w:p w14:paraId="263A0D86">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µg/m</w:t>
                  </w:r>
                  <w:r>
                    <w:rPr>
                      <w:rFonts w:hint="default" w:ascii="Times New Roman" w:hAnsi="Times New Roman" w:eastAsia="宋体" w:cs="Times New Roman"/>
                      <w:color w:val="auto"/>
                      <w:spacing w:val="2"/>
                      <w:sz w:val="21"/>
                      <w:szCs w:val="21"/>
                      <w:vertAlign w:val="superscript"/>
                      <w:lang w:val="en-US" w:eastAsia="zh-CN"/>
                    </w:rPr>
                    <w:t>3</w:t>
                  </w:r>
                </w:p>
              </w:tc>
              <w:tc>
                <w:tcPr>
                  <w:tcW w:w="2614" w:type="dxa"/>
                  <w:vAlign w:val="center"/>
                </w:tcPr>
                <w:p w14:paraId="3D446E99">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年平均质量浓度</w:t>
                  </w:r>
                </w:p>
              </w:tc>
              <w:tc>
                <w:tcPr>
                  <w:tcW w:w="1308" w:type="dxa"/>
                  <w:vAlign w:val="center"/>
                </w:tcPr>
                <w:p w14:paraId="47CAA50F">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42</w:t>
                  </w:r>
                </w:p>
              </w:tc>
              <w:tc>
                <w:tcPr>
                  <w:tcW w:w="1148" w:type="dxa"/>
                  <w:vAlign w:val="center"/>
                </w:tcPr>
                <w:p w14:paraId="08A1A56F">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35</w:t>
                  </w:r>
                </w:p>
              </w:tc>
              <w:tc>
                <w:tcPr>
                  <w:tcW w:w="1075" w:type="dxa"/>
                  <w:vAlign w:val="center"/>
                </w:tcPr>
                <w:p w14:paraId="56302382">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120%</w:t>
                  </w:r>
                </w:p>
              </w:tc>
              <w:tc>
                <w:tcPr>
                  <w:tcW w:w="916" w:type="dxa"/>
                  <w:vAlign w:val="center"/>
                </w:tcPr>
                <w:p w14:paraId="33534B31">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超标</w:t>
                  </w:r>
                </w:p>
              </w:tc>
            </w:tr>
            <w:tr w14:paraId="739BEE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1032" w:type="dxa"/>
                  <w:vAlign w:val="center"/>
                </w:tcPr>
                <w:p w14:paraId="09655ED1">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CO</w:t>
                  </w:r>
                </w:p>
              </w:tc>
              <w:tc>
                <w:tcPr>
                  <w:tcW w:w="978" w:type="dxa"/>
                  <w:vAlign w:val="center"/>
                </w:tcPr>
                <w:p w14:paraId="5E0014D3">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pacing w:val="8"/>
                      <w:sz w:val="21"/>
                      <w:szCs w:val="21"/>
                    </w:rPr>
                    <w:t>/m</w:t>
                  </w:r>
                  <w:r>
                    <w:rPr>
                      <w:rFonts w:hint="default" w:ascii="Times New Roman" w:hAnsi="Times New Roman" w:eastAsia="宋体" w:cs="Times New Roman"/>
                      <w:color w:val="auto"/>
                      <w:spacing w:val="2"/>
                      <w:sz w:val="21"/>
                      <w:szCs w:val="21"/>
                      <w:vertAlign w:val="superscript"/>
                      <w:lang w:val="en-US" w:eastAsia="zh-CN"/>
                    </w:rPr>
                    <w:t>3</w:t>
                  </w:r>
                </w:p>
              </w:tc>
              <w:tc>
                <w:tcPr>
                  <w:tcW w:w="2614" w:type="dxa"/>
                  <w:vAlign w:val="center"/>
                </w:tcPr>
                <w:p w14:paraId="46FD4FFE">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95%保证率日平均浓度</w:t>
                  </w:r>
                </w:p>
              </w:tc>
              <w:tc>
                <w:tcPr>
                  <w:tcW w:w="1308" w:type="dxa"/>
                  <w:vAlign w:val="center"/>
                </w:tcPr>
                <w:p w14:paraId="201F94EF">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1148" w:type="dxa"/>
                  <w:vAlign w:val="center"/>
                </w:tcPr>
                <w:p w14:paraId="3C49FD6D">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4</w:t>
                  </w:r>
                </w:p>
              </w:tc>
              <w:tc>
                <w:tcPr>
                  <w:tcW w:w="1075" w:type="dxa"/>
                  <w:vAlign w:val="center"/>
                </w:tcPr>
                <w:p w14:paraId="7CC6382E">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30%</w:t>
                  </w:r>
                </w:p>
              </w:tc>
              <w:tc>
                <w:tcPr>
                  <w:tcW w:w="916" w:type="dxa"/>
                  <w:vAlign w:val="center"/>
                </w:tcPr>
                <w:p w14:paraId="6FBD9879">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14:paraId="7A66FD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7" w:hRule="atLeast"/>
                <w:jc w:val="center"/>
              </w:trPr>
              <w:tc>
                <w:tcPr>
                  <w:tcW w:w="1032" w:type="dxa"/>
                  <w:vAlign w:val="center"/>
                </w:tcPr>
                <w:p w14:paraId="5A2E270D">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O</w:t>
                  </w:r>
                  <w:r>
                    <w:rPr>
                      <w:rFonts w:hint="default" w:ascii="Times New Roman" w:hAnsi="Times New Roman" w:eastAsia="宋体" w:cs="Times New Roman"/>
                      <w:color w:val="auto"/>
                      <w:spacing w:val="2"/>
                      <w:position w:val="-1"/>
                      <w:sz w:val="21"/>
                      <w:szCs w:val="21"/>
                      <w:vertAlign w:val="subscript"/>
                    </w:rPr>
                    <w:t>3</w:t>
                  </w:r>
                </w:p>
              </w:tc>
              <w:tc>
                <w:tcPr>
                  <w:tcW w:w="978" w:type="dxa"/>
                  <w:vAlign w:val="center"/>
                </w:tcPr>
                <w:p w14:paraId="223FBE40">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µg/m</w:t>
                  </w:r>
                  <w:r>
                    <w:rPr>
                      <w:rFonts w:hint="default" w:ascii="Times New Roman" w:hAnsi="Times New Roman" w:eastAsia="宋体" w:cs="Times New Roman"/>
                      <w:color w:val="auto"/>
                      <w:spacing w:val="2"/>
                      <w:sz w:val="21"/>
                      <w:szCs w:val="21"/>
                      <w:vertAlign w:val="superscript"/>
                      <w:lang w:val="en-US" w:eastAsia="zh-CN"/>
                    </w:rPr>
                    <w:t>3</w:t>
                  </w:r>
                </w:p>
              </w:tc>
              <w:tc>
                <w:tcPr>
                  <w:tcW w:w="2614" w:type="dxa"/>
                  <w:vAlign w:val="center"/>
                </w:tcPr>
                <w:p w14:paraId="017902BF">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90%保证率日最大8h平</w:t>
                  </w:r>
                  <w:r>
                    <w:rPr>
                      <w:rFonts w:hint="default" w:ascii="Times New Roman" w:hAnsi="Times New Roman" w:eastAsia="宋体" w:cs="Times New Roman"/>
                      <w:color w:val="auto"/>
                      <w:spacing w:val="6"/>
                      <w:sz w:val="21"/>
                      <w:szCs w:val="21"/>
                    </w:rPr>
                    <w:t>均浓度</w:t>
                  </w:r>
                </w:p>
              </w:tc>
              <w:tc>
                <w:tcPr>
                  <w:tcW w:w="1308" w:type="dxa"/>
                  <w:vAlign w:val="center"/>
                </w:tcPr>
                <w:p w14:paraId="2E58C2AC">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190</w:t>
                  </w:r>
                </w:p>
              </w:tc>
              <w:tc>
                <w:tcPr>
                  <w:tcW w:w="1148" w:type="dxa"/>
                  <w:vAlign w:val="center"/>
                </w:tcPr>
                <w:p w14:paraId="16F87AFB">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160</w:t>
                  </w:r>
                </w:p>
              </w:tc>
              <w:tc>
                <w:tcPr>
                  <w:tcW w:w="1075" w:type="dxa"/>
                  <w:vAlign w:val="center"/>
                </w:tcPr>
                <w:p w14:paraId="08D1F9B1">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eastAsia" w:ascii="Times New Roman" w:hAnsi="Times New Roman" w:eastAsia="宋体" w:cs="Times New Roman"/>
                      <w:color w:val="auto"/>
                      <w:spacing w:val="3"/>
                      <w:sz w:val="21"/>
                      <w:szCs w:val="21"/>
                      <w:lang w:val="en-US" w:eastAsia="zh-CN"/>
                    </w:rPr>
                    <w:t>119%</w:t>
                  </w:r>
                </w:p>
              </w:tc>
              <w:tc>
                <w:tcPr>
                  <w:tcW w:w="916" w:type="dxa"/>
                  <w:vAlign w:val="center"/>
                </w:tcPr>
                <w:p w14:paraId="50396FFB">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超标</w:t>
                  </w:r>
                </w:p>
              </w:tc>
            </w:tr>
          </w:tbl>
          <w:p w14:paraId="500CF039">
            <w:pPr>
              <w:pStyle w:val="22"/>
              <w:spacing w:before="29" w:line="353" w:lineRule="auto"/>
              <w:ind w:left="108" w:right="97" w:firstLine="419"/>
              <w:rPr>
                <w:rFonts w:hint="default" w:ascii="Times New Roman" w:hAnsi="Times New Roman" w:cs="Times New Roman"/>
                <w:color w:val="auto"/>
              </w:rPr>
            </w:pPr>
            <w:r>
              <w:rPr>
                <w:rFonts w:hint="default" w:ascii="Times New Roman" w:hAnsi="Times New Roman" w:cs="Times New Roman"/>
                <w:color w:val="auto"/>
                <w:spacing w:val="8"/>
              </w:rPr>
              <w:t>区域大气环境质量标准执行《环境空气质量标准》（</w:t>
            </w:r>
            <w:r>
              <w:rPr>
                <w:rFonts w:hint="default" w:ascii="Times New Roman" w:hAnsi="Times New Roman" w:eastAsia="Times New Roman" w:cs="Times New Roman"/>
                <w:color w:val="auto"/>
              </w:rPr>
              <w:t>GB</w:t>
            </w:r>
            <w:r>
              <w:rPr>
                <w:rFonts w:hint="default" w:ascii="Times New Roman" w:hAnsi="Times New Roman" w:eastAsia="Times New Roman" w:cs="Times New Roman"/>
                <w:color w:val="auto"/>
                <w:spacing w:val="8"/>
              </w:rPr>
              <w:t>3095-2012</w:t>
            </w:r>
            <w:r>
              <w:rPr>
                <w:rFonts w:hint="default" w:ascii="Times New Roman" w:hAnsi="Times New Roman" w:cs="Times New Roman"/>
                <w:color w:val="auto"/>
                <w:spacing w:val="8"/>
              </w:rPr>
              <w:t>）及其修改单中的二</w:t>
            </w:r>
            <w:r>
              <w:rPr>
                <w:rFonts w:hint="default" w:ascii="Times New Roman" w:hAnsi="Times New Roman" w:cs="Times New Roman"/>
                <w:color w:val="auto"/>
                <w:spacing w:val="9"/>
              </w:rPr>
              <w:t>级标准，由公开发布的环境质量数据可知，区域</w:t>
            </w:r>
            <w:r>
              <w:rPr>
                <w:rFonts w:hint="default" w:ascii="Times New Roman" w:hAnsi="Times New Roman" w:eastAsia="Times New Roman" w:cs="Times New Roman"/>
                <w:color w:val="auto"/>
              </w:rPr>
              <w:t>PM</w:t>
            </w:r>
            <w:r>
              <w:rPr>
                <w:rFonts w:hint="default" w:ascii="Times New Roman" w:hAnsi="Times New Roman" w:eastAsia="Times New Roman" w:cs="Times New Roman"/>
                <w:color w:val="auto"/>
                <w:spacing w:val="8"/>
                <w:position w:val="-1"/>
                <w:sz w:val="13"/>
                <w:szCs w:val="13"/>
              </w:rPr>
              <w:t>2.5</w:t>
            </w:r>
            <w:r>
              <w:rPr>
                <w:rFonts w:hint="default" w:ascii="Times New Roman" w:hAnsi="Times New Roman" w:cs="Times New Roman"/>
                <w:color w:val="auto"/>
                <w:lang w:eastAsia="zh-CN"/>
              </w:rPr>
              <w:t>、</w:t>
            </w:r>
            <w:r>
              <w:rPr>
                <w:rFonts w:hint="default" w:ascii="Times New Roman" w:hAnsi="Times New Roman" w:cs="Times New Roman"/>
                <w:color w:val="auto"/>
              </w:rPr>
              <w:t>O</w:t>
            </w:r>
            <w:r>
              <w:rPr>
                <w:rFonts w:hint="default" w:ascii="Times New Roman" w:hAnsi="Times New Roman" w:cs="Times New Roman"/>
                <w:color w:val="auto"/>
                <w:vertAlign w:val="subscript"/>
              </w:rPr>
              <w:t>3</w:t>
            </w:r>
            <w:r>
              <w:rPr>
                <w:rFonts w:hint="default" w:ascii="Times New Roman" w:hAnsi="Times New Roman" w:cs="Times New Roman"/>
                <w:color w:val="auto"/>
                <w:spacing w:val="8"/>
              </w:rPr>
              <w:t>不满足空气质量标准要求，大气环境质量现状不达标。原因是该区域内道路扬尘、建设施工、汽车尾气等因素导致。根据《淄博</w:t>
            </w:r>
            <w:r>
              <w:rPr>
                <w:rFonts w:hint="default" w:ascii="Times New Roman" w:hAnsi="Times New Roman" w:cs="Times New Roman"/>
                <w:color w:val="auto"/>
                <w:spacing w:val="9"/>
              </w:rPr>
              <w:t>市</w:t>
            </w:r>
            <w:r>
              <w:rPr>
                <w:rFonts w:hint="default" w:ascii="Times New Roman" w:hAnsi="Times New Roman" w:eastAsia="Times New Roman" w:cs="Times New Roman"/>
                <w:color w:val="auto"/>
                <w:spacing w:val="9"/>
              </w:rPr>
              <w:t>“</w:t>
            </w:r>
            <w:r>
              <w:rPr>
                <w:rFonts w:hint="default" w:ascii="Times New Roman" w:hAnsi="Times New Roman" w:cs="Times New Roman"/>
                <w:color w:val="auto"/>
                <w:spacing w:val="9"/>
              </w:rPr>
              <w:t>十四五</w:t>
            </w:r>
            <w:r>
              <w:rPr>
                <w:rFonts w:hint="default" w:ascii="Times New Roman" w:hAnsi="Times New Roman" w:eastAsia="Times New Roman" w:cs="Times New Roman"/>
                <w:color w:val="auto"/>
                <w:spacing w:val="9"/>
              </w:rPr>
              <w:t>”</w:t>
            </w:r>
            <w:r>
              <w:rPr>
                <w:rFonts w:hint="default" w:ascii="Times New Roman" w:hAnsi="Times New Roman" w:cs="Times New Roman"/>
                <w:color w:val="auto"/>
                <w:spacing w:val="9"/>
              </w:rPr>
              <w:t>生态环境保护规划》要求，牢牢把</w:t>
            </w:r>
            <w:r>
              <w:rPr>
                <w:rFonts w:hint="default" w:ascii="Times New Roman" w:hAnsi="Times New Roman" w:cs="Times New Roman"/>
                <w:color w:val="auto"/>
                <w:spacing w:val="8"/>
              </w:rPr>
              <w:t>握全国老工业城市和资源型城市产业转型升级</w:t>
            </w:r>
            <w:r>
              <w:rPr>
                <w:rFonts w:hint="default" w:ascii="Times New Roman" w:hAnsi="Times New Roman" w:cs="Times New Roman"/>
                <w:color w:val="auto"/>
                <w:spacing w:val="9"/>
              </w:rPr>
              <w:t>示范区建设重大机遇，凝心聚力攻克结构性污染</w:t>
            </w:r>
            <w:r>
              <w:rPr>
                <w:rFonts w:hint="default" w:ascii="Times New Roman" w:hAnsi="Times New Roman" w:cs="Times New Roman"/>
                <w:color w:val="auto"/>
                <w:spacing w:val="8"/>
              </w:rPr>
              <w:t>问题，实施新一轮</w:t>
            </w:r>
            <w:r>
              <w:rPr>
                <w:rFonts w:hint="default" w:ascii="Times New Roman" w:hAnsi="Times New Roman" w:eastAsia="Times New Roman" w:cs="Times New Roman"/>
                <w:color w:val="auto"/>
                <w:spacing w:val="8"/>
              </w:rPr>
              <w:t>“</w:t>
            </w:r>
            <w:r>
              <w:rPr>
                <w:rFonts w:hint="default" w:ascii="Times New Roman" w:hAnsi="Times New Roman" w:cs="Times New Roman"/>
                <w:color w:val="auto"/>
                <w:spacing w:val="8"/>
              </w:rPr>
              <w:t>四减四增</w:t>
            </w:r>
            <w:r>
              <w:rPr>
                <w:rFonts w:hint="default" w:ascii="Times New Roman" w:hAnsi="Times New Roman" w:eastAsia="Times New Roman" w:cs="Times New Roman"/>
                <w:color w:val="auto"/>
                <w:spacing w:val="8"/>
              </w:rPr>
              <w:t>”</w:t>
            </w:r>
            <w:r>
              <w:rPr>
                <w:rFonts w:hint="default" w:ascii="Times New Roman" w:hAnsi="Times New Roman" w:cs="Times New Roman"/>
                <w:color w:val="auto"/>
                <w:spacing w:val="8"/>
              </w:rPr>
              <w:t>行动，充分发挥生态环境保护的引导、优化、倒逼和促进作用，推动形成有利于节约资源和保护环境的空间格局、产业结构、生产方式、生活方式</w:t>
            </w:r>
            <w:r>
              <w:rPr>
                <w:rFonts w:hint="default" w:ascii="Times New Roman" w:hAnsi="Times New Roman" w:cs="Times New Roman"/>
                <w:color w:val="auto"/>
                <w:spacing w:val="-1"/>
              </w:rPr>
              <w:t>。</w:t>
            </w:r>
          </w:p>
          <w:p w14:paraId="4238DAC2">
            <w:pPr>
              <w:keepNext w:val="0"/>
              <w:keepLines w:val="0"/>
              <w:pageBreakBefore w:val="0"/>
              <w:widowControl/>
              <w:kinsoku/>
              <w:wordWrap/>
              <w:overflowPunct/>
              <w:topLinePunct w:val="0"/>
              <w:autoSpaceDE w:val="0"/>
              <w:autoSpaceDN w:val="0"/>
              <w:bidi w:val="0"/>
              <w:adjustRightInd w:val="0"/>
              <w:snapToGrid w:val="0"/>
              <w:ind w:firstLine="482" w:firstLineChars="200"/>
              <w:textAlignment w:val="baseline"/>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二、声环境质量现状</w:t>
            </w:r>
          </w:p>
          <w:p w14:paraId="43DA630E">
            <w:pPr>
              <w:keepNext w:val="0"/>
              <w:keepLines w:val="0"/>
              <w:pageBreakBefore w:val="0"/>
              <w:widowControl/>
              <w:kinsoku/>
              <w:wordWrap/>
              <w:overflowPunct/>
              <w:topLinePunct w:val="0"/>
              <w:autoSpaceDE w:val="0"/>
              <w:autoSpaceDN w:val="0"/>
              <w:bidi w:val="0"/>
              <w:adjustRightInd w:val="0"/>
              <w:snapToGrid w:val="0"/>
              <w:ind w:firstLine="512" w:firstLineChars="200"/>
              <w:textAlignment w:val="baseline"/>
              <w:rPr>
                <w:rFonts w:hint="default" w:ascii="Times New Roman" w:hAnsi="Times New Roman" w:cs="Times New Roman"/>
                <w:color w:val="auto"/>
                <w:highlight w:val="none"/>
              </w:rPr>
            </w:pPr>
            <w:r>
              <w:rPr>
                <w:rFonts w:hint="default" w:ascii="Times New Roman" w:hAnsi="Times New Roman" w:cs="Times New Roman"/>
                <w:color w:val="auto"/>
                <w:spacing w:val="8"/>
              </w:rPr>
              <w:t>全市所有区县各类功能区昼、夜噪声监测结果均不超标，该项目位于淄博市</w:t>
            </w:r>
            <w:r>
              <w:rPr>
                <w:rFonts w:hint="eastAsia" w:ascii="Times New Roman" w:hAnsi="Times New Roman" w:cs="Times New Roman"/>
                <w:color w:val="auto"/>
                <w:spacing w:val="8"/>
                <w:lang w:eastAsia="zh-CN"/>
              </w:rPr>
              <w:t>淄川区</w:t>
            </w:r>
            <w:r>
              <w:rPr>
                <w:rFonts w:hint="default" w:ascii="Times New Roman" w:hAnsi="Times New Roman" w:cs="Times New Roman"/>
                <w:color w:val="auto"/>
                <w:spacing w:val="8"/>
              </w:rPr>
              <w:t>，区域昼间噪声与夜间</w:t>
            </w:r>
            <w:r>
              <w:rPr>
                <w:rFonts w:hint="default" w:ascii="Times New Roman" w:hAnsi="Times New Roman" w:cs="Times New Roman"/>
                <w:color w:val="auto"/>
                <w:spacing w:val="7"/>
              </w:rPr>
              <w:t>噪声均符合《声环境质量</w:t>
            </w:r>
            <w:r>
              <w:rPr>
                <w:rFonts w:hint="default" w:ascii="Times New Roman" w:hAnsi="Times New Roman" w:cs="Times New Roman"/>
                <w:color w:val="auto"/>
                <w:spacing w:val="8"/>
              </w:rPr>
              <w:t>标准》（</w:t>
            </w:r>
            <w:r>
              <w:rPr>
                <w:rFonts w:hint="default" w:ascii="Times New Roman" w:hAnsi="Times New Roman" w:eastAsia="Times New Roman" w:cs="Times New Roman"/>
                <w:color w:val="auto"/>
              </w:rPr>
              <w:t>GB</w:t>
            </w:r>
            <w:r>
              <w:rPr>
                <w:rFonts w:hint="default" w:ascii="Times New Roman" w:hAnsi="Times New Roman" w:eastAsia="Times New Roman" w:cs="Times New Roman"/>
                <w:color w:val="auto"/>
                <w:spacing w:val="8"/>
              </w:rPr>
              <w:t>3096-2008</w:t>
            </w:r>
            <w:r>
              <w:rPr>
                <w:rFonts w:hint="default" w:ascii="Times New Roman" w:hAnsi="Times New Roman" w:cs="Times New Roman"/>
                <w:color w:val="auto"/>
                <w:spacing w:val="8"/>
              </w:rPr>
              <w:t>）</w:t>
            </w:r>
            <w:r>
              <w:rPr>
                <w:rFonts w:hint="default" w:ascii="Times New Roman" w:hAnsi="Times New Roman" w:eastAsia="宋体" w:cs="Times New Roman"/>
                <w:color w:val="auto"/>
                <w:spacing w:val="8"/>
                <w:lang w:val="en-US" w:eastAsia="zh-CN"/>
              </w:rPr>
              <w:t>2</w:t>
            </w:r>
            <w:r>
              <w:rPr>
                <w:rFonts w:hint="default" w:ascii="Times New Roman" w:hAnsi="Times New Roman" w:cs="Times New Roman"/>
                <w:color w:val="auto"/>
                <w:spacing w:val="8"/>
              </w:rPr>
              <w:t>类区标准的要求，声环境质量良好</w:t>
            </w:r>
            <w:r>
              <w:rPr>
                <w:rFonts w:hint="default" w:ascii="Times New Roman" w:hAnsi="Times New Roman" w:cs="Times New Roman"/>
                <w:color w:val="auto"/>
                <w:highlight w:val="none"/>
              </w:rPr>
              <w:t>。</w:t>
            </w:r>
          </w:p>
          <w:p w14:paraId="11AB07F8">
            <w:pPr>
              <w:keepNext w:val="0"/>
              <w:keepLines w:val="0"/>
              <w:widowControl/>
              <w:suppressLineNumbers w:val="0"/>
              <w:ind w:firstLine="516" w:firstLineChars="200"/>
              <w:jc w:val="left"/>
              <w:rPr>
                <w:rFonts w:hint="default" w:ascii="Times New Roman" w:hAnsi="Times New Roman" w:eastAsia="宋体" w:cs="Times New Roman"/>
                <w:i w:val="0"/>
                <w:iCs w:val="0"/>
                <w:snapToGrid w:val="0"/>
                <w:color w:val="auto"/>
                <w:spacing w:val="9"/>
                <w:kern w:val="0"/>
                <w:sz w:val="24"/>
                <w:szCs w:val="24"/>
                <w:highlight w:val="none"/>
                <w:lang w:val="en-US" w:eastAsia="en-US" w:bidi="ar-SA"/>
              </w:rPr>
            </w:pP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 xml:space="preserve">三、地表水环境质量现状 </w:t>
            </w:r>
          </w:p>
          <w:p w14:paraId="04282E41">
            <w:pPr>
              <w:keepNext w:val="0"/>
              <w:keepLines w:val="0"/>
              <w:widowControl/>
              <w:suppressLineNumbers w:val="0"/>
              <w:ind w:firstLine="516" w:firstLineChars="200"/>
              <w:jc w:val="left"/>
              <w:rPr>
                <w:rFonts w:hint="eastAsia" w:ascii="Times New Roman" w:hAnsi="Times New Roman" w:eastAsia="宋体" w:cs="Times New Roman"/>
                <w:i w:val="0"/>
                <w:iCs w:val="0"/>
                <w:snapToGrid w:val="0"/>
                <w:color w:val="auto"/>
                <w:spacing w:val="9"/>
                <w:kern w:val="0"/>
                <w:sz w:val="24"/>
                <w:szCs w:val="24"/>
                <w:highlight w:val="none"/>
                <w:lang w:val="en-US" w:eastAsia="zh-CN" w:bidi="ar-SA"/>
              </w:rPr>
            </w:pP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根据项目地理位置可知，</w:t>
            </w:r>
            <w:r>
              <w:rPr>
                <w:rFonts w:hint="eastAsia" w:ascii="Times New Roman" w:hAnsi="Times New Roman" w:cs="Times New Roman"/>
                <w:i w:val="0"/>
                <w:iCs w:val="0"/>
                <w:snapToGrid w:val="0"/>
                <w:color w:val="auto"/>
                <w:spacing w:val="9"/>
                <w:kern w:val="0"/>
                <w:sz w:val="24"/>
                <w:szCs w:val="24"/>
                <w:highlight w:val="none"/>
                <w:lang w:val="en-US" w:eastAsia="zh-CN" w:bidi="ar-SA"/>
              </w:rPr>
              <w:t>距离本项目最近的地表水为厂区西侧1795m的般阳河，属于</w:t>
            </w: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孝妇河</w:t>
            </w:r>
            <w:r>
              <w:rPr>
                <w:rFonts w:hint="eastAsia" w:ascii="Times New Roman" w:hAnsi="Times New Roman" w:cs="Times New Roman"/>
                <w:i w:val="0"/>
                <w:iCs w:val="0"/>
                <w:snapToGrid w:val="0"/>
                <w:color w:val="auto"/>
                <w:spacing w:val="9"/>
                <w:kern w:val="0"/>
                <w:sz w:val="24"/>
                <w:szCs w:val="24"/>
                <w:highlight w:val="none"/>
                <w:lang w:val="en-US" w:eastAsia="zh-CN" w:bidi="ar-SA"/>
              </w:rPr>
              <w:t>支流</w:t>
            </w: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，根据淄博市生态环境局网站公布的</w:t>
            </w:r>
            <w:r>
              <w:rPr>
                <w:rFonts w:hint="eastAsia" w:ascii="Times New Roman" w:hAnsi="Times New Roman" w:cs="Times New Roman"/>
                <w:i w:val="0"/>
                <w:iCs w:val="0"/>
                <w:snapToGrid w:val="0"/>
                <w:color w:val="auto"/>
                <w:spacing w:val="9"/>
                <w:kern w:val="0"/>
                <w:sz w:val="24"/>
                <w:szCs w:val="24"/>
                <w:highlight w:val="none"/>
                <w:lang w:val="en-US" w:eastAsia="zh-CN" w:bidi="ar-SA"/>
              </w:rPr>
              <w:t>河流水质状况数据，最近12个月</w:t>
            </w: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孝妇河</w:t>
            </w:r>
            <w:r>
              <w:rPr>
                <w:rFonts w:hint="eastAsia" w:ascii="Times New Roman" w:hAnsi="Times New Roman" w:cs="Times New Roman"/>
                <w:i w:val="0"/>
                <w:iCs w:val="0"/>
                <w:snapToGrid w:val="0"/>
                <w:color w:val="auto"/>
                <w:spacing w:val="9"/>
                <w:kern w:val="0"/>
                <w:sz w:val="24"/>
                <w:szCs w:val="24"/>
                <w:highlight w:val="none"/>
                <w:lang w:val="en-US" w:eastAsia="zh-CN" w:bidi="ar-SA"/>
              </w:rPr>
              <w:t>柳泉湿地断面</w:t>
            </w: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水质满足《地表水环境质量标准》（</w:t>
            </w:r>
            <w:r>
              <w:rPr>
                <w:rFonts w:hint="default" w:ascii="Times New Roman" w:hAnsi="Times New Roman" w:eastAsia="宋体" w:cs="Times New Roman"/>
                <w:i w:val="0"/>
                <w:iCs w:val="0"/>
                <w:snapToGrid w:val="0"/>
                <w:color w:val="auto"/>
                <w:spacing w:val="9"/>
                <w:kern w:val="0"/>
                <w:sz w:val="24"/>
                <w:szCs w:val="24"/>
                <w:highlight w:val="none"/>
                <w:lang w:val="en-US" w:eastAsia="zh-CN" w:bidi="ar-SA"/>
              </w:rPr>
              <w:t>GB3838-2002</w:t>
            </w: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t>）Ⅲ类标准。</w:t>
            </w:r>
          </w:p>
          <w:p w14:paraId="4AE7450D">
            <w:pPr>
              <w:keepNext w:val="0"/>
              <w:keepLines w:val="0"/>
              <w:widowControl/>
              <w:suppressLineNumbers w:val="0"/>
              <w:jc w:val="left"/>
              <w:rPr>
                <w:rFonts w:hint="eastAsia" w:ascii="Times New Roman" w:hAnsi="Times New Roman" w:eastAsia="宋体" w:cs="Times New Roman"/>
                <w:i w:val="0"/>
                <w:iCs w:val="0"/>
                <w:snapToGrid w:val="0"/>
                <w:color w:val="auto"/>
                <w:spacing w:val="9"/>
                <w:kern w:val="0"/>
                <w:sz w:val="24"/>
                <w:szCs w:val="24"/>
                <w:highlight w:val="none"/>
                <w:lang w:val="en-US" w:eastAsia="zh-CN" w:bidi="ar-SA"/>
              </w:rPr>
            </w:pP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drawing>
                <wp:inline distT="0" distB="0" distL="114300" distR="114300">
                  <wp:extent cx="5885815" cy="2360295"/>
                  <wp:effectExtent l="0" t="0" r="635" b="190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4"/>
                          <a:stretch>
                            <a:fillRect/>
                          </a:stretch>
                        </pic:blipFill>
                        <pic:spPr>
                          <a:xfrm>
                            <a:off x="0" y="0"/>
                            <a:ext cx="5885815" cy="2360295"/>
                          </a:xfrm>
                          <a:prstGeom prst="rect">
                            <a:avLst/>
                          </a:prstGeom>
                          <a:noFill/>
                          <a:ln>
                            <a:noFill/>
                          </a:ln>
                        </pic:spPr>
                      </pic:pic>
                    </a:graphicData>
                  </a:graphic>
                </wp:inline>
              </w:drawing>
            </w:r>
          </w:p>
          <w:p w14:paraId="3BD3DED6">
            <w:pPr>
              <w:keepNext w:val="0"/>
              <w:keepLines w:val="0"/>
              <w:widowControl/>
              <w:suppressLineNumbers w:val="0"/>
              <w:jc w:val="left"/>
              <w:rPr>
                <w:rFonts w:hint="eastAsia" w:ascii="Times New Roman" w:hAnsi="Times New Roman" w:eastAsia="宋体" w:cs="Times New Roman"/>
                <w:i w:val="0"/>
                <w:iCs w:val="0"/>
                <w:snapToGrid w:val="0"/>
                <w:color w:val="auto"/>
                <w:spacing w:val="9"/>
                <w:kern w:val="0"/>
                <w:sz w:val="24"/>
                <w:szCs w:val="24"/>
                <w:highlight w:val="none"/>
                <w:lang w:val="en-US" w:eastAsia="zh-CN" w:bidi="ar-SA"/>
              </w:rPr>
            </w:pPr>
            <w:r>
              <w:rPr>
                <w:rFonts w:hint="eastAsia" w:ascii="Times New Roman" w:hAnsi="Times New Roman" w:eastAsia="宋体" w:cs="Times New Roman"/>
                <w:i w:val="0"/>
                <w:iCs w:val="0"/>
                <w:snapToGrid w:val="0"/>
                <w:color w:val="auto"/>
                <w:spacing w:val="9"/>
                <w:kern w:val="0"/>
                <w:sz w:val="24"/>
                <w:szCs w:val="24"/>
                <w:highlight w:val="none"/>
                <w:lang w:val="en-US" w:eastAsia="zh-CN" w:bidi="ar-SA"/>
              </w:rPr>
              <w:drawing>
                <wp:inline distT="0" distB="0" distL="114300" distR="114300">
                  <wp:extent cx="5883275" cy="2386965"/>
                  <wp:effectExtent l="0" t="0" r="3175" b="1333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25"/>
                          <a:stretch>
                            <a:fillRect/>
                          </a:stretch>
                        </pic:blipFill>
                        <pic:spPr>
                          <a:xfrm>
                            <a:off x="0" y="0"/>
                            <a:ext cx="5883275" cy="2386965"/>
                          </a:xfrm>
                          <a:prstGeom prst="rect">
                            <a:avLst/>
                          </a:prstGeom>
                          <a:noFill/>
                          <a:ln>
                            <a:noFill/>
                          </a:ln>
                        </pic:spPr>
                      </pic:pic>
                    </a:graphicData>
                  </a:graphic>
                </wp:inline>
              </w:drawing>
            </w:r>
          </w:p>
          <w:p w14:paraId="2A08F39E">
            <w:pPr>
              <w:keepNext w:val="0"/>
              <w:keepLines w:val="0"/>
              <w:pageBreakBefore w:val="0"/>
              <w:widowControl/>
              <w:kinsoku/>
              <w:wordWrap/>
              <w:overflowPunct/>
              <w:topLinePunct/>
              <w:autoSpaceDE w:val="0"/>
              <w:autoSpaceDN w:val="0"/>
              <w:bidi w:val="0"/>
              <w:adjustRightInd w:val="0"/>
              <w:snapToGrid w:val="0"/>
              <w:spacing w:line="360" w:lineRule="auto"/>
              <w:ind w:left="0" w:right="0" w:firstLine="482" w:firstLineChars="200"/>
              <w:textAlignment w:val="baseline"/>
              <w:rPr>
                <w:rFonts w:hint="default" w:ascii="Times New Roman" w:hAnsi="Times New Roman" w:cs="Times New Roman"/>
                <w:b/>
                <w:bCs/>
                <w:i w:val="0"/>
                <w:iCs w:val="0"/>
                <w:color w:val="auto"/>
                <w:highlight w:val="none"/>
              </w:rPr>
            </w:pPr>
            <w:r>
              <w:rPr>
                <w:rFonts w:hint="default" w:ascii="Times New Roman" w:hAnsi="Times New Roman" w:cs="Times New Roman"/>
                <w:b/>
                <w:bCs/>
                <w:i w:val="0"/>
                <w:iCs w:val="0"/>
                <w:color w:val="auto"/>
                <w:highlight w:val="none"/>
              </w:rPr>
              <w:t>三、</w:t>
            </w:r>
            <w:r>
              <w:rPr>
                <w:rFonts w:hint="default" w:ascii="Times New Roman" w:hAnsi="Times New Roman" w:cs="Times New Roman"/>
                <w:b/>
                <w:bCs/>
                <w:i w:val="0"/>
                <w:iCs w:val="0"/>
                <w:color w:val="auto"/>
                <w:highlight w:val="none"/>
                <w:lang w:val="en-US" w:eastAsia="zh-CN"/>
              </w:rPr>
              <w:t>地下水、土壤环境</w:t>
            </w:r>
          </w:p>
          <w:p w14:paraId="6E9ED4E1">
            <w:pPr>
              <w:pStyle w:val="22"/>
              <w:keepNext w:val="0"/>
              <w:keepLines w:val="0"/>
              <w:pageBreakBefore w:val="0"/>
              <w:widowControl/>
              <w:kinsoku/>
              <w:wordWrap/>
              <w:overflowPunct/>
              <w:topLinePunct/>
              <w:autoSpaceDE w:val="0"/>
              <w:autoSpaceDN w:val="0"/>
              <w:bidi w:val="0"/>
              <w:adjustRightInd w:val="0"/>
              <w:snapToGrid w:val="0"/>
              <w:spacing w:line="360" w:lineRule="auto"/>
              <w:ind w:left="0" w:right="0" w:firstLine="516" w:firstLineChars="200"/>
              <w:textAlignment w:val="baseline"/>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spacing w:val="9"/>
                <w:highlight w:val="none"/>
              </w:rPr>
              <w:t>根据《环境影响评价技术导则</w:t>
            </w:r>
            <w:r>
              <w:rPr>
                <w:rFonts w:hint="eastAsia" w:ascii="Times New Roman" w:hAnsi="Times New Roman" w:cs="Times New Roman"/>
                <w:i w:val="0"/>
                <w:iCs w:val="0"/>
                <w:color w:val="auto"/>
                <w:spacing w:val="9"/>
                <w:highlight w:val="none"/>
                <w:lang w:val="en-US" w:eastAsia="zh-CN"/>
              </w:rPr>
              <w:t xml:space="preserve"> </w:t>
            </w:r>
            <w:r>
              <w:rPr>
                <w:rFonts w:hint="default" w:ascii="Times New Roman" w:hAnsi="Times New Roman" w:cs="Times New Roman"/>
                <w:i w:val="0"/>
                <w:iCs w:val="0"/>
                <w:color w:val="auto"/>
                <w:spacing w:val="9"/>
                <w:highlight w:val="none"/>
              </w:rPr>
              <w:t>地下水环境》（</w:t>
            </w:r>
            <w:r>
              <w:rPr>
                <w:rFonts w:hint="default" w:ascii="Times New Roman" w:hAnsi="Times New Roman" w:eastAsia="Times New Roman" w:cs="Times New Roman"/>
                <w:i w:val="0"/>
                <w:iCs w:val="0"/>
                <w:color w:val="auto"/>
                <w:highlight w:val="none"/>
              </w:rPr>
              <w:t>HJ</w:t>
            </w:r>
            <w:r>
              <w:rPr>
                <w:rFonts w:hint="default" w:ascii="Times New Roman" w:hAnsi="Times New Roman" w:eastAsia="Times New Roman" w:cs="Times New Roman"/>
                <w:i w:val="0"/>
                <w:iCs w:val="0"/>
                <w:color w:val="auto"/>
                <w:spacing w:val="9"/>
                <w:highlight w:val="none"/>
              </w:rPr>
              <w:t>610-2016</w:t>
            </w:r>
            <w:r>
              <w:rPr>
                <w:rFonts w:hint="default" w:ascii="Times New Roman" w:hAnsi="Times New Roman" w:cs="Times New Roman"/>
                <w:i w:val="0"/>
                <w:iCs w:val="0"/>
                <w:color w:val="auto"/>
                <w:spacing w:val="9"/>
                <w:highlight w:val="none"/>
              </w:rPr>
              <w:t>）</w:t>
            </w:r>
            <w:r>
              <w:rPr>
                <w:rFonts w:hint="default" w:ascii="Times New Roman" w:hAnsi="Times New Roman" w:cs="Times New Roman"/>
                <w:i w:val="0"/>
                <w:iCs w:val="0"/>
                <w:color w:val="auto"/>
                <w:spacing w:val="8"/>
                <w:highlight w:val="none"/>
              </w:rPr>
              <w:t>附录</w:t>
            </w:r>
            <w:r>
              <w:rPr>
                <w:rFonts w:hint="default" w:ascii="Times New Roman" w:hAnsi="Times New Roman" w:eastAsia="Times New Roman" w:cs="Times New Roman"/>
                <w:i w:val="0"/>
                <w:iCs w:val="0"/>
                <w:color w:val="auto"/>
                <w:spacing w:val="8"/>
                <w:highlight w:val="none"/>
              </w:rPr>
              <w:t>A</w:t>
            </w:r>
            <w:r>
              <w:rPr>
                <w:rFonts w:hint="default" w:ascii="Times New Roman" w:hAnsi="Times New Roman" w:cs="Times New Roman"/>
                <w:i w:val="0"/>
                <w:iCs w:val="0"/>
                <w:color w:val="auto"/>
                <w:spacing w:val="8"/>
                <w:highlight w:val="none"/>
              </w:rPr>
              <w:t>地下水环境影响评</w:t>
            </w:r>
            <w:r>
              <w:rPr>
                <w:rFonts w:hint="default" w:ascii="Times New Roman" w:hAnsi="Times New Roman" w:cs="Times New Roman"/>
                <w:i w:val="0"/>
                <w:iCs w:val="0"/>
                <w:color w:val="auto"/>
                <w:spacing w:val="9"/>
                <w:highlight w:val="none"/>
              </w:rPr>
              <w:t>价行业分类表，项目类别属于Ⅳ类，周边地下水敏感程度为不敏感，为三级评价。</w:t>
            </w:r>
          </w:p>
          <w:p w14:paraId="312BE4FD">
            <w:pPr>
              <w:pStyle w:val="22"/>
              <w:keepNext w:val="0"/>
              <w:keepLines w:val="0"/>
              <w:pageBreakBefore w:val="0"/>
              <w:widowControl/>
              <w:kinsoku/>
              <w:wordWrap/>
              <w:overflowPunct/>
              <w:topLinePunct/>
              <w:autoSpaceDE w:val="0"/>
              <w:autoSpaceDN w:val="0"/>
              <w:bidi w:val="0"/>
              <w:adjustRightInd w:val="0"/>
              <w:snapToGrid w:val="0"/>
              <w:spacing w:line="360" w:lineRule="auto"/>
              <w:ind w:left="0" w:right="0" w:firstLine="520" w:firstLineChars="200"/>
              <w:textAlignment w:val="baseline"/>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spacing w:val="10"/>
                <w:highlight w:val="none"/>
              </w:rPr>
              <w:t>根据《环境影响评价技术导则</w:t>
            </w:r>
            <w:r>
              <w:rPr>
                <w:rFonts w:hint="eastAsia" w:ascii="Times New Roman" w:hAnsi="Times New Roman" w:cs="Times New Roman"/>
                <w:i w:val="0"/>
                <w:iCs w:val="0"/>
                <w:color w:val="auto"/>
                <w:spacing w:val="10"/>
                <w:highlight w:val="none"/>
                <w:lang w:val="en-US" w:eastAsia="zh-CN"/>
              </w:rPr>
              <w:t xml:space="preserve"> </w:t>
            </w:r>
            <w:r>
              <w:rPr>
                <w:rFonts w:hint="default" w:ascii="Times New Roman" w:hAnsi="Times New Roman" w:cs="Times New Roman"/>
                <w:i w:val="0"/>
                <w:iCs w:val="0"/>
                <w:color w:val="auto"/>
                <w:spacing w:val="10"/>
                <w:highlight w:val="none"/>
              </w:rPr>
              <w:t>土壤环境（</w:t>
            </w:r>
            <w:r>
              <w:rPr>
                <w:rFonts w:hint="default" w:ascii="Times New Roman" w:hAnsi="Times New Roman" w:cs="Times New Roman"/>
                <w:i w:val="0"/>
                <w:iCs w:val="0"/>
                <w:color w:val="auto"/>
                <w:spacing w:val="9"/>
                <w:highlight w:val="none"/>
              </w:rPr>
              <w:t>试行）》（</w:t>
            </w:r>
            <w:r>
              <w:rPr>
                <w:rFonts w:hint="default" w:ascii="Times New Roman" w:hAnsi="Times New Roman" w:eastAsia="Times New Roman" w:cs="Times New Roman"/>
                <w:i w:val="0"/>
                <w:iCs w:val="0"/>
                <w:color w:val="auto"/>
                <w:highlight w:val="none"/>
              </w:rPr>
              <w:t>HJ</w:t>
            </w:r>
            <w:r>
              <w:rPr>
                <w:rFonts w:hint="default" w:ascii="Times New Roman" w:hAnsi="Times New Roman" w:eastAsia="Times New Roman" w:cs="Times New Roman"/>
                <w:i w:val="0"/>
                <w:iCs w:val="0"/>
                <w:color w:val="auto"/>
                <w:spacing w:val="9"/>
                <w:highlight w:val="none"/>
              </w:rPr>
              <w:t>964-2018</w:t>
            </w:r>
            <w:r>
              <w:rPr>
                <w:rFonts w:hint="default" w:ascii="Times New Roman" w:hAnsi="Times New Roman" w:cs="Times New Roman"/>
                <w:i w:val="0"/>
                <w:iCs w:val="0"/>
                <w:color w:val="auto"/>
                <w:spacing w:val="9"/>
                <w:highlight w:val="none"/>
              </w:rPr>
              <w:t>）附录</w:t>
            </w:r>
            <w:r>
              <w:rPr>
                <w:rFonts w:hint="default" w:ascii="Times New Roman" w:hAnsi="Times New Roman" w:eastAsia="Times New Roman" w:cs="Times New Roman"/>
                <w:i w:val="0"/>
                <w:iCs w:val="0"/>
                <w:color w:val="auto"/>
                <w:spacing w:val="9"/>
                <w:highlight w:val="none"/>
              </w:rPr>
              <w:t>A</w:t>
            </w:r>
            <w:r>
              <w:rPr>
                <w:rFonts w:hint="default" w:ascii="Times New Roman" w:hAnsi="Times New Roman" w:cs="Times New Roman"/>
                <w:i w:val="0"/>
                <w:iCs w:val="0"/>
                <w:color w:val="auto"/>
                <w:spacing w:val="9"/>
                <w:highlight w:val="none"/>
              </w:rPr>
              <w:t>，项目类别为Ⅲ类；建设项目所在地周边的土壤环境敏感程度分为不敏感，占地面积小于</w:t>
            </w:r>
            <w:r>
              <w:rPr>
                <w:rFonts w:hint="default" w:ascii="Times New Roman" w:hAnsi="Times New Roman" w:eastAsia="Times New Roman" w:cs="Times New Roman"/>
                <w:i w:val="0"/>
                <w:iCs w:val="0"/>
                <w:color w:val="auto"/>
                <w:spacing w:val="9"/>
                <w:highlight w:val="none"/>
              </w:rPr>
              <w:t>5</w:t>
            </w:r>
            <w:r>
              <w:rPr>
                <w:rFonts w:hint="default" w:ascii="Times New Roman" w:hAnsi="Times New Roman" w:eastAsia="Times New Roman" w:cs="Times New Roman"/>
                <w:i w:val="0"/>
                <w:iCs w:val="0"/>
                <w:color w:val="auto"/>
                <w:highlight w:val="none"/>
              </w:rPr>
              <w:t>hm</w:t>
            </w:r>
            <w:r>
              <w:rPr>
                <w:rFonts w:hint="default" w:ascii="Times New Roman" w:hAnsi="Times New Roman" w:eastAsia="Times New Roman" w:cs="Times New Roman"/>
                <w:i w:val="0"/>
                <w:iCs w:val="0"/>
                <w:color w:val="auto"/>
                <w:spacing w:val="9"/>
                <w:position w:val="6"/>
                <w:sz w:val="13"/>
                <w:szCs w:val="13"/>
                <w:highlight w:val="none"/>
              </w:rPr>
              <w:t>2</w:t>
            </w:r>
            <w:r>
              <w:rPr>
                <w:rFonts w:hint="default" w:ascii="Times New Roman" w:hAnsi="Times New Roman" w:cs="Times New Roman"/>
                <w:i w:val="0"/>
                <w:iCs w:val="0"/>
                <w:color w:val="auto"/>
                <w:spacing w:val="9"/>
                <w:highlight w:val="none"/>
              </w:rPr>
              <w:t>，属于</w:t>
            </w:r>
            <w:r>
              <w:rPr>
                <w:rFonts w:hint="default" w:ascii="Times New Roman" w:hAnsi="Times New Roman" w:cs="Times New Roman"/>
                <w:i w:val="0"/>
                <w:iCs w:val="0"/>
                <w:color w:val="auto"/>
                <w:spacing w:val="10"/>
                <w:highlight w:val="none"/>
              </w:rPr>
              <w:t>小型；根据《环境影响评价技术导则土壤环境（试行）》（</w:t>
            </w:r>
            <w:r>
              <w:rPr>
                <w:rFonts w:hint="default" w:ascii="Times New Roman" w:hAnsi="Times New Roman" w:eastAsia="Times New Roman" w:cs="Times New Roman"/>
                <w:i w:val="0"/>
                <w:iCs w:val="0"/>
                <w:color w:val="auto"/>
                <w:highlight w:val="none"/>
              </w:rPr>
              <w:t>HJ</w:t>
            </w:r>
            <w:r>
              <w:rPr>
                <w:rFonts w:hint="default" w:ascii="Times New Roman" w:hAnsi="Times New Roman" w:eastAsia="Times New Roman" w:cs="Times New Roman"/>
                <w:i w:val="0"/>
                <w:iCs w:val="0"/>
                <w:color w:val="auto"/>
                <w:spacing w:val="10"/>
                <w:highlight w:val="none"/>
              </w:rPr>
              <w:t>964-20</w:t>
            </w:r>
            <w:r>
              <w:rPr>
                <w:rFonts w:hint="default" w:ascii="Times New Roman" w:hAnsi="Times New Roman" w:eastAsia="Times New Roman" w:cs="Times New Roman"/>
                <w:i w:val="0"/>
                <w:iCs w:val="0"/>
                <w:color w:val="auto"/>
                <w:spacing w:val="9"/>
                <w:highlight w:val="none"/>
              </w:rPr>
              <w:t>18</w:t>
            </w:r>
            <w:r>
              <w:rPr>
                <w:rFonts w:hint="default" w:ascii="Times New Roman" w:hAnsi="Times New Roman" w:cs="Times New Roman"/>
                <w:i w:val="0"/>
                <w:iCs w:val="0"/>
                <w:color w:val="auto"/>
                <w:spacing w:val="9"/>
                <w:highlight w:val="none"/>
              </w:rPr>
              <w:t>）表</w:t>
            </w:r>
            <w:r>
              <w:rPr>
                <w:rFonts w:hint="default" w:ascii="Times New Roman" w:hAnsi="Times New Roman" w:eastAsia="Times New Roman" w:cs="Times New Roman"/>
                <w:i w:val="0"/>
                <w:iCs w:val="0"/>
                <w:color w:val="auto"/>
                <w:spacing w:val="9"/>
                <w:highlight w:val="none"/>
              </w:rPr>
              <w:t>4</w:t>
            </w:r>
            <w:r>
              <w:rPr>
                <w:rFonts w:hint="default" w:ascii="Times New Roman" w:hAnsi="Times New Roman" w:cs="Times New Roman"/>
                <w:i w:val="0"/>
                <w:iCs w:val="0"/>
                <w:color w:val="auto"/>
                <w:spacing w:val="9"/>
                <w:highlight w:val="none"/>
              </w:rPr>
              <w:t>污染影响型评价工作等级划分表，项目不需开展土壤环境影响评价。</w:t>
            </w:r>
          </w:p>
          <w:p w14:paraId="04E94447">
            <w:pPr>
              <w:keepNext w:val="0"/>
              <w:keepLines w:val="0"/>
              <w:pageBreakBefore w:val="0"/>
              <w:widowControl/>
              <w:kinsoku/>
              <w:wordWrap/>
              <w:overflowPunct/>
              <w:topLinePunct/>
              <w:autoSpaceDE w:val="0"/>
              <w:autoSpaceDN w:val="0"/>
              <w:bidi w:val="0"/>
              <w:adjustRightInd w:val="0"/>
              <w:snapToGrid w:val="0"/>
              <w:spacing w:line="360" w:lineRule="auto"/>
              <w:ind w:left="0" w:right="0" w:firstLine="516" w:firstLineChars="200"/>
              <w:textAlignment w:val="baseline"/>
              <w:rPr>
                <w:rFonts w:hint="default" w:ascii="Times New Roman" w:hAnsi="Times New Roman" w:cs="Times New Roman"/>
                <w:i w:val="0"/>
                <w:iCs w:val="0"/>
                <w:color w:val="auto"/>
                <w:highlight w:val="none"/>
              </w:rPr>
            </w:pPr>
            <w:r>
              <w:rPr>
                <w:rFonts w:hint="default" w:ascii="Times New Roman" w:hAnsi="Times New Roman" w:cs="Times New Roman"/>
                <w:i w:val="0"/>
                <w:iCs w:val="0"/>
                <w:color w:val="auto"/>
                <w:spacing w:val="9"/>
                <w:highlight w:val="none"/>
              </w:rPr>
              <w:t>本项目用地为工业用地，在严格落实分区防控措施的前提下，对土壤环境影响较小</w:t>
            </w:r>
            <w:r>
              <w:rPr>
                <w:rFonts w:hint="default" w:ascii="Times New Roman" w:hAnsi="Times New Roman" w:cs="Times New Roman"/>
                <w:i w:val="0"/>
                <w:iCs w:val="0"/>
                <w:color w:val="auto"/>
                <w:highlight w:val="none"/>
              </w:rPr>
              <w:t>。</w:t>
            </w:r>
          </w:p>
          <w:p w14:paraId="79ECEC69">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四、</w:t>
            </w:r>
            <w:r>
              <w:rPr>
                <w:rFonts w:hint="default" w:ascii="Times New Roman" w:hAnsi="Times New Roman" w:cs="Times New Roman"/>
                <w:b/>
                <w:bCs/>
                <w:color w:val="auto"/>
                <w:highlight w:val="none"/>
              </w:rPr>
              <w:t>生态环境</w:t>
            </w:r>
          </w:p>
          <w:p w14:paraId="5860F0C3">
            <w:pPr>
              <w:keepNext w:val="0"/>
              <w:keepLines w:val="0"/>
              <w:pageBreakBefore w:val="0"/>
              <w:widowControl/>
              <w:kinsoku/>
              <w:wordWrap/>
              <w:overflowPunct/>
              <w:topLinePunct w:val="0"/>
              <w:autoSpaceDE w:val="0"/>
              <w:autoSpaceDN w:val="0"/>
              <w:bidi w:val="0"/>
              <w:adjustRightInd w:val="0"/>
              <w:snapToGrid w:val="0"/>
              <w:ind w:firstLine="512" w:firstLineChars="200"/>
              <w:textAlignment w:val="baseline"/>
              <w:rPr>
                <w:rFonts w:hint="default" w:ascii="Times New Roman" w:hAnsi="Times New Roman" w:cs="Times New Roman"/>
                <w:color w:val="auto"/>
                <w:highlight w:val="none"/>
              </w:rPr>
            </w:pPr>
            <w:r>
              <w:rPr>
                <w:rFonts w:hint="default" w:ascii="Times New Roman" w:hAnsi="Times New Roman" w:cs="Times New Roman"/>
                <w:color w:val="auto"/>
                <w:spacing w:val="8"/>
              </w:rPr>
              <w:t>项目由于长期的农业、工业生产活动，该区域的自然生态已为人工生态代替，</w:t>
            </w:r>
            <w:r>
              <w:rPr>
                <w:rFonts w:hint="default" w:ascii="Times New Roman" w:hAnsi="Times New Roman" w:cs="Times New Roman"/>
                <w:color w:val="auto"/>
                <w:spacing w:val="7"/>
              </w:rPr>
              <w:t>人工植被</w:t>
            </w:r>
            <w:r>
              <w:rPr>
                <w:rFonts w:hint="default" w:ascii="Times New Roman" w:hAnsi="Times New Roman" w:cs="Times New Roman"/>
                <w:color w:val="auto"/>
                <w:spacing w:val="9"/>
              </w:rPr>
              <w:t>以绿化、景观树木为主，主要植物有木槿、冬青、柏树等。境内无国家重</w:t>
            </w:r>
            <w:r>
              <w:rPr>
                <w:rFonts w:hint="default" w:ascii="Times New Roman" w:hAnsi="Times New Roman" w:cs="Times New Roman"/>
                <w:color w:val="auto"/>
                <w:spacing w:val="8"/>
              </w:rPr>
              <w:t>点保护动植物</w:t>
            </w:r>
            <w:r>
              <w:rPr>
                <w:rFonts w:hint="default" w:ascii="Times New Roman" w:hAnsi="Times New Roman" w:cs="Times New Roman"/>
                <w:color w:val="auto"/>
                <w:highlight w:val="none"/>
              </w:rPr>
              <w:t>。</w:t>
            </w:r>
          </w:p>
          <w:p w14:paraId="438783C7">
            <w:pPr>
              <w:keepNext w:val="0"/>
              <w:keepLines w:val="0"/>
              <w:pageBreakBefore w:val="0"/>
              <w:widowControl/>
              <w:kinsoku/>
              <w:wordWrap/>
              <w:overflowPunct/>
              <w:topLinePunct w:val="0"/>
              <w:autoSpaceDE w:val="0"/>
              <w:autoSpaceDN w:val="0"/>
              <w:bidi w:val="0"/>
              <w:adjustRightInd w:val="0"/>
              <w:snapToGrid w:val="0"/>
              <w:ind w:firstLine="482" w:firstLineChars="200"/>
              <w:textAlignment w:val="baseline"/>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五、电磁辐射</w:t>
            </w:r>
          </w:p>
          <w:p w14:paraId="143672DE">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highlight w:val="none"/>
              </w:rPr>
              <w:t>本项目不属于广播电台、差转台、电视塔台、卫星地球上行站、雷达等电磁辐射类项目，本评价不再开展电磁环境影响分析。</w:t>
            </w:r>
          </w:p>
        </w:tc>
      </w:tr>
      <w:tr w14:paraId="63B4EE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64" w:hRule="atLeast"/>
          <w:jc w:val="center"/>
        </w:trPr>
        <w:tc>
          <w:tcPr>
            <w:tcW w:w="579" w:type="dxa"/>
            <w:tcBorders>
              <w:top w:val="single" w:color="000000" w:sz="2" w:space="0"/>
              <w:right w:val="single" w:color="000000" w:sz="8" w:space="0"/>
            </w:tcBorders>
            <w:vAlign w:val="center"/>
          </w:tcPr>
          <w:p w14:paraId="57B66E0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59"/>
              </w:rPr>
              <w:t>环境保护目标</w:t>
            </w:r>
          </w:p>
        </w:tc>
        <w:tc>
          <w:tcPr>
            <w:tcW w:w="9285" w:type="dxa"/>
            <w:tcBorders>
              <w:top w:val="single" w:color="000000" w:sz="2" w:space="0"/>
              <w:left w:val="single" w:color="000000" w:sz="8" w:space="0"/>
            </w:tcBorders>
            <w:vAlign w:val="top"/>
          </w:tcPr>
          <w:p w14:paraId="4646CFA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项目周围无自然保护区、风景旅游点和文物古迹等需要特别保护的环境敏感对象。总体上不因项目的实施而改变区域环境现有功能。</w:t>
            </w:r>
          </w:p>
          <w:p w14:paraId="5704D7A8">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表3-2主要环境保护目标</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07"/>
              <w:gridCol w:w="1347"/>
              <w:gridCol w:w="1499"/>
              <w:gridCol w:w="1907"/>
              <w:gridCol w:w="2911"/>
            </w:tblGrid>
            <w:tr w14:paraId="344C7D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tcBorders>
                    <w:tl2br w:val="nil"/>
                    <w:tr2bl w:val="nil"/>
                  </w:tcBorders>
                  <w:vAlign w:val="center"/>
                </w:tcPr>
                <w:p w14:paraId="2FDC88A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保护类别</w:t>
                  </w:r>
                </w:p>
              </w:tc>
              <w:tc>
                <w:tcPr>
                  <w:tcW w:w="1347" w:type="dxa"/>
                  <w:tcBorders>
                    <w:tl2br w:val="nil"/>
                    <w:tr2bl w:val="nil"/>
                  </w:tcBorders>
                  <w:vAlign w:val="center"/>
                </w:tcPr>
                <w:p w14:paraId="3EFF24C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保护对象</w:t>
                  </w:r>
                </w:p>
              </w:tc>
              <w:tc>
                <w:tcPr>
                  <w:tcW w:w="1499" w:type="dxa"/>
                  <w:tcBorders>
                    <w:tl2br w:val="nil"/>
                    <w:tr2bl w:val="nil"/>
                  </w:tcBorders>
                  <w:vAlign w:val="center"/>
                </w:tcPr>
                <w:p w14:paraId="79CFC3A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相对厂址方位</w:t>
                  </w:r>
                </w:p>
              </w:tc>
              <w:tc>
                <w:tcPr>
                  <w:tcW w:w="1907" w:type="dxa"/>
                  <w:tcBorders>
                    <w:tl2br w:val="nil"/>
                    <w:tr2bl w:val="nil"/>
                  </w:tcBorders>
                  <w:vAlign w:val="center"/>
                </w:tcPr>
                <w:p w14:paraId="21FAAC7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相对厂界距离（m）</w:t>
                  </w:r>
                </w:p>
              </w:tc>
              <w:tc>
                <w:tcPr>
                  <w:tcW w:w="2911" w:type="dxa"/>
                  <w:tcBorders>
                    <w:tl2br w:val="nil"/>
                    <w:tr2bl w:val="nil"/>
                  </w:tcBorders>
                  <w:vAlign w:val="center"/>
                </w:tcPr>
                <w:p w14:paraId="41798AB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环境功能区</w:t>
                  </w:r>
                </w:p>
              </w:tc>
            </w:tr>
            <w:tr w14:paraId="0A21F0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vMerge w:val="restart"/>
                  <w:tcBorders>
                    <w:tl2br w:val="nil"/>
                    <w:tr2bl w:val="nil"/>
                  </w:tcBorders>
                  <w:vAlign w:val="center"/>
                </w:tcPr>
                <w:p w14:paraId="0079B3F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1347" w:type="dxa"/>
                  <w:tcBorders>
                    <w:tl2br w:val="nil"/>
                    <w:tr2bl w:val="nil"/>
                  </w:tcBorders>
                  <w:vAlign w:val="center"/>
                </w:tcPr>
                <w:p w14:paraId="23E93F7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大土屋村</w:t>
                  </w:r>
                </w:p>
              </w:tc>
              <w:tc>
                <w:tcPr>
                  <w:tcW w:w="1499" w:type="dxa"/>
                  <w:tcBorders>
                    <w:tl2br w:val="nil"/>
                    <w:tr2bl w:val="nil"/>
                  </w:tcBorders>
                  <w:vAlign w:val="center"/>
                </w:tcPr>
                <w:p w14:paraId="407C544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S</w:t>
                  </w:r>
                </w:p>
              </w:tc>
              <w:tc>
                <w:tcPr>
                  <w:tcW w:w="1907" w:type="dxa"/>
                  <w:tcBorders>
                    <w:tl2br w:val="nil"/>
                    <w:tr2bl w:val="nil"/>
                  </w:tcBorders>
                  <w:vAlign w:val="center"/>
                </w:tcPr>
                <w:p w14:paraId="4CB8474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185</w:t>
                  </w:r>
                </w:p>
              </w:tc>
              <w:tc>
                <w:tcPr>
                  <w:tcW w:w="2911" w:type="dxa"/>
                  <w:vMerge w:val="restart"/>
                  <w:tcBorders>
                    <w:tl2br w:val="nil"/>
                    <w:tr2bl w:val="nil"/>
                  </w:tcBorders>
                  <w:vAlign w:val="center"/>
                </w:tcPr>
                <w:p w14:paraId="5C77C31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p>
                <w:p w14:paraId="4BBD8DF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（GB3095-2012）及其修改单</w:t>
                  </w:r>
                </w:p>
                <w:p w14:paraId="6B30FBE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二级标准</w:t>
                  </w:r>
                </w:p>
              </w:tc>
            </w:tr>
            <w:tr w14:paraId="03660C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vMerge w:val="continue"/>
                  <w:tcBorders>
                    <w:tl2br w:val="nil"/>
                    <w:tr2bl w:val="nil"/>
                  </w:tcBorders>
                  <w:vAlign w:val="center"/>
                </w:tcPr>
                <w:p w14:paraId="4865A18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7" w:type="dxa"/>
                  <w:tcBorders>
                    <w:tl2br w:val="nil"/>
                    <w:tr2bl w:val="nil"/>
                  </w:tcBorders>
                  <w:vAlign w:val="center"/>
                </w:tcPr>
                <w:p w14:paraId="0CA2C75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南旺</w:t>
                  </w:r>
                </w:p>
              </w:tc>
              <w:tc>
                <w:tcPr>
                  <w:tcW w:w="1499" w:type="dxa"/>
                  <w:tcBorders>
                    <w:tl2br w:val="nil"/>
                    <w:tr2bl w:val="nil"/>
                  </w:tcBorders>
                  <w:vAlign w:val="center"/>
                </w:tcPr>
                <w:p w14:paraId="46DCFAF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NW</w:t>
                  </w:r>
                </w:p>
              </w:tc>
              <w:tc>
                <w:tcPr>
                  <w:tcW w:w="1907" w:type="dxa"/>
                  <w:tcBorders>
                    <w:tl2br w:val="nil"/>
                    <w:tr2bl w:val="nil"/>
                  </w:tcBorders>
                  <w:vAlign w:val="center"/>
                </w:tcPr>
                <w:p w14:paraId="69334CB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205</w:t>
                  </w:r>
                </w:p>
              </w:tc>
              <w:tc>
                <w:tcPr>
                  <w:tcW w:w="2911" w:type="dxa"/>
                  <w:vMerge w:val="continue"/>
                  <w:tcBorders>
                    <w:tl2br w:val="nil"/>
                    <w:tr2bl w:val="nil"/>
                  </w:tcBorders>
                  <w:vAlign w:val="center"/>
                </w:tcPr>
                <w:p w14:paraId="5F09070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r>
            <w:tr w14:paraId="1837E2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vMerge w:val="restart"/>
                  <w:tcBorders>
                    <w:tl2br w:val="nil"/>
                    <w:tr2bl w:val="nil"/>
                  </w:tcBorders>
                  <w:vAlign w:val="center"/>
                </w:tcPr>
                <w:p w14:paraId="4A4AF29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地表水</w:t>
                  </w:r>
                </w:p>
              </w:tc>
              <w:tc>
                <w:tcPr>
                  <w:tcW w:w="1347" w:type="dxa"/>
                  <w:tcBorders>
                    <w:tl2br w:val="nil"/>
                    <w:tr2bl w:val="nil"/>
                  </w:tcBorders>
                  <w:vAlign w:val="center"/>
                </w:tcPr>
                <w:p w14:paraId="5F9F826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孝妇河</w:t>
                  </w:r>
                </w:p>
              </w:tc>
              <w:tc>
                <w:tcPr>
                  <w:tcW w:w="1499" w:type="dxa"/>
                  <w:tcBorders>
                    <w:tl2br w:val="nil"/>
                    <w:tr2bl w:val="nil"/>
                  </w:tcBorders>
                  <w:vAlign w:val="center"/>
                </w:tcPr>
                <w:p w14:paraId="105E19C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w:t>
                  </w:r>
                </w:p>
              </w:tc>
              <w:tc>
                <w:tcPr>
                  <w:tcW w:w="1907" w:type="dxa"/>
                  <w:tcBorders>
                    <w:tl2br w:val="nil"/>
                    <w:tr2bl w:val="nil"/>
                  </w:tcBorders>
                  <w:vAlign w:val="center"/>
                </w:tcPr>
                <w:p w14:paraId="13EF151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5100</w:t>
                  </w:r>
                </w:p>
              </w:tc>
              <w:tc>
                <w:tcPr>
                  <w:tcW w:w="2911" w:type="dxa"/>
                  <w:vMerge w:val="restart"/>
                  <w:tcBorders>
                    <w:tl2br w:val="nil"/>
                    <w:tr2bl w:val="nil"/>
                  </w:tcBorders>
                  <w:vAlign w:val="center"/>
                </w:tcPr>
                <w:p w14:paraId="450630F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《地表水环境质量标准》(GB3838-2002)</w:t>
                  </w:r>
                  <w:r>
                    <w:rPr>
                      <w:rFonts w:hint="default" w:ascii="Times New Roman" w:hAnsi="Times New Roman" w:cs="Times New Roman"/>
                      <w:color w:val="auto"/>
                      <w:sz w:val="21"/>
                      <w:szCs w:val="21"/>
                      <w:highlight w:val="none"/>
                      <w:lang w:val="en-US" w:eastAsia="zh-CN"/>
                    </w:rPr>
                    <w:t>Ⅲ</w:t>
                  </w:r>
                  <w:r>
                    <w:rPr>
                      <w:rFonts w:hint="default" w:ascii="Times New Roman" w:hAnsi="Times New Roman" w:cs="Times New Roman"/>
                      <w:color w:val="auto"/>
                      <w:sz w:val="21"/>
                      <w:szCs w:val="21"/>
                      <w:highlight w:val="none"/>
                    </w:rPr>
                    <w:t>类标准</w:t>
                  </w:r>
                </w:p>
              </w:tc>
            </w:tr>
            <w:tr w14:paraId="09B98A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vMerge w:val="continue"/>
                  <w:tcBorders>
                    <w:tl2br w:val="nil"/>
                    <w:tr2bl w:val="nil"/>
                  </w:tcBorders>
                  <w:vAlign w:val="center"/>
                </w:tcPr>
                <w:p w14:paraId="0A13E47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7" w:type="dxa"/>
                  <w:tcBorders>
                    <w:tl2br w:val="nil"/>
                    <w:tr2bl w:val="nil"/>
                  </w:tcBorders>
                  <w:vAlign w:val="center"/>
                </w:tcPr>
                <w:p w14:paraId="60C4899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般阳河</w:t>
                  </w:r>
                </w:p>
              </w:tc>
              <w:tc>
                <w:tcPr>
                  <w:tcW w:w="1499" w:type="dxa"/>
                  <w:tcBorders>
                    <w:tl2br w:val="nil"/>
                    <w:tr2bl w:val="nil"/>
                  </w:tcBorders>
                  <w:vAlign w:val="center"/>
                </w:tcPr>
                <w:p w14:paraId="233D6C7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w:t>
                  </w:r>
                </w:p>
              </w:tc>
              <w:tc>
                <w:tcPr>
                  <w:tcW w:w="1907" w:type="dxa"/>
                  <w:tcBorders>
                    <w:tl2br w:val="nil"/>
                    <w:tr2bl w:val="nil"/>
                  </w:tcBorders>
                  <w:vAlign w:val="center"/>
                </w:tcPr>
                <w:p w14:paraId="55F9A00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1795</w:t>
                  </w:r>
                </w:p>
              </w:tc>
              <w:tc>
                <w:tcPr>
                  <w:tcW w:w="2911" w:type="dxa"/>
                  <w:vMerge w:val="continue"/>
                  <w:tcBorders>
                    <w:tl2br w:val="nil"/>
                    <w:tr2bl w:val="nil"/>
                  </w:tcBorders>
                  <w:vAlign w:val="center"/>
                </w:tcPr>
                <w:p w14:paraId="3F5E2D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r>
            <w:tr w14:paraId="5DC4E2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tcBorders>
                    <w:tl2br w:val="nil"/>
                    <w:tr2bl w:val="nil"/>
                  </w:tcBorders>
                  <w:vAlign w:val="center"/>
                </w:tcPr>
                <w:p w14:paraId="50D94CD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4753" w:type="dxa"/>
                  <w:gridSpan w:val="3"/>
                  <w:tcBorders>
                    <w:tl2br w:val="nil"/>
                    <w:tr2bl w:val="nil"/>
                  </w:tcBorders>
                  <w:vAlign w:val="center"/>
                </w:tcPr>
                <w:p w14:paraId="6D720C3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厂界外50m范围内无声环境保护目标</w:t>
                  </w:r>
                </w:p>
              </w:tc>
              <w:tc>
                <w:tcPr>
                  <w:tcW w:w="2911" w:type="dxa"/>
                  <w:tcBorders>
                    <w:tl2br w:val="nil"/>
                    <w:tr2bl w:val="nil"/>
                  </w:tcBorders>
                  <w:vAlign w:val="center"/>
                </w:tcPr>
                <w:p w14:paraId="7C2F808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《声环境质量标准》</w:t>
                  </w:r>
                </w:p>
                <w:p w14:paraId="019D126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（GB3096-2008）的2类声环</w:t>
                  </w:r>
                </w:p>
                <w:p w14:paraId="5BF049B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境功能区要求</w:t>
                  </w:r>
                </w:p>
              </w:tc>
            </w:tr>
            <w:tr w14:paraId="589676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tcBorders>
                    <w:tl2br w:val="nil"/>
                    <w:tr2bl w:val="nil"/>
                  </w:tcBorders>
                  <w:vAlign w:val="center"/>
                </w:tcPr>
                <w:p w14:paraId="2BC33BC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地下水环境</w:t>
                  </w:r>
                </w:p>
              </w:tc>
              <w:tc>
                <w:tcPr>
                  <w:tcW w:w="4753" w:type="dxa"/>
                  <w:gridSpan w:val="3"/>
                  <w:tcBorders>
                    <w:tl2br w:val="nil"/>
                    <w:tr2bl w:val="nil"/>
                  </w:tcBorders>
                  <w:vAlign w:val="center"/>
                </w:tcPr>
                <w:p w14:paraId="64FEA41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厂界外500米范围内无地下水集中式饮用水源和热水、矿泉水、温泉等特殊地下水资源</w:t>
                  </w:r>
                </w:p>
              </w:tc>
              <w:tc>
                <w:tcPr>
                  <w:tcW w:w="2911" w:type="dxa"/>
                  <w:tcBorders>
                    <w:tl2br w:val="nil"/>
                    <w:tr2bl w:val="nil"/>
                  </w:tcBorders>
                  <w:vAlign w:val="center"/>
                </w:tcPr>
                <w:p w14:paraId="1B0A468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《地下水质量标准》</w:t>
                  </w:r>
                </w:p>
                <w:p w14:paraId="3114AF4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（GB/T14848-2017）Ⅲ类标准</w:t>
                  </w:r>
                </w:p>
              </w:tc>
            </w:tr>
            <w:tr w14:paraId="1024EA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407" w:type="dxa"/>
                  <w:tcBorders>
                    <w:tl2br w:val="nil"/>
                    <w:tr2bl w:val="nil"/>
                  </w:tcBorders>
                  <w:vAlign w:val="center"/>
                </w:tcPr>
                <w:p w14:paraId="36E55AC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生态环境</w:t>
                  </w:r>
                </w:p>
              </w:tc>
              <w:tc>
                <w:tcPr>
                  <w:tcW w:w="4753" w:type="dxa"/>
                  <w:gridSpan w:val="3"/>
                  <w:tcBorders>
                    <w:tl2br w:val="nil"/>
                    <w:tr2bl w:val="nil"/>
                  </w:tcBorders>
                  <w:vAlign w:val="center"/>
                </w:tcPr>
                <w:p w14:paraId="1CDD4A9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项目占地范围内</w:t>
                  </w:r>
                </w:p>
              </w:tc>
              <w:tc>
                <w:tcPr>
                  <w:tcW w:w="2911" w:type="dxa"/>
                  <w:tcBorders>
                    <w:tl2br w:val="nil"/>
                    <w:tr2bl w:val="nil"/>
                  </w:tcBorders>
                  <w:vAlign w:val="center"/>
                </w:tcPr>
                <w:p w14:paraId="5DA4875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79079D11">
            <w:pPr>
              <w:spacing w:line="30" w:lineRule="auto"/>
              <w:rPr>
                <w:rFonts w:hint="default" w:ascii="Times New Roman" w:hAnsi="Times New Roman" w:cs="Times New Roman"/>
                <w:color w:val="auto"/>
                <w:sz w:val="2"/>
              </w:rPr>
            </w:pPr>
          </w:p>
        </w:tc>
      </w:tr>
      <w:tr w14:paraId="4002F4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79" w:type="dxa"/>
            <w:tcBorders>
              <w:bottom w:val="single" w:color="000000" w:sz="4" w:space="0"/>
              <w:right w:val="single" w:color="000000" w:sz="8" w:space="0"/>
            </w:tcBorders>
            <w:vAlign w:val="center"/>
          </w:tcPr>
          <w:p w14:paraId="0ED2E75B">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污</w:t>
            </w:r>
          </w:p>
          <w:p w14:paraId="44864832">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染</w:t>
            </w:r>
          </w:p>
          <w:p w14:paraId="2B1A4CC4">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物</w:t>
            </w:r>
          </w:p>
          <w:p w14:paraId="4ED63E3C">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排</w:t>
            </w:r>
          </w:p>
          <w:p w14:paraId="62E79C3D">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放</w:t>
            </w:r>
          </w:p>
          <w:p w14:paraId="318860DD">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控</w:t>
            </w:r>
          </w:p>
          <w:p w14:paraId="1D1470A0">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制</w:t>
            </w:r>
          </w:p>
          <w:p w14:paraId="2E859783">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标</w:t>
            </w:r>
          </w:p>
          <w:p w14:paraId="6F3E3BB3">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auto"/>
              </w:rPr>
            </w:pPr>
            <w:r>
              <w:rPr>
                <w:rFonts w:hint="default" w:ascii="Times New Roman" w:hAnsi="Times New Roman" w:cs="Times New Roman"/>
                <w:color w:val="auto"/>
              </w:rPr>
              <w:t>准</w:t>
            </w:r>
          </w:p>
        </w:tc>
        <w:tc>
          <w:tcPr>
            <w:tcW w:w="9285" w:type="dxa"/>
            <w:tcBorders>
              <w:left w:val="single" w:color="000000" w:sz="8" w:space="0"/>
              <w:bottom w:val="single" w:color="000000" w:sz="4" w:space="0"/>
            </w:tcBorders>
            <w:vAlign w:val="top"/>
          </w:tcPr>
          <w:p w14:paraId="27D78256">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一、废气</w:t>
            </w:r>
          </w:p>
          <w:p w14:paraId="3FFC7D0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（1）有组织废气</w:t>
            </w:r>
          </w:p>
          <w:p w14:paraId="6A11619C">
            <w:pPr>
              <w:keepNext w:val="0"/>
              <w:keepLines w:val="0"/>
              <w:pageBreakBefore w:val="0"/>
              <w:widowControl/>
              <w:kinsoku/>
              <w:wordWrap/>
              <w:overflowPunct/>
              <w:topLinePunct w:val="0"/>
              <w:autoSpaceDE w:val="0"/>
              <w:autoSpaceDN w:val="0"/>
              <w:bidi w:val="0"/>
              <w:adjustRightInd w:val="0"/>
              <w:snapToGrid w:val="0"/>
              <w:spacing w:line="360" w:lineRule="auto"/>
              <w:ind w:firstLine="0" w:firstLineChars="0"/>
              <w:jc w:val="both"/>
              <w:textAlignment w:val="baseline"/>
              <w:rPr>
                <w:color w:val="auto"/>
                <w:szCs w:val="21"/>
                <w:highlight w:val="none"/>
              </w:rPr>
            </w:pPr>
            <w:r>
              <w:rPr>
                <w:rFonts w:hint="default" w:ascii="Times New Roman" w:hAnsi="Times New Roman" w:eastAsia="宋体" w:cs="Times New Roman"/>
                <w:color w:val="auto"/>
                <w:sz w:val="24"/>
                <w:szCs w:val="24"/>
              </w:rPr>
              <w:t>本项目有组织VOCs排放浓度及排放速率执行</w:t>
            </w:r>
            <w:r>
              <w:rPr>
                <w:rFonts w:hint="eastAsia" w:ascii="Times New Roman" w:hAnsi="Times New Roman" w:cs="Times New Roman"/>
                <w:color w:val="auto"/>
                <w:sz w:val="24"/>
                <w:szCs w:val="24"/>
                <w:highlight w:val="none"/>
                <w:lang w:eastAsia="zh-CN"/>
              </w:rPr>
              <w:t>《挥发性有机物排放标准第7部分：其他行业》（DB37/2801.7-2019）</w:t>
            </w:r>
            <w:r>
              <w:rPr>
                <w:rFonts w:hint="default" w:ascii="Times New Roman" w:hAnsi="Times New Roman" w:eastAsia="宋体" w:cs="Times New Roman"/>
                <w:color w:val="auto"/>
                <w:sz w:val="24"/>
                <w:szCs w:val="24"/>
                <w:highlight w:val="none"/>
                <w:lang w:eastAsia="zh-CN"/>
              </w:rPr>
              <w:t>表</w:t>
            </w:r>
            <w:r>
              <w:rPr>
                <w:rFonts w:hint="eastAsia" w:ascii="Times New Roman" w:hAnsi="Times New Roman" w:cs="Times New Roman"/>
                <w:color w:val="auto"/>
                <w:sz w:val="24"/>
                <w:szCs w:val="24"/>
                <w:highlight w:val="none"/>
                <w:lang w:val="en-US" w:eastAsia="zh-CN"/>
              </w:rPr>
              <w:t>1非重点行业Ⅱ时段</w:t>
            </w:r>
            <w:r>
              <w:rPr>
                <w:rFonts w:hint="default" w:ascii="Times New Roman" w:hAnsi="Times New Roman" w:eastAsia="宋体" w:cs="Times New Roman"/>
                <w:color w:val="auto"/>
                <w:sz w:val="24"/>
                <w:szCs w:val="24"/>
                <w:lang w:eastAsia="zh-CN"/>
              </w:rPr>
              <w:t>排放限值</w:t>
            </w:r>
            <w:r>
              <w:rPr>
                <w:rFonts w:hint="default" w:ascii="Times New Roman" w:hAnsi="Times New Roman" w:eastAsia="宋体" w:cs="Times New Roman"/>
                <w:color w:val="auto"/>
                <w:sz w:val="24"/>
                <w:szCs w:val="24"/>
              </w:rPr>
              <w:t>要求</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VOCs：</w:t>
            </w:r>
            <w:r>
              <w:rPr>
                <w:rFonts w:hint="eastAsia" w:ascii="Times New Roman" w:hAnsi="Times New Roman" w:cs="Times New Roman"/>
                <w:color w:val="auto"/>
                <w:sz w:val="24"/>
                <w:szCs w:val="24"/>
                <w:lang w:val="en-US" w:eastAsia="zh-CN"/>
              </w:rPr>
              <w:t>60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kg/h</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有组织颗粒物排放浓度执行《区域性大气污染物综合排放标准》（DB37/2376-2019）中表1中重点控制区大气污染物排放浓度限值</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val="en-US" w:eastAsia="zh-CN"/>
              </w:rPr>
              <w:t>有组织苯乙烯、臭气浓度</w:t>
            </w:r>
            <w:r>
              <w:rPr>
                <w:rFonts w:hint="default" w:ascii="Times New Roman" w:hAnsi="Times New Roman" w:eastAsia="宋体" w:cs="Times New Roman"/>
                <w:color w:val="auto"/>
                <w:sz w:val="24"/>
                <w:szCs w:val="24"/>
              </w:rPr>
              <w:t>排放速率执行</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恶臭污染物排放标准</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GB14554-93</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表2排放要求（苯乙烯：6.5</w:t>
            </w:r>
            <w:r>
              <w:rPr>
                <w:rFonts w:hint="default" w:ascii="Times New Roman" w:hAnsi="Times New Roman" w:eastAsia="宋体" w:cs="Times New Roman"/>
                <w:color w:val="auto"/>
                <w:sz w:val="24"/>
                <w:szCs w:val="24"/>
                <w:lang w:val="en-US" w:eastAsia="zh-CN"/>
              </w:rPr>
              <w:t>kg/h</w:t>
            </w:r>
            <w:r>
              <w:rPr>
                <w:rFonts w:hint="eastAsia" w:ascii="Times New Roman" w:hAnsi="Times New Roman" w:cs="Times New Roman"/>
                <w:color w:val="auto"/>
                <w:sz w:val="24"/>
                <w:szCs w:val="24"/>
                <w:lang w:val="en-US" w:eastAsia="zh-CN"/>
              </w:rPr>
              <w:t>，臭气浓度：2000（无量纲））。</w:t>
            </w:r>
            <w:r>
              <w:rPr>
                <w:rFonts w:hint="default" w:ascii="Times New Roman" w:hAnsi="Times New Roman" w:cs="Times New Roman"/>
                <w:color w:val="auto"/>
                <w:szCs w:val="21"/>
                <w:highlight w:val="none"/>
              </w:rPr>
              <w:t>有组织</w:t>
            </w:r>
            <w:r>
              <w:rPr>
                <w:rFonts w:hint="default" w:ascii="Times New Roman" w:hAnsi="Times New Roman" w:cs="Times New Roman"/>
                <w:snapToGrid w:val="0"/>
                <w:color w:val="auto"/>
                <w:kern w:val="0"/>
                <w:szCs w:val="21"/>
                <w:highlight w:val="none"/>
              </w:rPr>
              <w:t>酚类</w:t>
            </w:r>
            <w:r>
              <w:rPr>
                <w:rFonts w:hint="default" w:ascii="Times New Roman" w:hAnsi="Times New Roman" w:cs="Times New Roman"/>
                <w:color w:val="auto"/>
                <w:szCs w:val="21"/>
                <w:highlight w:val="none"/>
              </w:rPr>
              <w:t>废气执行《大气污染物综合排放标准》</w:t>
            </w:r>
            <w:r>
              <w:rPr>
                <w:rFonts w:hint="default" w:ascii="Times New Roman" w:hAnsi="Times New Roman" w:cs="Times New Roman"/>
                <w:bCs/>
                <w:color w:val="auto"/>
                <w:szCs w:val="21"/>
                <w:highlight w:val="none"/>
                <w:lang w:val="en-GB"/>
              </w:rPr>
              <w:t xml:space="preserve"> (GB16297-1996)表2中</w:t>
            </w:r>
            <w:r>
              <w:rPr>
                <w:rFonts w:hint="default" w:ascii="Times New Roman" w:hAnsi="Times New Roman" w:cs="Times New Roman"/>
                <w:bCs/>
                <w:color w:val="auto"/>
                <w:szCs w:val="21"/>
                <w:highlight w:val="none"/>
              </w:rPr>
              <w:t>二级限值（100</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、0.10kg/h</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eastAsia="zh-CN"/>
              </w:rPr>
              <w:t>。</w:t>
            </w:r>
            <w:r>
              <w:rPr>
                <w:rFonts w:hint="default" w:ascii="Times New Roman" w:hAnsi="Times New Roman" w:cs="Times New Roman"/>
                <w:color w:val="auto"/>
                <w:szCs w:val="21"/>
                <w:highlight w:val="none"/>
              </w:rPr>
              <w:t>有组织甲醛废气执行《大气污染物综合排放标准》</w:t>
            </w:r>
            <w:r>
              <w:rPr>
                <w:rFonts w:hint="default" w:ascii="Times New Roman" w:hAnsi="Times New Roman" w:cs="Times New Roman"/>
                <w:bCs/>
                <w:color w:val="auto"/>
                <w:szCs w:val="21"/>
                <w:highlight w:val="none"/>
                <w:lang w:val="en-GB"/>
              </w:rPr>
              <w:t xml:space="preserve"> (GB16297-1996)表2中</w:t>
            </w:r>
            <w:r>
              <w:rPr>
                <w:rFonts w:hint="default" w:ascii="Times New Roman" w:hAnsi="Times New Roman" w:cs="Times New Roman"/>
                <w:bCs/>
                <w:color w:val="auto"/>
                <w:szCs w:val="21"/>
                <w:highlight w:val="none"/>
              </w:rPr>
              <w:t>二级限值（25</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、0.26kg/h</w:t>
            </w:r>
            <w:r>
              <w:rPr>
                <w:rFonts w:hint="default" w:ascii="Times New Roman" w:hAnsi="Times New Roman" w:cs="Times New Roman"/>
                <w:bCs/>
                <w:color w:val="auto"/>
                <w:szCs w:val="21"/>
                <w:highlight w:val="none"/>
              </w:rPr>
              <w:t>）</w:t>
            </w:r>
            <w:r>
              <w:rPr>
                <w:rFonts w:hint="default" w:ascii="Times New Roman" w:hAnsi="Times New Roman" w:cs="Times New Roman"/>
                <w:color w:val="auto"/>
                <w:szCs w:val="21"/>
                <w:highlight w:val="none"/>
              </w:rPr>
              <w:t>。</w:t>
            </w:r>
          </w:p>
          <w:p w14:paraId="78D65FD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（2）无组织废气</w:t>
            </w:r>
          </w:p>
          <w:p w14:paraId="6DCC2EEC">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eastAsia" w:ascii="Times New Roman" w:hAnsi="Times New Roman" w:cs="Times New Roman"/>
                <w:color w:val="auto"/>
                <w:sz w:val="24"/>
                <w:szCs w:val="24"/>
                <w:lang w:val="en-US" w:eastAsia="zh-CN"/>
              </w:rPr>
              <w:t>厂界</w:t>
            </w:r>
            <w:r>
              <w:rPr>
                <w:rFonts w:hint="default" w:ascii="Times New Roman" w:hAnsi="Times New Roman" w:eastAsia="宋体" w:cs="Times New Roman"/>
                <w:color w:val="auto"/>
                <w:sz w:val="24"/>
                <w:szCs w:val="24"/>
              </w:rPr>
              <w:t>无组织VOCs</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臭气浓度</w:t>
            </w:r>
            <w:r>
              <w:rPr>
                <w:rFonts w:hint="default" w:ascii="Times New Roman" w:hAnsi="Times New Roman" w:eastAsia="宋体" w:cs="Times New Roman"/>
                <w:color w:val="auto"/>
                <w:sz w:val="24"/>
                <w:szCs w:val="24"/>
              </w:rPr>
              <w:t>排放浓度执行</w:t>
            </w:r>
            <w:r>
              <w:rPr>
                <w:rFonts w:hint="eastAsia" w:ascii="Times New Roman" w:hAnsi="Times New Roman" w:cs="Times New Roman"/>
                <w:color w:val="auto"/>
                <w:sz w:val="24"/>
                <w:szCs w:val="24"/>
                <w:lang w:eastAsia="zh-CN"/>
              </w:rPr>
              <w:t>《挥发性有机物排放标准第7部分：其他行业》（DB37/2801.7-2019）</w:t>
            </w:r>
            <w:r>
              <w:rPr>
                <w:rFonts w:hint="default" w:ascii="Times New Roman" w:hAnsi="Times New Roman" w:eastAsia="宋体" w:cs="Times New Roman"/>
                <w:color w:val="auto"/>
                <w:sz w:val="24"/>
                <w:szCs w:val="24"/>
                <w:lang w:eastAsia="zh-CN"/>
              </w:rPr>
              <w:t>表</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eastAsia="zh-CN"/>
              </w:rPr>
              <w:t>厂界无组织排放限值</w:t>
            </w:r>
            <w:r>
              <w:rPr>
                <w:rFonts w:hint="default" w:ascii="Times New Roman" w:hAnsi="Times New Roman" w:eastAsia="宋体" w:cs="Times New Roman"/>
                <w:color w:val="auto"/>
                <w:sz w:val="24"/>
                <w:szCs w:val="24"/>
              </w:rPr>
              <w:t>要求</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VOCs</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；臭气浓度：16（无量纲）</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p>
          <w:p w14:paraId="74BD24A4">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厂区内</w:t>
            </w:r>
            <w:r>
              <w:rPr>
                <w:rFonts w:hint="default" w:ascii="Times New Roman" w:hAnsi="Times New Roman" w:eastAsia="宋体" w:cs="Times New Roman"/>
                <w:color w:val="auto"/>
                <w:sz w:val="24"/>
                <w:szCs w:val="24"/>
                <w:lang w:val="en-US" w:eastAsia="zh-CN"/>
              </w:rPr>
              <w:t>无组织</w:t>
            </w:r>
            <w:r>
              <w:rPr>
                <w:rFonts w:hint="default" w:ascii="Times New Roman" w:hAnsi="Times New Roman" w:eastAsia="宋体" w:cs="Times New Roman"/>
                <w:color w:val="auto"/>
                <w:sz w:val="24"/>
                <w:szCs w:val="24"/>
              </w:rPr>
              <w:t>VOCs</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颗粒物</w:t>
            </w:r>
            <w:r>
              <w:rPr>
                <w:rFonts w:hint="default" w:ascii="Times New Roman" w:hAnsi="Times New Roman" w:eastAsia="宋体" w:cs="Times New Roman"/>
                <w:color w:val="auto"/>
                <w:sz w:val="24"/>
                <w:szCs w:val="24"/>
                <w:lang w:val="en-US" w:eastAsia="zh-CN"/>
              </w:rPr>
              <w:t>执行《</w:t>
            </w:r>
            <w:r>
              <w:rPr>
                <w:rFonts w:hint="eastAsia"/>
                <w:color w:val="auto"/>
                <w:lang w:val="en-US" w:eastAsia="zh-CN"/>
              </w:rPr>
              <w:t>铸造工业大气污染物排放标准</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GB39726-2020</w:t>
            </w:r>
            <w:r>
              <w:rPr>
                <w:rFonts w:hint="default" w:ascii="Times New Roman" w:hAnsi="Times New Roman" w:eastAsia="宋体" w:cs="Times New Roman"/>
                <w:color w:val="auto"/>
                <w:sz w:val="24"/>
                <w:szCs w:val="24"/>
                <w:lang w:val="en-US" w:eastAsia="zh-CN"/>
              </w:rPr>
              <w:t>）附录A，厂区内的无组织排放限值</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VOCs：</w:t>
            </w:r>
            <w:r>
              <w:rPr>
                <w:rFonts w:hint="eastAsia" w:ascii="Times New Roman" w:hAnsi="Times New Roman" w:cs="Times New Roman"/>
                <w:color w:val="auto"/>
                <w:sz w:val="24"/>
                <w:szCs w:val="24"/>
                <w:lang w:val="en-US" w:eastAsia="zh-CN"/>
              </w:rPr>
              <w:t>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（监控点处1h平均浓度值）</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30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（监控点处任意一次浓度值）；</w:t>
            </w:r>
            <w:r>
              <w:rPr>
                <w:rFonts w:hint="default" w:ascii="Times New Roman" w:hAnsi="Times New Roman" w:eastAsia="宋体" w:cs="Times New Roman"/>
                <w:color w:val="auto"/>
                <w:sz w:val="24"/>
                <w:szCs w:val="24"/>
                <w:lang w:eastAsia="zh-CN"/>
              </w:rPr>
              <w:t>颗粒物：</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14:paraId="51AF29AF">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厂界</w:t>
            </w:r>
            <w:r>
              <w:rPr>
                <w:rFonts w:hint="default" w:ascii="Times New Roman" w:hAnsi="Times New Roman" w:eastAsia="宋体" w:cs="Times New Roman"/>
                <w:color w:val="auto"/>
                <w:sz w:val="24"/>
                <w:szCs w:val="24"/>
                <w:lang w:eastAsia="zh-CN"/>
              </w:rPr>
              <w:t>无组织颗粒物</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酚类</w:t>
            </w:r>
            <w:r>
              <w:rPr>
                <w:rFonts w:hint="default" w:ascii="Times New Roman" w:hAnsi="Times New Roman" w:eastAsia="宋体" w:cs="Times New Roman"/>
                <w:color w:val="auto"/>
                <w:sz w:val="24"/>
                <w:szCs w:val="24"/>
                <w:lang w:val="en-US" w:eastAsia="zh-CN"/>
              </w:rPr>
              <w:t>执行</w:t>
            </w:r>
            <w:r>
              <w:rPr>
                <w:rFonts w:hint="default" w:ascii="Times New Roman" w:hAnsi="Times New Roman" w:eastAsia="宋体" w:cs="Times New Roman"/>
                <w:color w:val="auto"/>
                <w:sz w:val="24"/>
                <w:szCs w:val="24"/>
                <w:highlight w:val="none"/>
                <w:lang w:eastAsia="zh-CN"/>
              </w:rPr>
              <w:t>《大气污染物综合排放标准》（</w:t>
            </w:r>
            <w:r>
              <w:rPr>
                <w:rFonts w:hint="default" w:ascii="Times New Roman" w:hAnsi="Times New Roman" w:eastAsia="宋体" w:cs="Times New Roman"/>
                <w:color w:val="auto"/>
                <w:sz w:val="24"/>
                <w:szCs w:val="24"/>
                <w:highlight w:val="none"/>
                <w:lang w:val="en-US" w:eastAsia="zh-CN"/>
              </w:rPr>
              <w:t>GB16297-1996</w:t>
            </w:r>
            <w:r>
              <w:rPr>
                <w:rFonts w:hint="default" w:ascii="Times New Roman" w:hAnsi="Times New Roman" w:eastAsia="宋体" w:cs="Times New Roman"/>
                <w:color w:val="auto"/>
                <w:sz w:val="24"/>
                <w:szCs w:val="24"/>
                <w:highlight w:val="none"/>
                <w:lang w:eastAsia="zh-CN"/>
              </w:rPr>
              <w:t>）表</w:t>
            </w:r>
            <w:r>
              <w:rPr>
                <w:rFonts w:hint="default" w:ascii="Times New Roman" w:hAnsi="Times New Roman" w:eastAsia="宋体" w:cs="Times New Roman"/>
                <w:color w:val="auto"/>
                <w:sz w:val="24"/>
                <w:szCs w:val="24"/>
                <w:highlight w:val="none"/>
                <w:lang w:val="en-US" w:eastAsia="zh-CN"/>
              </w:rPr>
              <w:t>2中</w:t>
            </w:r>
            <w:r>
              <w:rPr>
                <w:rFonts w:hint="default" w:ascii="Times New Roman" w:hAnsi="Times New Roman" w:eastAsia="宋体" w:cs="Times New Roman"/>
                <w:color w:val="auto"/>
                <w:sz w:val="24"/>
                <w:szCs w:val="24"/>
              </w:rPr>
              <w:t>无组织排放监控浓度限值</w:t>
            </w:r>
            <w:r>
              <w:rPr>
                <w:rFonts w:hint="default" w:ascii="Times New Roman" w:hAnsi="Times New Roman" w:eastAsia="宋体" w:cs="Times New Roman"/>
                <w:color w:val="auto"/>
                <w:sz w:val="24"/>
                <w:szCs w:val="24"/>
                <w:highlight w:val="none"/>
                <w:lang w:val="en-US" w:eastAsia="zh-CN"/>
              </w:rPr>
              <w:t>要求（</w:t>
            </w:r>
            <w:r>
              <w:rPr>
                <w:rFonts w:hint="default" w:ascii="Times New Roman" w:hAnsi="Times New Roman" w:eastAsia="宋体" w:cs="Times New Roman"/>
                <w:color w:val="auto"/>
                <w:sz w:val="24"/>
                <w:szCs w:val="24"/>
                <w:lang w:eastAsia="zh-CN"/>
              </w:rPr>
              <w:t>颗粒物：</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；酚类0.08</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highlight w:val="none"/>
                <w:lang w:val="en-US" w:eastAsia="zh-CN"/>
              </w:rPr>
              <w:t>）。</w:t>
            </w:r>
          </w:p>
          <w:p w14:paraId="6995EC7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val="en-US"/>
              </w:rPr>
            </w:pPr>
            <w:r>
              <w:rPr>
                <w:rFonts w:hint="eastAsia" w:ascii="Times New Roman" w:hAnsi="Times New Roman" w:cs="Times New Roman"/>
                <w:color w:val="auto"/>
                <w:sz w:val="24"/>
                <w:szCs w:val="24"/>
                <w:lang w:val="en-US" w:eastAsia="zh-CN"/>
              </w:rPr>
              <w:t>厂界</w:t>
            </w:r>
            <w:r>
              <w:rPr>
                <w:rFonts w:hint="default" w:ascii="Times New Roman" w:hAnsi="Times New Roman" w:eastAsia="宋体" w:cs="Times New Roman"/>
                <w:color w:val="auto"/>
                <w:sz w:val="24"/>
                <w:szCs w:val="24"/>
                <w:lang w:eastAsia="zh-CN"/>
              </w:rPr>
              <w:t>无组织</w:t>
            </w:r>
            <w:r>
              <w:rPr>
                <w:rFonts w:hint="eastAsia" w:ascii="Times New Roman" w:hAnsi="Times New Roman" w:cs="Times New Roman"/>
                <w:color w:val="auto"/>
                <w:sz w:val="24"/>
                <w:szCs w:val="24"/>
                <w:lang w:val="en-US" w:eastAsia="zh-CN"/>
              </w:rPr>
              <w:t>苯乙烯、甲醛</w:t>
            </w:r>
            <w:r>
              <w:rPr>
                <w:rFonts w:hint="default" w:ascii="Times New Roman" w:hAnsi="Times New Roman" w:eastAsia="宋体" w:cs="Times New Roman"/>
                <w:color w:val="auto"/>
                <w:sz w:val="24"/>
                <w:szCs w:val="24"/>
                <w:lang w:val="en-US" w:eastAsia="zh-CN"/>
              </w:rPr>
              <w:t>执行</w:t>
            </w:r>
            <w:r>
              <w:rPr>
                <w:rFonts w:hint="eastAsia" w:ascii="Times New Roman" w:hAnsi="Times New Roman" w:cs="Times New Roman"/>
                <w:color w:val="auto"/>
                <w:sz w:val="24"/>
                <w:szCs w:val="24"/>
                <w:highlight w:val="none"/>
                <w:lang w:eastAsia="zh-CN"/>
              </w:rPr>
              <w:t>挥发性有机物排放标准第7部分：其他行业》（DB37/2801.7-2019）</w:t>
            </w:r>
            <w:r>
              <w:rPr>
                <w:rFonts w:hint="eastAsia" w:ascii="Times New Roman" w:hAnsi="Times New Roman" w:cs="Times New Roman"/>
                <w:color w:val="auto"/>
                <w:sz w:val="24"/>
                <w:szCs w:val="24"/>
                <w:highlight w:val="none"/>
                <w:lang w:val="en-US" w:eastAsia="zh-CN"/>
              </w:rPr>
              <w:t>表3无组织限值（</w:t>
            </w:r>
            <w:r>
              <w:rPr>
                <w:rFonts w:hint="eastAsia" w:ascii="Times New Roman" w:hAnsi="Times New Roman" w:cs="Times New Roman"/>
                <w:color w:val="auto"/>
                <w:sz w:val="24"/>
                <w:szCs w:val="24"/>
                <w:lang w:val="en-US" w:eastAsia="zh-CN"/>
              </w:rPr>
              <w:t>苯乙烯：1.0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，甲醛0.05</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highlight w:val="none"/>
                <w:lang w:val="en-US" w:eastAsia="zh-CN"/>
              </w:rPr>
              <w:t>）。</w:t>
            </w:r>
          </w:p>
          <w:p w14:paraId="47C2DCFD">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二、废水</w:t>
            </w:r>
          </w:p>
          <w:p w14:paraId="31453AF2">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本项目无废水产生及排放。</w:t>
            </w:r>
          </w:p>
          <w:p w14:paraId="005E1AE2">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三、噪声</w:t>
            </w:r>
          </w:p>
          <w:p w14:paraId="20B007C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厂界噪声执行《工业企业厂界环境噪声排放标准》（GB12348-2008）表1中</w:t>
            </w:r>
            <w:r>
              <w:rPr>
                <w:rFonts w:hint="eastAsia" w:ascii="Times New Roman" w:hAnsi="Times New Roman" w:cs="Times New Roman"/>
                <w:color w:val="auto"/>
                <w:lang w:val="en-US" w:eastAsia="zh-CN"/>
              </w:rPr>
              <w:t>2</w:t>
            </w:r>
            <w:r>
              <w:rPr>
                <w:rFonts w:hint="default" w:ascii="Times New Roman" w:hAnsi="Times New Roman" w:eastAsia="宋体" w:cs="Times New Roman"/>
                <w:color w:val="auto"/>
              </w:rPr>
              <w:t>类区标准要求。</w:t>
            </w:r>
          </w:p>
          <w:p w14:paraId="3AACA114">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四、固废</w:t>
            </w:r>
          </w:p>
          <w:p w14:paraId="39DDD656">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2021年第82号）要求，危险废物执行《危险废物贮存污染控制标准》（GB18597-2023）及淄博市对固废处置的有关规定。</w:t>
            </w:r>
          </w:p>
          <w:p w14:paraId="266B3A5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表3-3项目污染物排放控制标准信息表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688"/>
              <w:gridCol w:w="858"/>
              <w:gridCol w:w="1329"/>
              <w:gridCol w:w="1193"/>
              <w:gridCol w:w="1451"/>
              <w:gridCol w:w="3552"/>
            </w:tblGrid>
            <w:tr w14:paraId="305907D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tcBorders>
                    <w:tl2br w:val="nil"/>
                    <w:tr2bl w:val="nil"/>
                  </w:tcBorders>
                  <w:vAlign w:val="center"/>
                </w:tcPr>
                <w:p w14:paraId="50C2DD4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类别</w:t>
                  </w:r>
                </w:p>
              </w:tc>
              <w:tc>
                <w:tcPr>
                  <w:tcW w:w="858" w:type="dxa"/>
                  <w:tcBorders>
                    <w:tl2br w:val="nil"/>
                    <w:tr2bl w:val="nil"/>
                  </w:tcBorders>
                  <w:vAlign w:val="center"/>
                </w:tcPr>
                <w:p w14:paraId="2E30BB5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污染源</w:t>
                  </w:r>
                </w:p>
              </w:tc>
              <w:tc>
                <w:tcPr>
                  <w:tcW w:w="1329" w:type="dxa"/>
                  <w:tcBorders>
                    <w:tl2br w:val="nil"/>
                    <w:tr2bl w:val="nil"/>
                  </w:tcBorders>
                  <w:vAlign w:val="center"/>
                </w:tcPr>
                <w:p w14:paraId="14E9404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污染物</w:t>
                  </w:r>
                </w:p>
              </w:tc>
              <w:tc>
                <w:tcPr>
                  <w:tcW w:w="1193" w:type="dxa"/>
                  <w:tcBorders>
                    <w:tl2br w:val="nil"/>
                    <w:tr2bl w:val="nil"/>
                  </w:tcBorders>
                  <w:vAlign w:val="center"/>
                </w:tcPr>
                <w:p w14:paraId="44A6932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浓度限值</w:t>
                  </w:r>
                </w:p>
                <w:p w14:paraId="4EA9924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pacing w:val="-2"/>
                      <w:sz w:val="21"/>
                      <w:szCs w:val="21"/>
                      <w:lang w:eastAsia="zh-CN"/>
                    </w:rPr>
                    <w:t>（</w:t>
                  </w:r>
                  <w:r>
                    <w:rPr>
                      <w:rFonts w:hint="default" w:ascii="Times New Roman" w:hAnsi="Times New Roman" w:eastAsia="宋体" w:cs="Times New Roman"/>
                      <w:b/>
                      <w:bCs/>
                      <w:color w:val="auto"/>
                      <w:spacing w:val="-1"/>
                      <w:sz w:val="21"/>
                      <w:szCs w:val="21"/>
                    </w:rPr>
                    <w:t>mg/m</w:t>
                  </w:r>
                  <w:r>
                    <w:rPr>
                      <w:rFonts w:hint="default" w:ascii="Times New Roman" w:hAnsi="Times New Roman" w:eastAsia="宋体" w:cs="Times New Roman"/>
                      <w:b/>
                      <w:bCs/>
                      <w:color w:val="auto"/>
                      <w:spacing w:val="-1"/>
                      <w:sz w:val="21"/>
                      <w:szCs w:val="21"/>
                      <w:vertAlign w:val="superscript"/>
                      <w:lang w:val="en-US" w:eastAsia="zh-CN"/>
                    </w:rPr>
                    <w:t>3</w:t>
                  </w:r>
                  <w:r>
                    <w:rPr>
                      <w:rFonts w:hint="default" w:ascii="Times New Roman" w:hAnsi="Times New Roman" w:cs="Times New Roman"/>
                      <w:b/>
                      <w:bCs/>
                      <w:color w:val="auto"/>
                      <w:spacing w:val="-2"/>
                      <w:sz w:val="21"/>
                      <w:szCs w:val="21"/>
                      <w:lang w:eastAsia="zh-CN"/>
                    </w:rPr>
                    <w:t>）</w:t>
                  </w:r>
                </w:p>
              </w:tc>
              <w:tc>
                <w:tcPr>
                  <w:tcW w:w="1451" w:type="dxa"/>
                  <w:tcBorders>
                    <w:tl2br w:val="nil"/>
                    <w:tr2bl w:val="nil"/>
                  </w:tcBorders>
                  <w:vAlign w:val="center"/>
                </w:tcPr>
                <w:p w14:paraId="269E112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17"/>
                      <w:sz w:val="21"/>
                      <w:szCs w:val="21"/>
                    </w:rPr>
                  </w:pPr>
                  <w:r>
                    <w:rPr>
                      <w:rFonts w:hint="default" w:ascii="Times New Roman" w:hAnsi="Times New Roman" w:eastAsia="宋体" w:cs="Times New Roman"/>
                      <w:b/>
                      <w:bCs/>
                      <w:color w:val="auto"/>
                      <w:spacing w:val="-2"/>
                      <w:sz w:val="21"/>
                      <w:szCs w:val="21"/>
                    </w:rPr>
                    <w:t>速率限</w:t>
                  </w:r>
                  <w:r>
                    <w:rPr>
                      <w:rFonts w:hint="default" w:ascii="Times New Roman" w:hAnsi="Times New Roman" w:eastAsia="宋体" w:cs="Times New Roman"/>
                      <w:b/>
                      <w:bCs/>
                      <w:color w:val="auto"/>
                      <w:spacing w:val="-17"/>
                      <w:sz w:val="21"/>
                      <w:szCs w:val="21"/>
                    </w:rPr>
                    <w:t>值</w:t>
                  </w:r>
                </w:p>
                <w:p w14:paraId="5AD7C51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7"/>
                      <w:sz w:val="21"/>
                      <w:szCs w:val="21"/>
                    </w:rPr>
                    <w:t>（kg/h）</w:t>
                  </w:r>
                </w:p>
              </w:tc>
              <w:tc>
                <w:tcPr>
                  <w:tcW w:w="3552" w:type="dxa"/>
                  <w:tcBorders>
                    <w:tl2br w:val="nil"/>
                    <w:tr2bl w:val="nil"/>
                  </w:tcBorders>
                  <w:vAlign w:val="center"/>
                </w:tcPr>
                <w:p w14:paraId="27E3E42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标准来源</w:t>
                  </w:r>
                </w:p>
              </w:tc>
            </w:tr>
            <w:tr w14:paraId="0BF557E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restart"/>
                  <w:tcBorders>
                    <w:tl2br w:val="nil"/>
                    <w:tr2bl w:val="nil"/>
                  </w:tcBorders>
                  <w:vAlign w:val="center"/>
                </w:tcPr>
                <w:p w14:paraId="65F544B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废气</w:t>
                  </w:r>
                </w:p>
              </w:tc>
              <w:tc>
                <w:tcPr>
                  <w:tcW w:w="858" w:type="dxa"/>
                  <w:vMerge w:val="restart"/>
                  <w:tcBorders>
                    <w:tl2br w:val="nil"/>
                    <w:tr2bl w:val="nil"/>
                  </w:tcBorders>
                  <w:vAlign w:val="center"/>
                </w:tcPr>
                <w:p w14:paraId="5988A9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
                      <w:sz w:val="21"/>
                      <w:szCs w:val="21"/>
                    </w:rPr>
                    <w:t>DA00</w:t>
                  </w:r>
                  <w:r>
                    <w:rPr>
                      <w:rFonts w:hint="default" w:ascii="Times New Roman" w:hAnsi="Times New Roman" w:cs="Times New Roman"/>
                      <w:color w:val="auto"/>
                      <w:spacing w:val="-1"/>
                      <w:sz w:val="21"/>
                      <w:szCs w:val="21"/>
                      <w:lang w:val="en-US" w:eastAsia="zh-CN"/>
                    </w:rPr>
                    <w:t>1</w:t>
                  </w:r>
                  <w:r>
                    <w:rPr>
                      <w:rFonts w:hint="eastAsia" w:ascii="Times New Roman" w:hAnsi="Times New Roman" w:cs="Times New Roman"/>
                      <w:color w:val="auto"/>
                      <w:spacing w:val="-1"/>
                      <w:sz w:val="21"/>
                      <w:szCs w:val="21"/>
                      <w:lang w:val="en-US" w:eastAsia="zh-CN"/>
                    </w:rPr>
                    <w:t>、</w:t>
                  </w: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2、</w:t>
                  </w: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3</w:t>
                  </w:r>
                </w:p>
              </w:tc>
              <w:tc>
                <w:tcPr>
                  <w:tcW w:w="1329" w:type="dxa"/>
                  <w:tcBorders>
                    <w:tl2br w:val="nil"/>
                    <w:tr2bl w:val="nil"/>
                  </w:tcBorders>
                  <w:vAlign w:val="center"/>
                </w:tcPr>
                <w:p w14:paraId="51D5750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VOCs</w:t>
                  </w:r>
                </w:p>
              </w:tc>
              <w:tc>
                <w:tcPr>
                  <w:tcW w:w="1193" w:type="dxa"/>
                  <w:tcBorders>
                    <w:tl2br w:val="nil"/>
                    <w:tr2bl w:val="nil"/>
                  </w:tcBorders>
                  <w:vAlign w:val="center"/>
                </w:tcPr>
                <w:p w14:paraId="36BB1E9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1451" w:type="dxa"/>
                  <w:tcBorders>
                    <w:tl2br w:val="nil"/>
                    <w:tr2bl w:val="nil"/>
                  </w:tcBorders>
                  <w:vAlign w:val="center"/>
                </w:tcPr>
                <w:p w14:paraId="34E3F9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3552" w:type="dxa"/>
                  <w:tcBorders>
                    <w:tl2br w:val="nil"/>
                    <w:tr2bl w:val="nil"/>
                  </w:tcBorders>
                  <w:vAlign w:val="center"/>
                </w:tcPr>
                <w:p w14:paraId="181DFFD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eastAsia" w:ascii="Times New Roman" w:hAnsi="Times New Roman" w:cs="Times New Roman"/>
                      <w:color w:val="auto"/>
                      <w:spacing w:val="-6"/>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w:t>
                  </w:r>
                  <w:r>
                    <w:rPr>
                      <w:rFonts w:hint="eastAsia" w:ascii="Times New Roman" w:hAnsi="Times New Roman" w:cs="Times New Roman"/>
                      <w:color w:val="auto"/>
                      <w:spacing w:val="-2"/>
                      <w:sz w:val="21"/>
                      <w:szCs w:val="21"/>
                      <w:lang w:val="en-US" w:eastAsia="zh-CN"/>
                    </w:rPr>
                    <w:t>1</w:t>
                  </w:r>
                  <w:r>
                    <w:rPr>
                      <w:rFonts w:hint="default" w:ascii="Times New Roman" w:hAnsi="Times New Roman" w:cs="Times New Roman"/>
                      <w:color w:val="auto"/>
                      <w:spacing w:val="-2"/>
                      <w:sz w:val="21"/>
                      <w:szCs w:val="21"/>
                      <w:lang w:eastAsia="zh-CN"/>
                    </w:rPr>
                    <w:t>排放限值</w:t>
                  </w:r>
                  <w:r>
                    <w:rPr>
                      <w:rFonts w:hint="default" w:ascii="Times New Roman" w:hAnsi="Times New Roman" w:eastAsia="宋体" w:cs="Times New Roman"/>
                      <w:color w:val="auto"/>
                      <w:spacing w:val="-1"/>
                      <w:sz w:val="21"/>
                      <w:szCs w:val="21"/>
                    </w:rPr>
                    <w:t>要求</w:t>
                  </w:r>
                </w:p>
              </w:tc>
            </w:tr>
            <w:tr w14:paraId="437E471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754218A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713F3E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1329" w:type="dxa"/>
                  <w:tcBorders>
                    <w:tl2br w:val="nil"/>
                    <w:tr2bl w:val="nil"/>
                  </w:tcBorders>
                  <w:vAlign w:val="center"/>
                </w:tcPr>
                <w:p w14:paraId="46C943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苯乙烯</w:t>
                  </w:r>
                </w:p>
              </w:tc>
              <w:tc>
                <w:tcPr>
                  <w:tcW w:w="1193" w:type="dxa"/>
                  <w:tcBorders>
                    <w:tl2br w:val="nil"/>
                    <w:tr2bl w:val="nil"/>
                  </w:tcBorders>
                  <w:vAlign w:val="center"/>
                </w:tcPr>
                <w:p w14:paraId="62FE0F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451" w:type="dxa"/>
                  <w:tcBorders>
                    <w:tl2br w:val="nil"/>
                    <w:tr2bl w:val="nil"/>
                  </w:tcBorders>
                  <w:vAlign w:val="center"/>
                </w:tcPr>
                <w:p w14:paraId="713EC1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6.5</w:t>
                  </w:r>
                </w:p>
              </w:tc>
              <w:tc>
                <w:tcPr>
                  <w:tcW w:w="3552" w:type="dxa"/>
                  <w:vMerge w:val="restart"/>
                  <w:tcBorders>
                    <w:tl2br w:val="nil"/>
                    <w:tr2bl w:val="nil"/>
                  </w:tcBorders>
                  <w:vAlign w:val="center"/>
                </w:tcPr>
                <w:p w14:paraId="216CF89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《恶臭污染物排放标准》（GB14554-93）</w:t>
                  </w:r>
                </w:p>
              </w:tc>
            </w:tr>
            <w:tr w14:paraId="214D54D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7E7FC59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23B25B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1329" w:type="dxa"/>
                  <w:tcBorders>
                    <w:tl2br w:val="nil"/>
                    <w:tr2bl w:val="nil"/>
                  </w:tcBorders>
                  <w:vAlign w:val="center"/>
                </w:tcPr>
                <w:p w14:paraId="00D925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臭气浓度</w:t>
                  </w:r>
                </w:p>
              </w:tc>
              <w:tc>
                <w:tcPr>
                  <w:tcW w:w="1193" w:type="dxa"/>
                  <w:tcBorders>
                    <w:tl2br w:val="nil"/>
                    <w:tr2bl w:val="nil"/>
                  </w:tcBorders>
                  <w:vAlign w:val="center"/>
                </w:tcPr>
                <w:p w14:paraId="2374383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451" w:type="dxa"/>
                  <w:tcBorders>
                    <w:tl2br w:val="nil"/>
                    <w:tr2bl w:val="nil"/>
                  </w:tcBorders>
                  <w:vAlign w:val="center"/>
                </w:tcPr>
                <w:p w14:paraId="4C479E6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2000</w:t>
                  </w:r>
                </w:p>
                <w:p w14:paraId="10B767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（无量纲）</w:t>
                  </w:r>
                </w:p>
              </w:tc>
              <w:tc>
                <w:tcPr>
                  <w:tcW w:w="3552" w:type="dxa"/>
                  <w:vMerge w:val="continue"/>
                  <w:tcBorders>
                    <w:tl2br w:val="nil"/>
                    <w:tr2bl w:val="nil"/>
                  </w:tcBorders>
                  <w:vAlign w:val="center"/>
                </w:tcPr>
                <w:p w14:paraId="7B14E3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r>
            <w:tr w14:paraId="46566F9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2130E75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4092B1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1329" w:type="dxa"/>
                  <w:tcBorders>
                    <w:tl2br w:val="nil"/>
                    <w:tr2bl w:val="nil"/>
                  </w:tcBorders>
                  <w:vAlign w:val="center"/>
                </w:tcPr>
                <w:p w14:paraId="13DE7C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93" w:type="dxa"/>
                  <w:tcBorders>
                    <w:tl2br w:val="nil"/>
                    <w:tr2bl w:val="nil"/>
                  </w:tcBorders>
                  <w:shd w:val="clear" w:color="auto" w:fill="auto"/>
                  <w:vAlign w:val="center"/>
                </w:tcPr>
                <w:p w14:paraId="00A98859">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451" w:type="dxa"/>
                  <w:tcBorders>
                    <w:tl2br w:val="nil"/>
                    <w:tr2bl w:val="nil"/>
                  </w:tcBorders>
                  <w:shd w:val="clear" w:color="auto" w:fill="auto"/>
                  <w:vAlign w:val="center"/>
                </w:tcPr>
                <w:p w14:paraId="4FC7E5C5">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3552" w:type="dxa"/>
                  <w:tcBorders>
                    <w:tl2br w:val="nil"/>
                    <w:tr2bl w:val="nil"/>
                  </w:tcBorders>
                  <w:shd w:val="clear" w:color="auto" w:fill="auto"/>
                  <w:vAlign w:val="center"/>
                </w:tcPr>
                <w:p w14:paraId="32A47B3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《区域性大气污染物综合排放标准》（DB37/2376-2019）表1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重点控制区</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大气污染物排放浓度限值</w:t>
                  </w:r>
                </w:p>
              </w:tc>
            </w:tr>
            <w:tr w14:paraId="02BB5CF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591EBEC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73AC42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1329" w:type="dxa"/>
                  <w:tcBorders>
                    <w:tl2br w:val="nil"/>
                    <w:tr2bl w:val="nil"/>
                  </w:tcBorders>
                  <w:vAlign w:val="center"/>
                </w:tcPr>
                <w:p w14:paraId="3098AF2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甲醛</w:t>
                  </w:r>
                </w:p>
              </w:tc>
              <w:tc>
                <w:tcPr>
                  <w:tcW w:w="1193" w:type="dxa"/>
                  <w:tcBorders>
                    <w:tl2br w:val="nil"/>
                    <w:tr2bl w:val="nil"/>
                  </w:tcBorders>
                  <w:shd w:val="clear" w:color="auto" w:fill="auto"/>
                  <w:vAlign w:val="center"/>
                </w:tcPr>
                <w:p w14:paraId="1E9D0312">
                  <w:pPr>
                    <w:widowControl/>
                    <w:tabs>
                      <w:tab w:val="left" w:pos="5420"/>
                    </w:tabs>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25</w:t>
                  </w:r>
                </w:p>
              </w:tc>
              <w:tc>
                <w:tcPr>
                  <w:tcW w:w="1451" w:type="dxa"/>
                  <w:tcBorders>
                    <w:tl2br w:val="nil"/>
                    <w:tr2bl w:val="nil"/>
                  </w:tcBorders>
                  <w:shd w:val="clear" w:color="auto" w:fill="auto"/>
                  <w:vAlign w:val="center"/>
                </w:tcPr>
                <w:p w14:paraId="5C6D9EEB">
                  <w:pPr>
                    <w:widowControl/>
                    <w:tabs>
                      <w:tab w:val="left" w:pos="5420"/>
                    </w:tabs>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0.26</w:t>
                  </w:r>
                </w:p>
              </w:tc>
              <w:tc>
                <w:tcPr>
                  <w:tcW w:w="3552" w:type="dxa"/>
                  <w:vMerge w:val="restart"/>
                  <w:tcBorders>
                    <w:tl2br w:val="nil"/>
                    <w:tr2bl w:val="nil"/>
                  </w:tcBorders>
                  <w:shd w:val="clear" w:color="auto" w:fill="auto"/>
                  <w:vAlign w:val="center"/>
                </w:tcPr>
                <w:p w14:paraId="6097D2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《大气污染物综合排放标准》（GB16297-1996）表2</w:t>
                  </w:r>
                </w:p>
              </w:tc>
            </w:tr>
            <w:tr w14:paraId="7EC3CE0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69AFFD7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7C9DCC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1329" w:type="dxa"/>
                  <w:tcBorders>
                    <w:tl2br w:val="nil"/>
                    <w:tr2bl w:val="nil"/>
                  </w:tcBorders>
                  <w:vAlign w:val="center"/>
                </w:tcPr>
                <w:p w14:paraId="027D48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酚类</w:t>
                  </w:r>
                </w:p>
              </w:tc>
              <w:tc>
                <w:tcPr>
                  <w:tcW w:w="1193" w:type="dxa"/>
                  <w:tcBorders>
                    <w:tl2br w:val="nil"/>
                    <w:tr2bl w:val="nil"/>
                  </w:tcBorders>
                  <w:shd w:val="clear" w:color="auto" w:fill="auto"/>
                  <w:vAlign w:val="center"/>
                </w:tcPr>
                <w:p w14:paraId="722C8A33">
                  <w:pPr>
                    <w:widowControl/>
                    <w:tabs>
                      <w:tab w:val="left" w:pos="5420"/>
                    </w:tabs>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100</w:t>
                  </w:r>
                </w:p>
              </w:tc>
              <w:tc>
                <w:tcPr>
                  <w:tcW w:w="1451" w:type="dxa"/>
                  <w:tcBorders>
                    <w:tl2br w:val="nil"/>
                    <w:tr2bl w:val="nil"/>
                  </w:tcBorders>
                  <w:shd w:val="clear" w:color="auto" w:fill="auto"/>
                  <w:vAlign w:val="center"/>
                </w:tcPr>
                <w:p w14:paraId="70C77CB8">
                  <w:pPr>
                    <w:widowControl/>
                    <w:tabs>
                      <w:tab w:val="left" w:pos="5420"/>
                    </w:tabs>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0.10</w:t>
                  </w:r>
                </w:p>
              </w:tc>
              <w:tc>
                <w:tcPr>
                  <w:tcW w:w="3552" w:type="dxa"/>
                  <w:vMerge w:val="continue"/>
                  <w:tcBorders>
                    <w:tl2br w:val="nil"/>
                    <w:tr2bl w:val="nil"/>
                  </w:tcBorders>
                  <w:shd w:val="clear" w:color="auto" w:fill="auto"/>
                  <w:vAlign w:val="center"/>
                </w:tcPr>
                <w:p w14:paraId="703BC85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r>
            <w:tr w14:paraId="646878C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72F6B7A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restart"/>
                  <w:tcBorders>
                    <w:tl2br w:val="nil"/>
                    <w:tr2bl w:val="nil"/>
                  </w:tcBorders>
                  <w:vAlign w:val="center"/>
                </w:tcPr>
                <w:p w14:paraId="74A3DA5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厂界</w:t>
                  </w:r>
                </w:p>
              </w:tc>
              <w:tc>
                <w:tcPr>
                  <w:tcW w:w="1329" w:type="dxa"/>
                  <w:tcBorders>
                    <w:tl2br w:val="nil"/>
                    <w:tr2bl w:val="nil"/>
                  </w:tcBorders>
                  <w:shd w:val="clear" w:color="auto" w:fill="auto"/>
                  <w:vAlign w:val="center"/>
                </w:tcPr>
                <w:p w14:paraId="4944C4F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VOCs</w:t>
                  </w:r>
                </w:p>
              </w:tc>
              <w:tc>
                <w:tcPr>
                  <w:tcW w:w="1193" w:type="dxa"/>
                  <w:tcBorders>
                    <w:tl2br w:val="nil"/>
                    <w:tr2bl w:val="nil"/>
                  </w:tcBorders>
                  <w:shd w:val="clear" w:color="auto" w:fill="auto"/>
                  <w:vAlign w:val="center"/>
                </w:tcPr>
                <w:p w14:paraId="49C9472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pacing w:val="-1"/>
                      <w:sz w:val="21"/>
                      <w:szCs w:val="21"/>
                      <w:lang w:val="en-US" w:eastAsia="zh-CN"/>
                    </w:rPr>
                    <w:t>2.0</w:t>
                  </w:r>
                </w:p>
              </w:tc>
              <w:tc>
                <w:tcPr>
                  <w:tcW w:w="1451" w:type="dxa"/>
                  <w:tcBorders>
                    <w:tl2br w:val="nil"/>
                    <w:tr2bl w:val="nil"/>
                  </w:tcBorders>
                  <w:shd w:val="clear" w:color="auto" w:fill="auto"/>
                  <w:vAlign w:val="center"/>
                </w:tcPr>
                <w:p w14:paraId="59B656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c>
                <w:tcPr>
                  <w:tcW w:w="3552" w:type="dxa"/>
                  <w:vMerge w:val="restart"/>
                  <w:tcBorders>
                    <w:tl2br w:val="nil"/>
                    <w:tr2bl w:val="nil"/>
                  </w:tcBorders>
                  <w:vAlign w:val="center"/>
                </w:tcPr>
                <w:p w14:paraId="0D08AA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《挥发性有机物排放标准第7部分：其他行业》（DB37/2801.7-2019）</w:t>
                  </w:r>
                  <w:r>
                    <w:rPr>
                      <w:rFonts w:hint="default" w:ascii="Times New Roman" w:hAnsi="Times New Roman" w:eastAsia="宋体" w:cs="Times New Roman"/>
                      <w:color w:val="auto"/>
                      <w:sz w:val="21"/>
                      <w:szCs w:val="21"/>
                      <w:lang w:val="en-US" w:eastAsia="zh-CN"/>
                    </w:rPr>
                    <w:t>表</w:t>
                  </w:r>
                  <w:r>
                    <w:rPr>
                      <w:rFonts w:hint="eastAsia" w:ascii="Times New Roman" w:hAnsi="Times New Roman" w:cs="Times New Roman"/>
                      <w:color w:val="auto"/>
                      <w:sz w:val="21"/>
                      <w:szCs w:val="21"/>
                      <w:lang w:val="en-US" w:eastAsia="zh-CN"/>
                    </w:rPr>
                    <w:t>2无</w:t>
                  </w:r>
                  <w:r>
                    <w:rPr>
                      <w:rFonts w:hint="default" w:ascii="Times New Roman" w:hAnsi="Times New Roman" w:eastAsia="宋体" w:cs="Times New Roman"/>
                      <w:color w:val="auto"/>
                      <w:sz w:val="21"/>
                      <w:szCs w:val="21"/>
                      <w:lang w:val="en-US" w:eastAsia="zh-CN"/>
                    </w:rPr>
                    <w:t>组织排放限值要求</w:t>
                  </w:r>
                </w:p>
              </w:tc>
            </w:tr>
            <w:tr w14:paraId="59339A3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0DBA40E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25C5F8C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1329" w:type="dxa"/>
                  <w:tcBorders>
                    <w:tl2br w:val="nil"/>
                    <w:tr2bl w:val="nil"/>
                  </w:tcBorders>
                  <w:shd w:val="clear" w:color="auto" w:fill="auto"/>
                  <w:vAlign w:val="center"/>
                </w:tcPr>
                <w:p w14:paraId="7A010E5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193" w:type="dxa"/>
                  <w:tcBorders>
                    <w:tl2br w:val="nil"/>
                    <w:tr2bl w:val="nil"/>
                  </w:tcBorders>
                  <w:shd w:val="clear" w:color="auto" w:fill="auto"/>
                  <w:vAlign w:val="center"/>
                </w:tcPr>
                <w:p w14:paraId="6590039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0.05</w:t>
                  </w:r>
                </w:p>
              </w:tc>
              <w:tc>
                <w:tcPr>
                  <w:tcW w:w="1451" w:type="dxa"/>
                  <w:tcBorders>
                    <w:tl2br w:val="nil"/>
                    <w:tr2bl w:val="nil"/>
                  </w:tcBorders>
                  <w:shd w:val="clear" w:color="auto" w:fill="auto"/>
                  <w:vAlign w:val="center"/>
                </w:tcPr>
                <w:p w14:paraId="5A8F207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3552" w:type="dxa"/>
                  <w:vMerge w:val="continue"/>
                  <w:tcBorders>
                    <w:tl2br w:val="nil"/>
                    <w:tr2bl w:val="nil"/>
                  </w:tcBorders>
                  <w:vAlign w:val="center"/>
                </w:tcPr>
                <w:p w14:paraId="1B2D0A1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lang w:val="en-US" w:eastAsia="zh-CN"/>
                    </w:rPr>
                  </w:pPr>
                </w:p>
              </w:tc>
            </w:tr>
            <w:tr w14:paraId="62AFC50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340" w:hRule="atLeast"/>
                <w:jc w:val="center"/>
              </w:trPr>
              <w:tc>
                <w:tcPr>
                  <w:tcW w:w="688" w:type="dxa"/>
                  <w:vMerge w:val="continue"/>
                  <w:tcBorders>
                    <w:tl2br w:val="nil"/>
                    <w:tr2bl w:val="nil"/>
                  </w:tcBorders>
                  <w:vAlign w:val="center"/>
                </w:tcPr>
                <w:p w14:paraId="73AB5A5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4583529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1329" w:type="dxa"/>
                  <w:tcBorders>
                    <w:tl2br w:val="nil"/>
                    <w:tr2bl w:val="nil"/>
                  </w:tcBorders>
                  <w:shd w:val="clear" w:color="auto" w:fill="auto"/>
                  <w:vAlign w:val="center"/>
                </w:tcPr>
                <w:p w14:paraId="0A4D94E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193" w:type="dxa"/>
                  <w:tcBorders>
                    <w:tl2br w:val="nil"/>
                    <w:tr2bl w:val="nil"/>
                  </w:tcBorders>
                  <w:shd w:val="clear" w:color="auto" w:fill="auto"/>
                  <w:vAlign w:val="center"/>
                </w:tcPr>
                <w:p w14:paraId="359FBF1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0.05</w:t>
                  </w:r>
                </w:p>
              </w:tc>
              <w:tc>
                <w:tcPr>
                  <w:tcW w:w="1451" w:type="dxa"/>
                  <w:tcBorders>
                    <w:tl2br w:val="nil"/>
                    <w:tr2bl w:val="nil"/>
                  </w:tcBorders>
                  <w:shd w:val="clear" w:color="auto" w:fill="auto"/>
                  <w:vAlign w:val="center"/>
                </w:tcPr>
                <w:p w14:paraId="234AFC0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3552" w:type="dxa"/>
                  <w:vMerge w:val="restart"/>
                  <w:tcBorders>
                    <w:tl2br w:val="nil"/>
                    <w:tr2bl w:val="nil"/>
                  </w:tcBorders>
                  <w:vAlign w:val="center"/>
                </w:tcPr>
                <w:p w14:paraId="6E6336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《大气污染物综合排放标准》（GB16297-1996）表2</w:t>
                  </w:r>
                </w:p>
              </w:tc>
            </w:tr>
            <w:tr w14:paraId="004DE1B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23221E5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588FA3C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1329" w:type="dxa"/>
                  <w:tcBorders>
                    <w:tl2br w:val="nil"/>
                    <w:tr2bl w:val="nil"/>
                  </w:tcBorders>
                  <w:shd w:val="clear" w:color="auto" w:fill="auto"/>
                  <w:vAlign w:val="center"/>
                </w:tcPr>
                <w:p w14:paraId="284997A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193" w:type="dxa"/>
                  <w:tcBorders>
                    <w:tl2br w:val="nil"/>
                    <w:tr2bl w:val="nil"/>
                  </w:tcBorders>
                  <w:shd w:val="clear" w:color="auto" w:fill="auto"/>
                  <w:vAlign w:val="center"/>
                </w:tcPr>
                <w:p w14:paraId="48A100A7">
                  <w:pPr>
                    <w:keepNext w:val="0"/>
                    <w:keepLines w:val="0"/>
                    <w:pageBreakBefore w:val="0"/>
                    <w:widowControl/>
                    <w:tabs>
                      <w:tab w:val="left" w:pos="5420"/>
                    </w:tabs>
                    <w:kinsoku/>
                    <w:wordWrap/>
                    <w:overflowPunct/>
                    <w:topLinePunct w:val="0"/>
                    <w:bidi w:val="0"/>
                    <w:adjustRightInd w:val="0"/>
                    <w:snapToGrid w:val="0"/>
                    <w:spacing w:line="240" w:lineRule="atLeast"/>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451" w:type="dxa"/>
                  <w:tcBorders>
                    <w:tl2br w:val="nil"/>
                    <w:tr2bl w:val="nil"/>
                  </w:tcBorders>
                  <w:shd w:val="clear" w:color="auto" w:fill="auto"/>
                  <w:vAlign w:val="center"/>
                </w:tcPr>
                <w:p w14:paraId="0A7ED460">
                  <w:pPr>
                    <w:keepNext w:val="0"/>
                    <w:keepLines w:val="0"/>
                    <w:pageBreakBefore w:val="0"/>
                    <w:widowControl/>
                    <w:tabs>
                      <w:tab w:val="left" w:pos="5420"/>
                    </w:tabs>
                    <w:kinsoku/>
                    <w:wordWrap/>
                    <w:overflowPunct/>
                    <w:topLinePunct w:val="0"/>
                    <w:bidi w:val="0"/>
                    <w:adjustRightInd w:val="0"/>
                    <w:snapToGrid w:val="0"/>
                    <w:spacing w:line="240" w:lineRule="atLeast"/>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3552" w:type="dxa"/>
                  <w:vMerge w:val="continue"/>
                  <w:tcBorders>
                    <w:tl2br w:val="nil"/>
                    <w:tr2bl w:val="nil"/>
                  </w:tcBorders>
                  <w:vAlign w:val="center"/>
                </w:tcPr>
                <w:p w14:paraId="3FBF36D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r>
            <w:tr w14:paraId="3C3E678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2F677D3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4AAC8B6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1329" w:type="dxa"/>
                  <w:tcBorders>
                    <w:tl2br w:val="nil"/>
                    <w:tr2bl w:val="nil"/>
                  </w:tcBorders>
                  <w:shd w:val="clear" w:color="auto" w:fill="auto"/>
                  <w:vAlign w:val="center"/>
                </w:tcPr>
                <w:p w14:paraId="6537F81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苯乙烯</w:t>
                  </w:r>
                </w:p>
              </w:tc>
              <w:tc>
                <w:tcPr>
                  <w:tcW w:w="1193" w:type="dxa"/>
                  <w:tcBorders>
                    <w:tl2br w:val="nil"/>
                    <w:tr2bl w:val="nil"/>
                  </w:tcBorders>
                  <w:shd w:val="clear" w:color="auto" w:fill="auto"/>
                  <w:vAlign w:val="center"/>
                </w:tcPr>
                <w:p w14:paraId="50902CCA">
                  <w:pPr>
                    <w:keepNext w:val="0"/>
                    <w:keepLines w:val="0"/>
                    <w:pageBreakBefore w:val="0"/>
                    <w:widowControl/>
                    <w:tabs>
                      <w:tab w:val="left" w:pos="5420"/>
                    </w:tabs>
                    <w:kinsoku/>
                    <w:wordWrap/>
                    <w:overflowPunct/>
                    <w:topLinePunct w:val="0"/>
                    <w:bidi w:val="0"/>
                    <w:adjustRightInd w:val="0"/>
                    <w:snapToGrid w:val="0"/>
                    <w:spacing w:line="240" w:lineRule="atLeas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1451" w:type="dxa"/>
                  <w:tcBorders>
                    <w:tl2br w:val="nil"/>
                    <w:tr2bl w:val="nil"/>
                  </w:tcBorders>
                  <w:shd w:val="clear" w:color="auto" w:fill="auto"/>
                  <w:vAlign w:val="center"/>
                </w:tcPr>
                <w:p w14:paraId="3E1909C0">
                  <w:pPr>
                    <w:keepNext w:val="0"/>
                    <w:keepLines w:val="0"/>
                    <w:pageBreakBefore w:val="0"/>
                    <w:widowControl/>
                    <w:tabs>
                      <w:tab w:val="left" w:pos="5420"/>
                    </w:tabs>
                    <w:kinsoku/>
                    <w:wordWrap/>
                    <w:overflowPunct/>
                    <w:topLinePunct w:val="0"/>
                    <w:bidi w:val="0"/>
                    <w:adjustRightInd w:val="0"/>
                    <w:snapToGrid w:val="0"/>
                    <w:spacing w:line="240" w:lineRule="atLeast"/>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3552" w:type="dxa"/>
                  <w:tcBorders>
                    <w:tl2br w:val="nil"/>
                    <w:tr2bl w:val="nil"/>
                  </w:tcBorders>
                  <w:vAlign w:val="center"/>
                </w:tcPr>
                <w:p w14:paraId="235D9A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《挥发性有机物排放标准第7部分：其他行业》（DB37/2801.7-2019）表3</w:t>
                  </w:r>
                </w:p>
              </w:tc>
            </w:tr>
            <w:tr w14:paraId="0B347A8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432035F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858" w:type="dxa"/>
                  <w:vMerge w:val="continue"/>
                  <w:tcBorders>
                    <w:tl2br w:val="nil"/>
                    <w:tr2bl w:val="nil"/>
                  </w:tcBorders>
                  <w:vAlign w:val="center"/>
                </w:tcPr>
                <w:p w14:paraId="0D581F0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1329" w:type="dxa"/>
                  <w:tcBorders>
                    <w:tl2br w:val="nil"/>
                    <w:tr2bl w:val="nil"/>
                  </w:tcBorders>
                  <w:shd w:val="clear" w:color="auto" w:fill="auto"/>
                  <w:vAlign w:val="center"/>
                </w:tcPr>
                <w:p w14:paraId="41A0C38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臭气浓度</w:t>
                  </w:r>
                </w:p>
              </w:tc>
              <w:tc>
                <w:tcPr>
                  <w:tcW w:w="1193" w:type="dxa"/>
                  <w:tcBorders>
                    <w:tl2br w:val="nil"/>
                    <w:tr2bl w:val="nil"/>
                  </w:tcBorders>
                  <w:shd w:val="clear" w:color="auto" w:fill="auto"/>
                  <w:vAlign w:val="center"/>
                </w:tcPr>
                <w:p w14:paraId="6DA8BF78">
                  <w:pPr>
                    <w:keepNext w:val="0"/>
                    <w:keepLines w:val="0"/>
                    <w:pageBreakBefore w:val="0"/>
                    <w:widowControl/>
                    <w:tabs>
                      <w:tab w:val="left" w:pos="5420"/>
                    </w:tabs>
                    <w:kinsoku/>
                    <w:wordWrap/>
                    <w:overflowPunct/>
                    <w:topLinePunct w:val="0"/>
                    <w:bidi w:val="0"/>
                    <w:adjustRightInd w:val="0"/>
                    <w:snapToGrid w:val="0"/>
                    <w:spacing w:line="240" w:lineRule="atLeas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16（无量纲）</w:t>
                  </w:r>
                </w:p>
              </w:tc>
              <w:tc>
                <w:tcPr>
                  <w:tcW w:w="1451" w:type="dxa"/>
                  <w:tcBorders>
                    <w:tl2br w:val="nil"/>
                    <w:tr2bl w:val="nil"/>
                  </w:tcBorders>
                  <w:shd w:val="clear" w:color="auto" w:fill="auto"/>
                  <w:vAlign w:val="center"/>
                </w:tcPr>
                <w:p w14:paraId="26BCEEBA">
                  <w:pPr>
                    <w:keepNext w:val="0"/>
                    <w:keepLines w:val="0"/>
                    <w:pageBreakBefore w:val="0"/>
                    <w:widowControl/>
                    <w:tabs>
                      <w:tab w:val="left" w:pos="5420"/>
                    </w:tabs>
                    <w:kinsoku/>
                    <w:wordWrap/>
                    <w:overflowPunct/>
                    <w:topLinePunct w:val="0"/>
                    <w:bidi w:val="0"/>
                    <w:adjustRightInd w:val="0"/>
                    <w:snapToGrid w:val="0"/>
                    <w:spacing w:line="240" w:lineRule="atLeast"/>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3552" w:type="dxa"/>
                  <w:tcBorders>
                    <w:tl2br w:val="nil"/>
                    <w:tr2bl w:val="nil"/>
                  </w:tcBorders>
                  <w:vAlign w:val="center"/>
                </w:tcPr>
                <w:p w14:paraId="051074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《挥发性有机物排放标准第7部分：其他行业》（DB37/2801.7-2019）表2</w:t>
                  </w:r>
                </w:p>
              </w:tc>
            </w:tr>
            <w:tr w14:paraId="5A73D87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07E7D1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858" w:type="dxa"/>
                  <w:vMerge w:val="restart"/>
                  <w:tcBorders>
                    <w:tl2br w:val="nil"/>
                    <w:tr2bl w:val="nil"/>
                  </w:tcBorders>
                  <w:vAlign w:val="center"/>
                </w:tcPr>
                <w:p w14:paraId="75B305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3"/>
                      <w:sz w:val="21"/>
                      <w:szCs w:val="21"/>
                    </w:rPr>
                    <w:t>厂</w:t>
                  </w:r>
                  <w:r>
                    <w:rPr>
                      <w:rFonts w:hint="eastAsia" w:ascii="Times New Roman" w:hAnsi="Times New Roman" w:cs="Times New Roman"/>
                      <w:color w:val="auto"/>
                      <w:spacing w:val="-1"/>
                      <w:sz w:val="21"/>
                      <w:szCs w:val="21"/>
                      <w:lang w:val="en-US" w:eastAsia="zh-CN"/>
                    </w:rPr>
                    <w:t>房外</w:t>
                  </w:r>
                </w:p>
              </w:tc>
              <w:tc>
                <w:tcPr>
                  <w:tcW w:w="1329" w:type="dxa"/>
                  <w:vMerge w:val="restart"/>
                  <w:tcBorders>
                    <w:tl2br w:val="nil"/>
                    <w:tr2bl w:val="nil"/>
                  </w:tcBorders>
                  <w:vAlign w:val="center"/>
                </w:tcPr>
                <w:p w14:paraId="24E014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VOCs</w:t>
                  </w:r>
                </w:p>
              </w:tc>
              <w:tc>
                <w:tcPr>
                  <w:tcW w:w="1193" w:type="dxa"/>
                  <w:tcBorders>
                    <w:tl2br w:val="nil"/>
                    <w:tr2bl w:val="nil"/>
                  </w:tcBorders>
                  <w:vAlign w:val="center"/>
                </w:tcPr>
                <w:p w14:paraId="0F8915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10</w:t>
                  </w:r>
                  <w:r>
                    <w:rPr>
                      <w:rFonts w:hint="default" w:ascii="Times New Roman" w:hAnsi="Times New Roman" w:eastAsia="宋体" w:cs="Times New Roman"/>
                      <w:color w:val="auto"/>
                      <w:spacing w:val="-1"/>
                      <w:sz w:val="21"/>
                      <w:szCs w:val="21"/>
                    </w:rPr>
                    <w:t>mg/m</w:t>
                  </w:r>
                  <w:r>
                    <w:rPr>
                      <w:rFonts w:hint="default" w:ascii="Times New Roman" w:hAnsi="Times New Roman" w:eastAsia="宋体" w:cs="Times New Roman"/>
                      <w:color w:val="auto"/>
                      <w:spacing w:val="-1"/>
                      <w:sz w:val="21"/>
                      <w:szCs w:val="21"/>
                      <w:vertAlign w:val="superscript"/>
                      <w:lang w:val="en-US" w:eastAsia="zh-CN"/>
                    </w:rPr>
                    <w:t>3</w:t>
                  </w:r>
                </w:p>
              </w:tc>
              <w:tc>
                <w:tcPr>
                  <w:tcW w:w="1451" w:type="dxa"/>
                  <w:tcBorders>
                    <w:tl2br w:val="nil"/>
                    <w:tr2bl w:val="nil"/>
                  </w:tcBorders>
                  <w:vAlign w:val="center"/>
                </w:tcPr>
                <w:p w14:paraId="41D43D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监控点处1h平均浓度值</w:t>
                  </w:r>
                </w:p>
              </w:tc>
              <w:tc>
                <w:tcPr>
                  <w:tcW w:w="3552" w:type="dxa"/>
                  <w:vMerge w:val="restart"/>
                  <w:tcBorders>
                    <w:tl2br w:val="nil"/>
                    <w:tr2bl w:val="nil"/>
                  </w:tcBorders>
                  <w:vAlign w:val="center"/>
                </w:tcPr>
                <w:p w14:paraId="0146B8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snapToGrid w:val="0"/>
                      <w:color w:val="auto"/>
                      <w:spacing w:val="-6"/>
                      <w:kern w:val="0"/>
                      <w:sz w:val="21"/>
                      <w:szCs w:val="21"/>
                      <w:lang w:val="en-US" w:eastAsia="zh-CN" w:bidi="ar-SA"/>
                    </w:rPr>
                    <w:t>《</w:t>
                  </w:r>
                  <w:r>
                    <w:rPr>
                      <w:rFonts w:hint="eastAsia" w:ascii="Times New Roman" w:hAnsi="Times New Roman" w:eastAsia="宋体" w:cs="Times New Roman"/>
                      <w:snapToGrid w:val="0"/>
                      <w:color w:val="auto"/>
                      <w:spacing w:val="-6"/>
                      <w:kern w:val="0"/>
                      <w:sz w:val="21"/>
                      <w:szCs w:val="21"/>
                      <w:lang w:val="en-US" w:eastAsia="zh-CN" w:bidi="ar-SA"/>
                    </w:rPr>
                    <w:t>铸</w:t>
                  </w:r>
                  <w:r>
                    <w:rPr>
                      <w:rFonts w:hint="eastAsia" w:ascii="Times New Roman" w:hAnsi="Times New Roman" w:cs="Times New Roman"/>
                      <w:color w:val="auto"/>
                      <w:sz w:val="21"/>
                      <w:szCs w:val="21"/>
                      <w:lang w:val="en-US" w:eastAsia="zh-CN"/>
                    </w:rPr>
                    <w:t>造工业大气污染物排放标准</w:t>
                  </w:r>
                  <w:r>
                    <w:rPr>
                      <w:rFonts w:hint="default"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val="en-US" w:eastAsia="zh-CN"/>
                    </w:rPr>
                    <w:t>GB39726-2020</w:t>
                  </w:r>
                  <w:r>
                    <w:rPr>
                      <w:rFonts w:hint="default" w:ascii="Times New Roman" w:hAnsi="Times New Roman" w:cs="Times New Roman"/>
                      <w:color w:val="auto"/>
                      <w:sz w:val="21"/>
                      <w:szCs w:val="21"/>
                      <w:lang w:val="en-US" w:eastAsia="zh-CN"/>
                    </w:rPr>
                    <w:t>）附录A</w:t>
                  </w:r>
                </w:p>
              </w:tc>
            </w:tr>
            <w:tr w14:paraId="0974C31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698BD3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858" w:type="dxa"/>
                  <w:vMerge w:val="continue"/>
                  <w:tcBorders>
                    <w:tl2br w:val="nil"/>
                    <w:tr2bl w:val="nil"/>
                  </w:tcBorders>
                  <w:vAlign w:val="center"/>
                </w:tcPr>
                <w:p w14:paraId="0567DF2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p>
              </w:tc>
              <w:tc>
                <w:tcPr>
                  <w:tcW w:w="1329" w:type="dxa"/>
                  <w:vMerge w:val="continue"/>
                  <w:tcBorders>
                    <w:tl2br w:val="nil"/>
                    <w:tr2bl w:val="nil"/>
                  </w:tcBorders>
                  <w:vAlign w:val="center"/>
                </w:tcPr>
                <w:p w14:paraId="5E3F1D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p>
              </w:tc>
              <w:tc>
                <w:tcPr>
                  <w:tcW w:w="1193" w:type="dxa"/>
                  <w:tcBorders>
                    <w:tl2br w:val="nil"/>
                    <w:tr2bl w:val="nil"/>
                  </w:tcBorders>
                  <w:vAlign w:val="center"/>
                </w:tcPr>
                <w:p w14:paraId="20545A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30</w:t>
                  </w:r>
                  <w:r>
                    <w:rPr>
                      <w:rFonts w:hint="default" w:ascii="Times New Roman" w:hAnsi="Times New Roman" w:eastAsia="宋体" w:cs="Times New Roman"/>
                      <w:color w:val="auto"/>
                      <w:spacing w:val="-1"/>
                      <w:sz w:val="21"/>
                      <w:szCs w:val="21"/>
                    </w:rPr>
                    <w:t>mg/m</w:t>
                  </w:r>
                  <w:r>
                    <w:rPr>
                      <w:rFonts w:hint="default" w:ascii="Times New Roman" w:hAnsi="Times New Roman" w:eastAsia="宋体" w:cs="Times New Roman"/>
                      <w:color w:val="auto"/>
                      <w:spacing w:val="-1"/>
                      <w:sz w:val="21"/>
                      <w:szCs w:val="21"/>
                      <w:vertAlign w:val="superscript"/>
                      <w:lang w:val="en-US" w:eastAsia="zh-CN"/>
                    </w:rPr>
                    <w:t>3</w:t>
                  </w:r>
                </w:p>
              </w:tc>
              <w:tc>
                <w:tcPr>
                  <w:tcW w:w="1451" w:type="dxa"/>
                  <w:tcBorders>
                    <w:tl2br w:val="nil"/>
                    <w:tr2bl w:val="nil"/>
                  </w:tcBorders>
                  <w:vAlign w:val="center"/>
                </w:tcPr>
                <w:p w14:paraId="3C92A1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监控点处任意一次浓度值</w:t>
                  </w:r>
                </w:p>
              </w:tc>
              <w:tc>
                <w:tcPr>
                  <w:tcW w:w="3552" w:type="dxa"/>
                  <w:vMerge w:val="continue"/>
                  <w:tcBorders>
                    <w:tl2br w:val="nil"/>
                    <w:tr2bl w:val="nil"/>
                  </w:tcBorders>
                  <w:vAlign w:val="center"/>
                </w:tcPr>
                <w:p w14:paraId="145659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p>
              </w:tc>
            </w:tr>
            <w:tr w14:paraId="0C79103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25F467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858" w:type="dxa"/>
                  <w:vMerge w:val="continue"/>
                  <w:tcBorders>
                    <w:tl2br w:val="nil"/>
                    <w:tr2bl w:val="nil"/>
                  </w:tcBorders>
                  <w:vAlign w:val="center"/>
                </w:tcPr>
                <w:p w14:paraId="314C74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p>
              </w:tc>
              <w:tc>
                <w:tcPr>
                  <w:tcW w:w="1329" w:type="dxa"/>
                  <w:tcBorders>
                    <w:tl2br w:val="nil"/>
                    <w:tr2bl w:val="nil"/>
                  </w:tcBorders>
                  <w:vAlign w:val="center"/>
                </w:tcPr>
                <w:p w14:paraId="6FB0235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颗粒物</w:t>
                  </w:r>
                </w:p>
              </w:tc>
              <w:tc>
                <w:tcPr>
                  <w:tcW w:w="1193" w:type="dxa"/>
                  <w:tcBorders>
                    <w:tl2br w:val="nil"/>
                    <w:tr2bl w:val="nil"/>
                  </w:tcBorders>
                  <w:vAlign w:val="center"/>
                </w:tcPr>
                <w:p w14:paraId="77A5A70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5</w:t>
                  </w:r>
                  <w:r>
                    <w:rPr>
                      <w:rFonts w:hint="default" w:ascii="Times New Roman" w:hAnsi="Times New Roman" w:eastAsia="宋体" w:cs="Times New Roman"/>
                      <w:color w:val="auto"/>
                      <w:spacing w:val="-1"/>
                      <w:sz w:val="21"/>
                      <w:szCs w:val="21"/>
                    </w:rPr>
                    <w:t>mg/m</w:t>
                  </w:r>
                  <w:r>
                    <w:rPr>
                      <w:rFonts w:hint="default" w:ascii="Times New Roman" w:hAnsi="Times New Roman" w:eastAsia="宋体" w:cs="Times New Roman"/>
                      <w:color w:val="auto"/>
                      <w:spacing w:val="-1"/>
                      <w:sz w:val="21"/>
                      <w:szCs w:val="21"/>
                      <w:vertAlign w:val="superscript"/>
                      <w:lang w:val="en-US" w:eastAsia="zh-CN"/>
                    </w:rPr>
                    <w:t>3</w:t>
                  </w:r>
                </w:p>
              </w:tc>
              <w:tc>
                <w:tcPr>
                  <w:tcW w:w="1451" w:type="dxa"/>
                  <w:tcBorders>
                    <w:tl2br w:val="nil"/>
                    <w:tr2bl w:val="nil"/>
                  </w:tcBorders>
                  <w:vAlign w:val="center"/>
                </w:tcPr>
                <w:p w14:paraId="41FCEB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监控点处1h平均浓度值</w:t>
                  </w:r>
                </w:p>
              </w:tc>
              <w:tc>
                <w:tcPr>
                  <w:tcW w:w="3552" w:type="dxa"/>
                  <w:vMerge w:val="continue"/>
                  <w:tcBorders>
                    <w:tl2br w:val="nil"/>
                    <w:tr2bl w:val="nil"/>
                  </w:tcBorders>
                  <w:vAlign w:val="center"/>
                </w:tcPr>
                <w:p w14:paraId="5628EC6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p>
              </w:tc>
            </w:tr>
            <w:tr w14:paraId="36DF3EB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tcBorders>
                    <w:tl2br w:val="nil"/>
                    <w:tr2bl w:val="nil"/>
                  </w:tcBorders>
                  <w:vAlign w:val="center"/>
                </w:tcPr>
                <w:p w14:paraId="68FD26C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噪声</w:t>
                  </w:r>
                </w:p>
              </w:tc>
              <w:tc>
                <w:tcPr>
                  <w:tcW w:w="858" w:type="dxa"/>
                  <w:tcBorders>
                    <w:tl2br w:val="nil"/>
                    <w:tr2bl w:val="nil"/>
                  </w:tcBorders>
                  <w:vAlign w:val="center"/>
                </w:tcPr>
                <w:p w14:paraId="5E20873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厂界</w:t>
                  </w:r>
                </w:p>
              </w:tc>
              <w:tc>
                <w:tcPr>
                  <w:tcW w:w="1329" w:type="dxa"/>
                  <w:tcBorders>
                    <w:tl2br w:val="nil"/>
                    <w:tr2bl w:val="nil"/>
                  </w:tcBorders>
                  <w:vAlign w:val="center"/>
                </w:tcPr>
                <w:p w14:paraId="12E825F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噪声</w:t>
                  </w:r>
                </w:p>
              </w:tc>
              <w:tc>
                <w:tcPr>
                  <w:tcW w:w="2644" w:type="dxa"/>
                  <w:gridSpan w:val="2"/>
                  <w:tcBorders>
                    <w:tl2br w:val="nil"/>
                    <w:tr2bl w:val="nil"/>
                  </w:tcBorders>
                  <w:vAlign w:val="center"/>
                </w:tcPr>
                <w:p w14:paraId="35F110E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1"/>
                      <w:sz w:val="21"/>
                      <w:szCs w:val="21"/>
                    </w:rPr>
                    <w:t>昼间：6</w:t>
                  </w:r>
                  <w:r>
                    <w:rPr>
                      <w:rFonts w:hint="eastAsia" w:ascii="Times New Roman" w:hAnsi="Times New Roman" w:cs="Times New Roman"/>
                      <w:color w:val="auto"/>
                      <w:spacing w:val="-11"/>
                      <w:sz w:val="21"/>
                      <w:szCs w:val="21"/>
                      <w:lang w:val="en-US" w:eastAsia="zh-CN"/>
                    </w:rPr>
                    <w:t>0</w:t>
                  </w:r>
                  <w:r>
                    <w:rPr>
                      <w:rFonts w:hint="default" w:ascii="Times New Roman" w:hAnsi="Times New Roman" w:eastAsia="宋体" w:cs="Times New Roman"/>
                      <w:color w:val="auto"/>
                      <w:spacing w:val="-11"/>
                      <w:sz w:val="21"/>
                      <w:szCs w:val="21"/>
                    </w:rPr>
                    <w:t>dB（A）</w:t>
                  </w:r>
                </w:p>
              </w:tc>
              <w:tc>
                <w:tcPr>
                  <w:tcW w:w="3552" w:type="dxa"/>
                  <w:tcBorders>
                    <w:tl2br w:val="nil"/>
                    <w:tr2bl w:val="nil"/>
                  </w:tcBorders>
                  <w:vAlign w:val="center"/>
                </w:tcPr>
                <w:p w14:paraId="0F42322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《工业企业厂界环境噪声排放标准》</w:t>
                  </w:r>
                </w:p>
                <w:p w14:paraId="2340C04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（GB12348-2008）表1中2类</w:t>
                  </w:r>
                  <w:r>
                    <w:rPr>
                      <w:rFonts w:hint="default" w:ascii="Times New Roman" w:hAnsi="Times New Roman" w:eastAsia="宋体" w:cs="Times New Roman"/>
                      <w:color w:val="auto"/>
                      <w:spacing w:val="-7"/>
                      <w:sz w:val="21"/>
                      <w:szCs w:val="21"/>
                    </w:rPr>
                    <w:t>区标准要求</w:t>
                  </w:r>
                </w:p>
              </w:tc>
            </w:tr>
            <w:tr w14:paraId="4479BA3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restart"/>
                  <w:tcBorders>
                    <w:tl2br w:val="nil"/>
                    <w:tr2bl w:val="nil"/>
                  </w:tcBorders>
                  <w:vAlign w:val="center"/>
                </w:tcPr>
                <w:p w14:paraId="0ADAA76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6"/>
                      <w:sz w:val="21"/>
                      <w:szCs w:val="21"/>
                    </w:rPr>
                    <w:t>固体废物</w:t>
                  </w:r>
                </w:p>
              </w:tc>
              <w:tc>
                <w:tcPr>
                  <w:tcW w:w="4831" w:type="dxa"/>
                  <w:gridSpan w:val="4"/>
                  <w:tcBorders>
                    <w:tl2br w:val="nil"/>
                    <w:tr2bl w:val="nil"/>
                  </w:tcBorders>
                  <w:vAlign w:val="center"/>
                </w:tcPr>
                <w:p w14:paraId="07C788F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一般固废</w:t>
                  </w:r>
                </w:p>
              </w:tc>
              <w:tc>
                <w:tcPr>
                  <w:tcW w:w="3552" w:type="dxa"/>
                  <w:tcBorders>
                    <w:tl2br w:val="nil"/>
                    <w:tr2bl w:val="nil"/>
                  </w:tcBorders>
                  <w:vAlign w:val="center"/>
                </w:tcPr>
                <w:p w14:paraId="69D87C0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rPr>
                    <w:t>《中华人民共和国固体废物污染环境防治法》</w:t>
                  </w:r>
                </w:p>
              </w:tc>
            </w:tr>
            <w:tr w14:paraId="63F9F8B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88" w:type="dxa"/>
                  <w:vMerge w:val="continue"/>
                  <w:tcBorders>
                    <w:tl2br w:val="nil"/>
                    <w:tr2bl w:val="nil"/>
                  </w:tcBorders>
                  <w:vAlign w:val="center"/>
                </w:tcPr>
                <w:p w14:paraId="65C18A9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4831" w:type="dxa"/>
                  <w:gridSpan w:val="4"/>
                  <w:tcBorders>
                    <w:tl2br w:val="nil"/>
                    <w:tr2bl w:val="nil"/>
                  </w:tcBorders>
                  <w:vAlign w:val="center"/>
                </w:tcPr>
                <w:p w14:paraId="322271A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2"/>
                      <w:sz w:val="21"/>
                      <w:szCs w:val="21"/>
                    </w:rPr>
                    <w:t>危险废物</w:t>
                  </w:r>
                </w:p>
              </w:tc>
              <w:tc>
                <w:tcPr>
                  <w:tcW w:w="3552" w:type="dxa"/>
                  <w:tcBorders>
                    <w:tl2br w:val="nil"/>
                    <w:tr2bl w:val="nil"/>
                  </w:tcBorders>
                  <w:vAlign w:val="center"/>
                </w:tcPr>
                <w:p w14:paraId="4FD13B3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rPr>
                    <w:t>《危险废物贮存污染控制标准》（GB18597-20</w:t>
                  </w:r>
                  <w:r>
                    <w:rPr>
                      <w:rFonts w:hint="default" w:ascii="Times New Roman" w:hAnsi="Times New Roman" w:eastAsia="宋体" w:cs="Times New Roman"/>
                      <w:color w:val="auto"/>
                      <w:spacing w:val="-1"/>
                      <w:sz w:val="21"/>
                      <w:szCs w:val="21"/>
                      <w:lang w:val="en-US" w:eastAsia="zh-CN"/>
                    </w:rPr>
                    <w:t>23</w:t>
                  </w:r>
                  <w:r>
                    <w:rPr>
                      <w:rFonts w:hint="default" w:ascii="Times New Roman" w:hAnsi="Times New Roman" w:eastAsia="宋体" w:cs="Times New Roman"/>
                      <w:color w:val="auto"/>
                      <w:spacing w:val="-1"/>
                      <w:sz w:val="21"/>
                      <w:szCs w:val="21"/>
                    </w:rPr>
                    <w:t>）</w:t>
                  </w:r>
                </w:p>
              </w:tc>
            </w:tr>
          </w:tbl>
          <w:p w14:paraId="7FF0FD6E">
            <w:pPr>
              <w:spacing w:line="109" w:lineRule="auto"/>
              <w:rPr>
                <w:rFonts w:hint="default" w:ascii="Times New Roman" w:hAnsi="Times New Roman" w:cs="Times New Roman"/>
                <w:color w:val="auto"/>
                <w:sz w:val="2"/>
              </w:rPr>
            </w:pPr>
          </w:p>
        </w:tc>
      </w:tr>
      <w:tr w14:paraId="682852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526" w:hRule="atLeast"/>
          <w:jc w:val="center"/>
        </w:trPr>
        <w:tc>
          <w:tcPr>
            <w:tcW w:w="579" w:type="dxa"/>
            <w:tcBorders>
              <w:right w:val="single" w:color="000000" w:sz="2" w:space="0"/>
            </w:tcBorders>
            <w:vAlign w:val="center"/>
          </w:tcPr>
          <w:p w14:paraId="157196E8">
            <w:pPr>
              <w:bidi w:val="0"/>
              <w:jc w:val="center"/>
              <w:rPr>
                <w:rFonts w:hint="default" w:ascii="Times New Roman" w:hAnsi="Times New Roman" w:cs="Times New Roman"/>
                <w:color w:val="auto"/>
              </w:rPr>
            </w:pPr>
            <w:r>
              <w:rPr>
                <w:rFonts w:hint="default" w:ascii="Times New Roman" w:hAnsi="Times New Roman" w:cs="Times New Roman"/>
                <w:color w:val="auto"/>
              </w:rPr>
              <w:t>总量控制指标</w:t>
            </w:r>
          </w:p>
        </w:tc>
        <w:tc>
          <w:tcPr>
            <w:tcW w:w="9285" w:type="dxa"/>
            <w:tcBorders>
              <w:left w:val="single" w:color="000000" w:sz="2" w:space="0"/>
            </w:tcBorders>
            <w:vAlign w:val="center"/>
          </w:tcPr>
          <w:p w14:paraId="64B33A28">
            <w:pPr>
              <w:pStyle w:val="22"/>
              <w:spacing w:before="36" w:line="374" w:lineRule="auto"/>
              <w:ind w:left="105" w:right="22" w:firstLine="526"/>
              <w:rPr>
                <w:rFonts w:hint="default" w:ascii="Times New Roman" w:hAnsi="Times New Roman" w:cs="Times New Roman"/>
                <w:color w:val="auto"/>
              </w:rPr>
            </w:pPr>
            <w:r>
              <w:rPr>
                <w:rFonts w:hint="default" w:ascii="Times New Roman" w:hAnsi="Times New Roman" w:cs="Times New Roman"/>
                <w:color w:val="auto"/>
                <w:spacing w:val="11"/>
              </w:rPr>
              <w:t>根据淄博市生态环境局发布的《关于统筹使用</w:t>
            </w:r>
            <w:r>
              <w:rPr>
                <w:rFonts w:hint="default" w:ascii="Times New Roman" w:hAnsi="Times New Roman" w:eastAsia="Times New Roman" w:cs="Times New Roman"/>
                <w:color w:val="auto"/>
                <w:spacing w:val="11"/>
              </w:rPr>
              <w:t>“</w:t>
            </w:r>
            <w:r>
              <w:rPr>
                <w:rFonts w:hint="default" w:ascii="Times New Roman" w:hAnsi="Times New Roman" w:cs="Times New Roman"/>
                <w:color w:val="auto"/>
                <w:spacing w:val="11"/>
              </w:rPr>
              <w:t>十四五</w:t>
            </w:r>
            <w:r>
              <w:rPr>
                <w:rFonts w:hint="default" w:ascii="Times New Roman" w:hAnsi="Times New Roman" w:eastAsia="Times New Roman" w:cs="Times New Roman"/>
                <w:color w:val="auto"/>
                <w:spacing w:val="11"/>
              </w:rPr>
              <w:t>”</w:t>
            </w:r>
            <w:r>
              <w:rPr>
                <w:rFonts w:hint="default" w:ascii="Times New Roman" w:hAnsi="Times New Roman" w:cs="Times New Roman"/>
                <w:color w:val="auto"/>
                <w:spacing w:val="11"/>
              </w:rPr>
              <w:t>建设项目主要大气污染物总量</w:t>
            </w:r>
            <w:r>
              <w:rPr>
                <w:rFonts w:hint="default" w:ascii="Times New Roman" w:hAnsi="Times New Roman" w:cs="Times New Roman"/>
                <w:color w:val="auto"/>
                <w:spacing w:val="10"/>
              </w:rPr>
              <w:t>指标的通知》（淄环函〔</w:t>
            </w:r>
            <w:r>
              <w:rPr>
                <w:rFonts w:hint="default" w:ascii="Times New Roman" w:hAnsi="Times New Roman" w:eastAsia="Times New Roman" w:cs="Times New Roman"/>
                <w:color w:val="auto"/>
                <w:spacing w:val="10"/>
              </w:rPr>
              <w:t>2021</w:t>
            </w:r>
            <w:r>
              <w:rPr>
                <w:rFonts w:hint="default" w:ascii="Times New Roman" w:hAnsi="Times New Roman" w:cs="Times New Roman"/>
                <w:color w:val="auto"/>
                <w:spacing w:val="10"/>
              </w:rPr>
              <w:t>〕</w:t>
            </w:r>
            <w:r>
              <w:rPr>
                <w:rFonts w:hint="default" w:ascii="Times New Roman" w:hAnsi="Times New Roman" w:eastAsia="Times New Roman" w:cs="Times New Roman"/>
                <w:color w:val="auto"/>
                <w:spacing w:val="10"/>
              </w:rPr>
              <w:t>55</w:t>
            </w:r>
            <w:r>
              <w:rPr>
                <w:rFonts w:hint="default" w:ascii="Times New Roman" w:hAnsi="Times New Roman" w:cs="Times New Roman"/>
                <w:color w:val="auto"/>
                <w:spacing w:val="10"/>
              </w:rPr>
              <w:t>号）总量指标使用原则，所有建设项目的主要大气污染</w:t>
            </w:r>
            <w:r>
              <w:rPr>
                <w:rFonts w:hint="default" w:ascii="Times New Roman" w:hAnsi="Times New Roman" w:cs="Times New Roman"/>
                <w:color w:val="auto"/>
                <w:spacing w:val="8"/>
              </w:rPr>
              <w:t>物指标（二氧化硫、氮氧化物、颗粒物、挥发性有机物）的总量替代原则需严格按照《山东</w:t>
            </w:r>
            <w:r>
              <w:rPr>
                <w:rFonts w:hint="default" w:ascii="Times New Roman" w:hAnsi="Times New Roman" w:cs="Times New Roman"/>
                <w:color w:val="auto"/>
                <w:spacing w:val="6"/>
              </w:rPr>
              <w:t>省建设项目主要大气污染物排放总量替代指标核算</w:t>
            </w:r>
            <w:r>
              <w:rPr>
                <w:rFonts w:hint="default" w:ascii="Times New Roman" w:hAnsi="Times New Roman" w:cs="Times New Roman"/>
                <w:color w:val="auto"/>
                <w:spacing w:val="5"/>
              </w:rPr>
              <w:t>及管理办法》（鲁环发〔</w:t>
            </w:r>
            <w:r>
              <w:rPr>
                <w:rFonts w:hint="default" w:ascii="Times New Roman" w:hAnsi="Times New Roman" w:eastAsia="Times New Roman" w:cs="Times New Roman"/>
                <w:color w:val="auto"/>
                <w:spacing w:val="5"/>
              </w:rPr>
              <w:t>2019</w:t>
            </w:r>
            <w:r>
              <w:rPr>
                <w:rFonts w:hint="default" w:ascii="Times New Roman" w:hAnsi="Times New Roman" w:cs="Times New Roman"/>
                <w:color w:val="auto"/>
                <w:spacing w:val="5"/>
              </w:rPr>
              <w:t>〕</w:t>
            </w:r>
            <w:r>
              <w:rPr>
                <w:rFonts w:hint="default" w:ascii="Times New Roman" w:hAnsi="Times New Roman" w:eastAsia="Times New Roman" w:cs="Times New Roman"/>
                <w:color w:val="auto"/>
                <w:spacing w:val="5"/>
              </w:rPr>
              <w:t>132</w:t>
            </w:r>
            <w:r>
              <w:rPr>
                <w:rFonts w:hint="default" w:ascii="Times New Roman" w:hAnsi="Times New Roman" w:cs="Times New Roman"/>
                <w:color w:val="auto"/>
                <w:spacing w:val="5"/>
              </w:rPr>
              <w:t>号）、</w:t>
            </w:r>
            <w:r>
              <w:rPr>
                <w:rFonts w:hint="default" w:ascii="Times New Roman" w:hAnsi="Times New Roman" w:cs="Times New Roman"/>
                <w:color w:val="auto"/>
                <w:spacing w:val="10"/>
              </w:rPr>
              <w:t>《山东省人民政府办公厅关于加强两高项目管理的通知》（鲁政办字〔</w:t>
            </w:r>
            <w:r>
              <w:rPr>
                <w:rFonts w:hint="default" w:ascii="Times New Roman" w:hAnsi="Times New Roman" w:eastAsia="Times New Roman" w:cs="Times New Roman"/>
                <w:color w:val="auto"/>
                <w:spacing w:val="10"/>
              </w:rPr>
              <w:t>2021</w:t>
            </w:r>
            <w:r>
              <w:rPr>
                <w:rFonts w:hint="default" w:ascii="Times New Roman" w:hAnsi="Times New Roman" w:cs="Times New Roman"/>
                <w:color w:val="auto"/>
                <w:spacing w:val="10"/>
              </w:rPr>
              <w:t>〕</w:t>
            </w:r>
            <w:r>
              <w:rPr>
                <w:rFonts w:hint="default" w:ascii="Times New Roman" w:hAnsi="Times New Roman" w:eastAsia="Times New Roman" w:cs="Times New Roman"/>
                <w:color w:val="auto"/>
                <w:spacing w:val="10"/>
              </w:rPr>
              <w:t>57</w:t>
            </w:r>
            <w:r>
              <w:rPr>
                <w:rFonts w:hint="default" w:ascii="Times New Roman" w:hAnsi="Times New Roman" w:cs="Times New Roman"/>
                <w:color w:val="auto"/>
                <w:spacing w:val="10"/>
              </w:rPr>
              <w:t>号）文件</w:t>
            </w:r>
            <w:r>
              <w:rPr>
                <w:rFonts w:hint="default" w:ascii="Times New Roman" w:hAnsi="Times New Roman" w:cs="Times New Roman"/>
                <w:color w:val="auto"/>
                <w:spacing w:val="12"/>
              </w:rPr>
              <w:t>要求进行，由我市上一年度环境空气质量年平均浓度及细颗粒物年平均浓度的数据情况而</w:t>
            </w:r>
            <w:r>
              <w:rPr>
                <w:rFonts w:hint="default" w:ascii="Times New Roman" w:hAnsi="Times New Roman" w:cs="Times New Roman"/>
                <w:color w:val="auto"/>
                <w:spacing w:val="8"/>
              </w:rPr>
              <w:t>定。若上一年度环境空气质量年平均浓度达标，则实施相关污染物进行等量替代；若上一年度环境空气质量年平均浓度不达标，相关污染物应按照建设项目所需替代的污染物排放总量指标的</w:t>
            </w:r>
            <w:r>
              <w:rPr>
                <w:rFonts w:hint="default" w:ascii="Times New Roman" w:hAnsi="Times New Roman" w:eastAsia="Times New Roman" w:cs="Times New Roman"/>
                <w:color w:val="auto"/>
                <w:spacing w:val="8"/>
              </w:rPr>
              <w:t>2</w:t>
            </w:r>
            <w:r>
              <w:rPr>
                <w:rFonts w:hint="default" w:ascii="Times New Roman" w:hAnsi="Times New Roman" w:cs="Times New Roman"/>
                <w:color w:val="auto"/>
                <w:spacing w:val="8"/>
              </w:rPr>
              <w:t>倍进行削减替代（燃煤发电机组大气污染物排放浓度达到</w:t>
            </w:r>
            <w:r>
              <w:rPr>
                <w:rFonts w:hint="default" w:ascii="Times New Roman" w:hAnsi="Times New Roman" w:cs="Times New Roman"/>
                <w:color w:val="auto"/>
                <w:spacing w:val="7"/>
              </w:rPr>
              <w:t>超低排放标准的进行等量</w:t>
            </w:r>
            <w:r>
              <w:rPr>
                <w:rFonts w:hint="default" w:ascii="Times New Roman" w:hAnsi="Times New Roman" w:cs="Times New Roman"/>
                <w:color w:val="auto"/>
                <w:spacing w:val="9"/>
              </w:rPr>
              <w:t>替代）。</w:t>
            </w:r>
            <w:r>
              <w:rPr>
                <w:rFonts w:hint="default" w:ascii="Times New Roman" w:hAnsi="Times New Roman" w:eastAsia="Times New Roman" w:cs="Times New Roman"/>
                <w:color w:val="auto"/>
                <w:spacing w:val="9"/>
              </w:rPr>
              <w:t>202</w:t>
            </w:r>
            <w:r>
              <w:rPr>
                <w:rFonts w:hint="eastAsia" w:ascii="Times New Roman" w:hAnsi="Times New Roman" w:eastAsia="宋体" w:cs="Times New Roman"/>
                <w:color w:val="auto"/>
                <w:spacing w:val="9"/>
                <w:lang w:val="en-US" w:eastAsia="zh-CN"/>
              </w:rPr>
              <w:t>4</w:t>
            </w:r>
            <w:r>
              <w:rPr>
                <w:rFonts w:hint="default" w:ascii="Times New Roman" w:hAnsi="Times New Roman" w:cs="Times New Roman"/>
                <w:color w:val="auto"/>
                <w:spacing w:val="9"/>
              </w:rPr>
              <w:t>年淄博市环境空气质量平均浓度不达标，因</w:t>
            </w:r>
            <w:r>
              <w:rPr>
                <w:rFonts w:hint="default" w:ascii="Times New Roman" w:hAnsi="Times New Roman" w:cs="Times New Roman"/>
                <w:color w:val="auto"/>
                <w:spacing w:val="8"/>
              </w:rPr>
              <w:t>此总量实行倍量替代。</w:t>
            </w:r>
          </w:p>
          <w:p w14:paraId="384000A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本项目</w:t>
            </w:r>
            <w:r>
              <w:rPr>
                <w:rFonts w:hint="eastAsia" w:ascii="Times New Roman" w:hAnsi="Times New Roman" w:cs="Times New Roman"/>
                <w:color w:val="auto"/>
                <w:lang w:val="en-US" w:eastAsia="zh-CN"/>
              </w:rPr>
              <w:t>无新增废水排放</w:t>
            </w:r>
            <w:r>
              <w:rPr>
                <w:rFonts w:hint="default" w:ascii="Times New Roman" w:hAnsi="Times New Roman" w:cs="Times New Roman"/>
                <w:color w:val="auto"/>
              </w:rPr>
              <w:t>，不需要单独申请总量控制指标。</w:t>
            </w:r>
          </w:p>
          <w:p w14:paraId="6D27EA8B">
            <w:pPr>
              <w:pStyle w:val="22"/>
              <w:spacing w:before="69" w:line="354" w:lineRule="auto"/>
              <w:ind w:left="106" w:right="10" w:firstLine="528"/>
              <w:rPr>
                <w:rFonts w:hint="default" w:ascii="Times New Roman" w:hAnsi="Times New Roman" w:cs="Times New Roman"/>
                <w:color w:val="auto"/>
                <w:highlight w:val="none"/>
              </w:rPr>
            </w:pPr>
            <w:r>
              <w:rPr>
                <w:rFonts w:hint="default" w:ascii="Times New Roman" w:hAnsi="Times New Roman" w:cs="Times New Roman"/>
                <w:color w:val="auto"/>
                <w:spacing w:val="8"/>
              </w:rPr>
              <w:t>综上所述，根据《山东省建设项目主要大气污染物排放总</w:t>
            </w:r>
            <w:r>
              <w:rPr>
                <w:rFonts w:hint="default" w:ascii="Times New Roman" w:hAnsi="Times New Roman" w:cs="Times New Roman"/>
                <w:color w:val="auto"/>
                <w:spacing w:val="7"/>
              </w:rPr>
              <w:t>量替代指标核算及管理办法》</w:t>
            </w:r>
            <w:r>
              <w:rPr>
                <w:rFonts w:hint="default" w:ascii="Times New Roman" w:hAnsi="Times New Roman" w:cs="Times New Roman"/>
                <w:color w:val="auto"/>
                <w:spacing w:val="9"/>
              </w:rPr>
              <w:t>（鲁环发</w:t>
            </w:r>
            <w:r>
              <w:rPr>
                <w:rFonts w:hint="default" w:ascii="Times New Roman" w:hAnsi="Times New Roman" w:eastAsia="Times New Roman" w:cs="Times New Roman"/>
                <w:color w:val="auto"/>
                <w:spacing w:val="9"/>
              </w:rPr>
              <w:t>[2019]132</w:t>
            </w:r>
            <w:r>
              <w:rPr>
                <w:rFonts w:hint="default" w:ascii="Times New Roman" w:hAnsi="Times New Roman" w:cs="Times New Roman"/>
                <w:color w:val="auto"/>
                <w:spacing w:val="9"/>
              </w:rPr>
              <w:t>号）和《关于统筹使用</w:t>
            </w:r>
            <w:r>
              <w:rPr>
                <w:rFonts w:hint="default" w:ascii="Times New Roman" w:hAnsi="Times New Roman" w:eastAsia="Times New Roman" w:cs="Times New Roman"/>
                <w:color w:val="auto"/>
                <w:spacing w:val="9"/>
              </w:rPr>
              <w:t>“</w:t>
            </w:r>
            <w:r>
              <w:rPr>
                <w:rFonts w:hint="default" w:ascii="Times New Roman" w:hAnsi="Times New Roman" w:cs="Times New Roman"/>
                <w:color w:val="auto"/>
                <w:spacing w:val="9"/>
              </w:rPr>
              <w:t>十四五</w:t>
            </w:r>
            <w:r>
              <w:rPr>
                <w:rFonts w:hint="default" w:ascii="Times New Roman" w:hAnsi="Times New Roman" w:eastAsia="Times New Roman" w:cs="Times New Roman"/>
                <w:color w:val="auto"/>
                <w:spacing w:val="9"/>
              </w:rPr>
              <w:t>”</w:t>
            </w:r>
            <w:r>
              <w:rPr>
                <w:rFonts w:hint="default" w:ascii="Times New Roman" w:hAnsi="Times New Roman" w:cs="Times New Roman"/>
                <w:color w:val="auto"/>
                <w:spacing w:val="9"/>
              </w:rPr>
              <w:t>建设项目主要大气污染物总量指标的通</w:t>
            </w:r>
            <w:r>
              <w:rPr>
                <w:rFonts w:hint="default" w:ascii="Times New Roman" w:hAnsi="Times New Roman" w:cs="Times New Roman"/>
                <w:color w:val="auto"/>
                <w:spacing w:val="10"/>
              </w:rPr>
              <w:t>知》（淄环函</w:t>
            </w:r>
            <w:r>
              <w:rPr>
                <w:rFonts w:hint="default" w:ascii="Times New Roman" w:hAnsi="Times New Roman" w:eastAsia="Times New Roman" w:cs="Times New Roman"/>
                <w:color w:val="auto"/>
                <w:spacing w:val="10"/>
              </w:rPr>
              <w:t>[2021]55</w:t>
            </w:r>
            <w:r>
              <w:rPr>
                <w:rFonts w:hint="default" w:ascii="Times New Roman" w:hAnsi="Times New Roman" w:cs="Times New Roman"/>
                <w:color w:val="auto"/>
                <w:spacing w:val="10"/>
              </w:rPr>
              <w:t>号）文件要求进行替代，</w:t>
            </w:r>
            <w:r>
              <w:rPr>
                <w:rFonts w:hint="default" w:ascii="Times New Roman" w:hAnsi="Times New Roman" w:eastAsia="Times New Roman" w:cs="Times New Roman"/>
                <w:color w:val="auto"/>
              </w:rPr>
              <w:t>VOCs</w:t>
            </w:r>
            <w:r>
              <w:rPr>
                <w:rFonts w:hint="eastAsia" w:ascii="Times New Roman" w:hAnsi="Times New Roman" w:eastAsia="宋体" w:cs="Times New Roman"/>
                <w:color w:val="auto"/>
                <w:lang w:val="en-US" w:eastAsia="zh-CN"/>
              </w:rPr>
              <w:t>与颗粒物</w:t>
            </w:r>
            <w:r>
              <w:rPr>
                <w:rFonts w:hint="default" w:ascii="Times New Roman" w:hAnsi="Times New Roman" w:cs="Times New Roman"/>
                <w:color w:val="auto"/>
                <w:spacing w:val="10"/>
              </w:rPr>
              <w:t>需</w:t>
            </w:r>
            <w:r>
              <w:rPr>
                <w:rFonts w:hint="default" w:ascii="Times New Roman" w:hAnsi="Times New Roman" w:eastAsia="Times New Roman" w:cs="Times New Roman"/>
                <w:color w:val="auto"/>
                <w:spacing w:val="10"/>
              </w:rPr>
              <w:t>2</w:t>
            </w:r>
            <w:r>
              <w:rPr>
                <w:rFonts w:hint="default" w:ascii="Times New Roman" w:hAnsi="Times New Roman" w:cs="Times New Roman"/>
                <w:color w:val="auto"/>
                <w:spacing w:val="6"/>
              </w:rPr>
              <w:t>倍削减</w:t>
            </w:r>
            <w:r>
              <w:rPr>
                <w:rFonts w:hint="default" w:ascii="Times New Roman" w:hAnsi="Times New Roman" w:cs="Times New Roman"/>
                <w:color w:val="auto"/>
                <w:spacing w:val="6"/>
                <w:highlight w:val="none"/>
              </w:rPr>
              <w:t>替代。</w:t>
            </w:r>
          </w:p>
          <w:p w14:paraId="4345FAE7">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项目建成后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本项目</w:t>
            </w:r>
            <w:r>
              <w:rPr>
                <w:rFonts w:hint="eastAsia" w:ascii="Times New Roman" w:hAnsi="Times New Roman" w:cs="Times New Roman"/>
                <w:color w:val="FF0000"/>
                <w:sz w:val="24"/>
                <w:highlight w:val="none"/>
                <w:lang w:val="en-US" w:eastAsia="zh-CN"/>
              </w:rPr>
              <w:t>全厂</w:t>
            </w:r>
            <w:r>
              <w:rPr>
                <w:rFonts w:hint="default" w:ascii="Times New Roman" w:hAnsi="Times New Roman" w:eastAsia="宋体" w:cs="Times New Roman"/>
                <w:color w:val="FF0000"/>
                <w:highlight w:val="none"/>
                <w:lang w:val="en-US" w:eastAsia="zh-CN"/>
              </w:rPr>
              <w:t>VOCs有组织排放量为</w:t>
            </w:r>
            <w:r>
              <w:rPr>
                <w:rFonts w:hint="eastAsia" w:ascii="Times New Roman" w:hAnsi="Times New Roman" w:eastAsia="宋体" w:cs="Times New Roman"/>
                <w:color w:val="FF0000"/>
                <w:sz w:val="24"/>
                <w:highlight w:val="none"/>
                <w:lang w:val="en-US" w:eastAsia="zh-CN"/>
              </w:rPr>
              <w:t>0.22</w:t>
            </w:r>
            <w:r>
              <w:rPr>
                <w:rFonts w:hint="eastAsia" w:ascii="Times New Roman" w:hAnsi="Times New Roman" w:cs="Times New Roman"/>
                <w:color w:val="FF0000"/>
                <w:sz w:val="24"/>
                <w:highlight w:val="none"/>
                <w:lang w:val="en-US" w:eastAsia="zh-CN"/>
              </w:rPr>
              <w:t>2</w:t>
            </w:r>
            <w:r>
              <w:rPr>
                <w:rFonts w:hint="default" w:ascii="Times New Roman" w:hAnsi="Times New Roman" w:eastAsia="宋体" w:cs="Times New Roman"/>
                <w:color w:val="FF0000"/>
                <w:sz w:val="24"/>
                <w:highlight w:val="none"/>
                <w:lang w:val="en-US" w:eastAsia="zh-CN"/>
              </w:rPr>
              <w:t>t/a。颗粒物有组织排放量为</w:t>
            </w:r>
            <w:r>
              <w:rPr>
                <w:rFonts w:hint="eastAsia" w:ascii="Times New Roman" w:hAnsi="Times New Roman" w:eastAsia="宋体" w:cs="Times New Roman"/>
                <w:color w:val="FF0000"/>
                <w:sz w:val="24"/>
                <w:highlight w:val="none"/>
                <w:lang w:val="en-US" w:eastAsia="zh-CN"/>
              </w:rPr>
              <w:t>0.696</w:t>
            </w:r>
            <w:r>
              <w:rPr>
                <w:rFonts w:hint="default" w:ascii="Times New Roman" w:hAnsi="Times New Roman" w:eastAsia="宋体" w:cs="Times New Roman"/>
                <w:color w:val="FF0000"/>
                <w:sz w:val="24"/>
                <w:highlight w:val="none"/>
                <w:lang w:val="en-US" w:eastAsia="zh-CN"/>
              </w:rPr>
              <w:t>t/a</w:t>
            </w:r>
            <w:r>
              <w:rPr>
                <w:rFonts w:hint="default" w:ascii="Times New Roman" w:hAnsi="Times New Roman" w:eastAsia="宋体" w:cs="Times New Roman"/>
                <w:color w:val="FF0000"/>
                <w:sz w:val="24"/>
                <w:highlight w:val="none"/>
              </w:rPr>
              <w:t>。</w:t>
            </w:r>
          </w:p>
          <w:p w14:paraId="3A2889E1">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yellow"/>
              </w:rPr>
            </w:pPr>
            <w:r>
              <w:rPr>
                <w:rFonts w:hint="eastAsia" w:ascii="Times New Roman" w:hAnsi="Times New Roman" w:cs="Times New Roman"/>
                <w:color w:val="auto"/>
                <w:sz w:val="24"/>
                <w:szCs w:val="24"/>
                <w:highlight w:val="none"/>
                <w:lang w:eastAsia="zh-CN"/>
              </w:rPr>
              <w:t>淄博淄阀工贸有限公司</w:t>
            </w:r>
            <w:r>
              <w:rPr>
                <w:rFonts w:hint="default" w:ascii="Times New Roman" w:hAnsi="Times New Roman" w:eastAsia="宋体" w:cs="Times New Roman"/>
                <w:color w:val="auto"/>
                <w:sz w:val="24"/>
                <w:szCs w:val="24"/>
                <w:highlight w:val="none"/>
              </w:rPr>
              <w:t>于20</w:t>
            </w:r>
            <w:r>
              <w:rPr>
                <w:rFonts w:hint="eastAsia" w:ascii="Times New Roman" w:hAnsi="Times New Roman"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月编制完成了</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淄博淄阀工贸有限公司</w:t>
            </w:r>
            <w:r>
              <w:rPr>
                <w:rFonts w:hint="eastAsia" w:ascii="Times New Roman" w:hAnsi="Times New Roman" w:cs="Times New Roman"/>
                <w:color w:val="auto"/>
                <w:sz w:val="24"/>
                <w:szCs w:val="24"/>
                <w:highlight w:val="none"/>
                <w:lang w:val="en-US" w:eastAsia="zh-CN"/>
              </w:rPr>
              <w:t>4000吨/年机械阀门配件及真空泵配件生产项目</w:t>
            </w:r>
            <w:r>
              <w:rPr>
                <w:rFonts w:hint="default" w:ascii="Times New Roman" w:hAnsi="Times New Roman" w:eastAsia="宋体" w:cs="Times New Roman"/>
                <w:color w:val="auto"/>
                <w:sz w:val="24"/>
                <w:szCs w:val="24"/>
                <w:highlight w:val="none"/>
              </w:rPr>
              <w:t>环境影响报告表</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并于201</w:t>
            </w:r>
            <w:r>
              <w:rPr>
                <w:rFonts w:hint="eastAsia" w:ascii="Times New Roman" w:hAnsi="Times New Roman"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日</w:t>
            </w:r>
            <w:r>
              <w:rPr>
                <w:rFonts w:hint="default" w:ascii="Times New Roman" w:hAnsi="Times New Roman" w:eastAsia="宋体" w:cs="Times New Roman"/>
                <w:color w:val="auto"/>
                <w:sz w:val="24"/>
                <w:szCs w:val="24"/>
                <w:highlight w:val="none"/>
                <w:lang w:val="en-US" w:eastAsia="zh-CN"/>
              </w:rPr>
              <w:t>取得</w:t>
            </w:r>
            <w:r>
              <w:rPr>
                <w:rFonts w:hint="eastAsia" w:ascii="Times New Roman" w:hAnsi="Times New Roman" w:cs="Times New Roman"/>
                <w:color w:val="auto"/>
                <w:sz w:val="24"/>
                <w:szCs w:val="24"/>
                <w:highlight w:val="none"/>
                <w:lang w:val="en-US" w:eastAsia="zh-CN"/>
              </w:rPr>
              <w:t>淄博市环境保护局淄川分局</w:t>
            </w:r>
            <w:r>
              <w:rPr>
                <w:rFonts w:hint="default" w:ascii="Times New Roman" w:hAnsi="Times New Roman" w:eastAsia="宋体" w:cs="Times New Roman"/>
                <w:color w:val="auto"/>
                <w:sz w:val="24"/>
                <w:szCs w:val="24"/>
                <w:highlight w:val="none"/>
              </w:rPr>
              <w:t>审批意见，审批意见文号为</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川环报告表[2010]37号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于</w:t>
            </w:r>
            <w:r>
              <w:rPr>
                <w:rFonts w:hint="eastAsia" w:ascii="Times New Roman" w:hAnsi="Times New Roman" w:cs="Times New Roman"/>
                <w:color w:val="auto"/>
                <w:sz w:val="24"/>
                <w:szCs w:val="24"/>
                <w:highlight w:val="none"/>
                <w:lang w:val="en-US" w:eastAsia="zh-CN"/>
              </w:rPr>
              <w:t>2011</w:t>
            </w:r>
            <w:r>
              <w:rPr>
                <w:rFonts w:hint="default" w:ascii="Times New Roman" w:hAnsi="Times New Roman" w:eastAsia="宋体" w:cs="Times New Roman"/>
                <w:color w:val="auto"/>
                <w:sz w:val="24"/>
                <w:szCs w:val="24"/>
                <w:highlight w:val="none"/>
                <w:lang w:val="en-US" w:eastAsia="zh-CN"/>
              </w:rPr>
              <w:t>年8月</w:t>
            </w:r>
            <w:r>
              <w:rPr>
                <w:rFonts w:hint="eastAsia" w:ascii="Times New Roman" w:hAnsi="Times New Roman"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lang w:val="en-US" w:eastAsia="zh-CN"/>
              </w:rPr>
              <w:t>日</w:t>
            </w:r>
            <w:r>
              <w:rPr>
                <w:rFonts w:hint="eastAsia" w:ascii="Times New Roman" w:hAnsi="Times New Roman" w:cs="Times New Roman"/>
                <w:color w:val="auto"/>
                <w:sz w:val="24"/>
                <w:szCs w:val="24"/>
                <w:highlight w:val="none"/>
                <w:lang w:val="en-US" w:eastAsia="zh-CN"/>
              </w:rPr>
              <w:t>取得淄川环保分局对该项目的验收意见，文号为川环验[2011]45号</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0000FF"/>
                <w:sz w:val="24"/>
                <w:highlight w:val="none"/>
                <w:lang w:val="en-US" w:eastAsia="zh-CN"/>
              </w:rPr>
              <w:t>由于现有项目环评批复较早，未出具总量确认书，现有项目污染物排放总量以环评报告预测排放量为准，现有项目环评中有组织颗粒物预测排放量为0.</w:t>
            </w:r>
            <w:r>
              <w:rPr>
                <w:rFonts w:hint="eastAsia" w:ascii="Times New Roman" w:hAnsi="Times New Roman" w:cs="Times New Roman"/>
                <w:color w:val="0000FF"/>
                <w:sz w:val="24"/>
                <w:highlight w:val="none"/>
                <w:lang w:val="en-US" w:eastAsia="zh-CN"/>
              </w:rPr>
              <w:t>16</w:t>
            </w:r>
            <w:r>
              <w:rPr>
                <w:rFonts w:hint="eastAsia" w:ascii="Times New Roman" w:hAnsi="Times New Roman" w:eastAsia="宋体" w:cs="Times New Roman"/>
                <w:color w:val="0000FF"/>
                <w:sz w:val="24"/>
                <w:highlight w:val="none"/>
                <w:lang w:val="en-US" w:eastAsia="zh-CN"/>
              </w:rPr>
              <w:t>t/a</w:t>
            </w:r>
            <w:r>
              <w:rPr>
                <w:rFonts w:hint="default" w:ascii="Times New Roman" w:hAnsi="Times New Roman" w:eastAsia="宋体" w:cs="Times New Roman"/>
                <w:color w:val="0000FF"/>
                <w:sz w:val="24"/>
                <w:highlight w:val="none"/>
                <w:lang w:val="en-US" w:eastAsia="zh-CN"/>
              </w:rPr>
              <w:t>。</w:t>
            </w:r>
          </w:p>
          <w:p w14:paraId="7807DB29">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yellow"/>
              </w:rPr>
            </w:pPr>
            <w:r>
              <w:rPr>
                <w:rFonts w:hint="default" w:ascii="Times New Roman" w:hAnsi="Times New Roman" w:cs="Times New Roman"/>
                <w:color w:val="auto"/>
                <w:highlight w:val="none"/>
              </w:rPr>
              <w:t>因此，</w:t>
            </w:r>
            <w:r>
              <w:rPr>
                <w:rFonts w:hint="eastAsia" w:ascii="Times New Roman" w:hAnsi="Times New Roman" w:cs="Times New Roman"/>
                <w:color w:val="auto"/>
                <w:highlight w:val="none"/>
                <w:lang w:val="en-US" w:eastAsia="zh-CN"/>
              </w:rPr>
              <w:t>技改项目</w:t>
            </w:r>
            <w:r>
              <w:rPr>
                <w:rFonts w:hint="default" w:ascii="Times New Roman" w:hAnsi="Times New Roman" w:cs="Times New Roman"/>
                <w:color w:val="auto"/>
                <w:highlight w:val="none"/>
              </w:rPr>
              <w:t>需</w:t>
            </w:r>
            <w:r>
              <w:rPr>
                <w:rFonts w:hint="eastAsia" w:ascii="Times New Roman" w:hAnsi="Times New Roman" w:cs="Times New Roman"/>
                <w:color w:val="auto"/>
                <w:highlight w:val="none"/>
                <w:lang w:val="en-US" w:eastAsia="zh-CN"/>
              </w:rPr>
              <w:t>新</w:t>
            </w:r>
            <w:r>
              <w:rPr>
                <w:rFonts w:hint="default" w:ascii="Times New Roman" w:hAnsi="Times New Roman" w:cs="Times New Roman"/>
                <w:color w:val="auto"/>
                <w:highlight w:val="none"/>
              </w:rPr>
              <w:t>申请的污染物总量控制指标为</w:t>
            </w:r>
            <w:r>
              <w:rPr>
                <w:rFonts w:hint="default" w:ascii="Times New Roman" w:hAnsi="Times New Roman" w:cs="Times New Roman"/>
                <w:color w:val="FF0000"/>
                <w:sz w:val="24"/>
                <w:szCs w:val="24"/>
                <w:highlight w:val="none"/>
              </w:rPr>
              <w:t>VOCs：</w:t>
            </w:r>
            <w:r>
              <w:rPr>
                <w:rFonts w:hint="eastAsia" w:ascii="Times New Roman" w:hAnsi="Times New Roman" w:cs="Times New Roman"/>
                <w:snapToGrid w:val="0"/>
                <w:color w:val="FF0000"/>
                <w:kern w:val="0"/>
                <w:sz w:val="24"/>
                <w:szCs w:val="24"/>
                <w:highlight w:val="none"/>
                <w:lang w:val="en-US" w:eastAsia="zh-CN" w:bidi="ar-SA"/>
              </w:rPr>
              <w:t>0.222</w:t>
            </w:r>
            <w:r>
              <w:rPr>
                <w:rFonts w:hint="default" w:ascii="Times New Roman" w:hAnsi="Times New Roman" w:cs="Times New Roman"/>
                <w:color w:val="FF0000"/>
                <w:sz w:val="24"/>
                <w:szCs w:val="24"/>
                <w:highlight w:val="none"/>
              </w:rPr>
              <w:t>t/a，</w:t>
            </w:r>
            <w:r>
              <w:rPr>
                <w:rFonts w:hint="eastAsia" w:ascii="Times New Roman" w:hAnsi="Times New Roman" w:cs="Times New Roman"/>
                <w:color w:val="FF0000"/>
                <w:sz w:val="24"/>
                <w:szCs w:val="24"/>
                <w:highlight w:val="none"/>
                <w:lang w:val="en-US" w:eastAsia="zh-CN"/>
              </w:rPr>
              <w:t>颗粒物：</w:t>
            </w:r>
            <w:r>
              <w:rPr>
                <w:rFonts w:hint="eastAsia" w:ascii="Times New Roman" w:hAnsi="Times New Roman" w:cs="Times New Roman"/>
                <w:snapToGrid w:val="0"/>
                <w:color w:val="FF0000"/>
                <w:kern w:val="0"/>
                <w:sz w:val="24"/>
                <w:szCs w:val="24"/>
                <w:highlight w:val="none"/>
                <w:lang w:val="en-US" w:eastAsia="zh-CN" w:bidi="ar-SA"/>
              </w:rPr>
              <w:t>0.536</w:t>
            </w:r>
            <w:r>
              <w:rPr>
                <w:rFonts w:hint="default" w:ascii="Times New Roman" w:hAnsi="Times New Roman" w:cs="Times New Roman"/>
                <w:color w:val="FF0000"/>
                <w:sz w:val="24"/>
                <w:szCs w:val="24"/>
                <w:highlight w:val="none"/>
              </w:rPr>
              <w:t>t/a</w:t>
            </w:r>
            <w:r>
              <w:rPr>
                <w:rFonts w:hint="eastAsia" w:ascii="Times New Roman" w:hAnsi="Times New Roman" w:cs="Times New Roman"/>
                <w:color w:val="FF0000"/>
                <w:highlight w:val="none"/>
                <w:lang w:eastAsia="zh-CN"/>
              </w:rPr>
              <w:t>。</w:t>
            </w:r>
            <w:r>
              <w:rPr>
                <w:rFonts w:hint="default" w:ascii="Times New Roman" w:hAnsi="Times New Roman" w:cs="Times New Roman"/>
                <w:color w:val="FF0000"/>
                <w:highlight w:val="none"/>
              </w:rPr>
              <w:t>需要替代的污染物总量控制指标为：VOCs：</w:t>
            </w:r>
            <w:r>
              <w:rPr>
                <w:rFonts w:hint="eastAsia" w:ascii="Times New Roman" w:hAnsi="Times New Roman" w:cs="Times New Roman"/>
                <w:color w:val="FF0000"/>
                <w:highlight w:val="none"/>
                <w:lang w:val="en-US" w:eastAsia="zh-CN"/>
              </w:rPr>
              <w:t>0.444</w:t>
            </w:r>
            <w:r>
              <w:rPr>
                <w:rFonts w:hint="default" w:ascii="Times New Roman" w:hAnsi="Times New Roman" w:cs="Times New Roman"/>
                <w:color w:val="FF0000"/>
                <w:highlight w:val="none"/>
              </w:rPr>
              <w:t>t/a，</w:t>
            </w:r>
            <w:r>
              <w:rPr>
                <w:rFonts w:hint="eastAsia" w:ascii="Times New Roman" w:hAnsi="Times New Roman" w:cs="Times New Roman"/>
                <w:color w:val="FF0000"/>
                <w:highlight w:val="none"/>
                <w:lang w:val="en-US" w:eastAsia="zh-CN"/>
              </w:rPr>
              <w:t>颗粒物：1.072</w:t>
            </w:r>
            <w:r>
              <w:rPr>
                <w:rFonts w:hint="default" w:ascii="Times New Roman" w:hAnsi="Times New Roman" w:cs="Times New Roman"/>
                <w:color w:val="FF0000"/>
                <w:highlight w:val="none"/>
              </w:rPr>
              <w:t>t/a。</w:t>
            </w:r>
          </w:p>
          <w:p w14:paraId="2D4F7BF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yellow"/>
              </w:rPr>
            </w:pPr>
          </w:p>
          <w:p w14:paraId="076A6F58">
            <w:pPr>
              <w:rPr>
                <w:rFonts w:hint="eastAsia"/>
                <w:color w:val="auto"/>
                <w:lang w:val="en-US" w:eastAsia="zh-CN"/>
              </w:rPr>
            </w:pPr>
          </w:p>
          <w:p w14:paraId="3BC75AF2">
            <w:pPr>
              <w:rPr>
                <w:rFonts w:hint="eastAsia"/>
                <w:color w:val="auto"/>
                <w:lang w:val="en-US" w:eastAsia="zh-CN"/>
              </w:rPr>
            </w:pPr>
          </w:p>
        </w:tc>
      </w:tr>
    </w:tbl>
    <w:p w14:paraId="2E0046A3">
      <w:pPr>
        <w:spacing w:before="59" w:line="219" w:lineRule="auto"/>
        <w:ind w:left="3015"/>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pacing w:val="-3"/>
          <w:sz w:val="30"/>
          <w:szCs w:val="30"/>
        </w:rPr>
        <w:t>四、主要环境影响和保护措施</w:t>
      </w:r>
    </w:p>
    <w:tbl>
      <w:tblPr>
        <w:tblStyle w:val="21"/>
        <w:tblW w:w="986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44"/>
        <w:gridCol w:w="9320"/>
      </w:tblGrid>
      <w:tr w14:paraId="1CF725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06" w:hRule="atLeast"/>
          <w:jc w:val="center"/>
        </w:trPr>
        <w:tc>
          <w:tcPr>
            <w:tcW w:w="544" w:type="dxa"/>
            <w:tcBorders>
              <w:bottom w:val="single" w:color="000000" w:sz="2" w:space="0"/>
              <w:right w:val="single" w:color="000000" w:sz="2" w:space="0"/>
            </w:tcBorders>
            <w:vAlign w:val="center"/>
          </w:tcPr>
          <w:p w14:paraId="0F9B2E3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lang w:val="en-US" w:eastAsia="en-US"/>
              </w:rPr>
            </w:pPr>
            <w:r>
              <w:rPr>
                <w:rFonts w:hint="default" w:ascii="Times New Roman" w:hAnsi="Times New Roman" w:cs="Times New Roman"/>
                <w:color w:val="auto"/>
                <w:lang w:val="en-US" w:eastAsia="en-US"/>
              </w:rPr>
              <w:t>施工期环境保护措施</w:t>
            </w:r>
          </w:p>
        </w:tc>
        <w:tc>
          <w:tcPr>
            <w:tcW w:w="9320" w:type="dxa"/>
            <w:tcBorders>
              <w:left w:val="single" w:color="000000" w:sz="2" w:space="0"/>
              <w:bottom w:val="single" w:color="000000" w:sz="2" w:space="0"/>
            </w:tcBorders>
            <w:vAlign w:val="center"/>
          </w:tcPr>
          <w:p w14:paraId="3C812342">
            <w:pPr>
              <w:keepNext w:val="0"/>
              <w:keepLines w:val="0"/>
              <w:pageBreakBefore w:val="0"/>
              <w:kinsoku/>
              <w:wordWrap/>
              <w:overflowPunct/>
              <w:topLinePunct/>
              <w:bidi w:val="0"/>
              <w:snapToGrid w:val="0"/>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1、建筑施工期主要环境影响</w:t>
            </w:r>
          </w:p>
          <w:p w14:paraId="5C559C3D">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b w:val="0"/>
                <w:bCs/>
                <w:color w:val="auto"/>
                <w:sz w:val="24"/>
                <w:szCs w:val="24"/>
                <w:lang w:eastAsia="zh-CN"/>
              </w:rPr>
              <w:t>本项目属于</w:t>
            </w:r>
            <w:r>
              <w:rPr>
                <w:rFonts w:hint="eastAsia" w:ascii="Times New Roman" w:hAnsi="Times New Roman" w:eastAsia="宋体" w:cs="Times New Roman"/>
                <w:b w:val="0"/>
                <w:bCs/>
                <w:color w:val="auto"/>
                <w:sz w:val="24"/>
                <w:szCs w:val="24"/>
                <w:lang w:val="en-US" w:eastAsia="zh-CN"/>
              </w:rPr>
              <w:t>技改</w:t>
            </w:r>
            <w:r>
              <w:rPr>
                <w:rFonts w:hint="default" w:ascii="Times New Roman" w:hAnsi="Times New Roman" w:eastAsia="宋体" w:cs="Times New Roman"/>
                <w:b w:val="0"/>
                <w:bCs/>
                <w:color w:val="auto"/>
                <w:sz w:val="24"/>
                <w:szCs w:val="24"/>
                <w:lang w:eastAsia="zh-CN"/>
              </w:rPr>
              <w:t>项目，项目利用现有</w:t>
            </w:r>
            <w:r>
              <w:rPr>
                <w:rFonts w:hint="default" w:ascii="Times New Roman" w:hAnsi="Times New Roman" w:eastAsia="宋体" w:cs="Times New Roman"/>
                <w:b w:val="0"/>
                <w:bCs/>
                <w:color w:val="auto"/>
                <w:sz w:val="24"/>
                <w:szCs w:val="24"/>
                <w:lang w:val="en-US" w:eastAsia="zh-CN"/>
              </w:rPr>
              <w:t>生产车间及公辅设施，新建一座</w:t>
            </w:r>
            <w:r>
              <w:rPr>
                <w:rFonts w:hint="eastAsia" w:ascii="Times New Roman" w:hAnsi="Times New Roman" w:eastAsia="宋体" w:cs="Times New Roman"/>
                <w:b w:val="0"/>
                <w:bCs/>
                <w:color w:val="auto"/>
                <w:sz w:val="24"/>
                <w:szCs w:val="24"/>
                <w:lang w:val="en-US" w:eastAsia="zh-CN"/>
              </w:rPr>
              <w:t>仓库</w:t>
            </w:r>
            <w:r>
              <w:rPr>
                <w:rFonts w:hint="default"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eastAsia="zh-CN"/>
              </w:rPr>
              <w:t>项目施工期主要建设</w:t>
            </w:r>
            <w:r>
              <w:rPr>
                <w:rFonts w:hint="default" w:ascii="Times New Roman" w:hAnsi="Times New Roman" w:eastAsia="宋体" w:cs="Times New Roman"/>
                <w:b w:val="0"/>
                <w:bCs/>
                <w:color w:val="auto"/>
                <w:sz w:val="24"/>
                <w:szCs w:val="24"/>
                <w:lang w:val="en-US" w:eastAsia="zh-CN"/>
              </w:rPr>
              <w:t>1座</w:t>
            </w:r>
            <w:r>
              <w:rPr>
                <w:rFonts w:hint="eastAsia" w:ascii="Times New Roman" w:hAnsi="Times New Roman" w:eastAsia="宋体" w:cs="Times New Roman"/>
                <w:b w:val="0"/>
                <w:bCs/>
                <w:color w:val="auto"/>
                <w:sz w:val="24"/>
                <w:szCs w:val="24"/>
                <w:lang w:val="en-US" w:eastAsia="zh-CN"/>
              </w:rPr>
              <w:t>仓库</w:t>
            </w:r>
            <w:r>
              <w:rPr>
                <w:rFonts w:hint="default" w:ascii="Times New Roman" w:hAnsi="Times New Roman" w:eastAsia="宋体" w:cs="Times New Roman"/>
                <w:b w:val="0"/>
                <w:bCs/>
                <w:color w:val="auto"/>
                <w:sz w:val="24"/>
                <w:szCs w:val="24"/>
                <w:lang w:eastAsia="zh-CN"/>
              </w:rPr>
              <w:t>，并新上生产及环保设备，施工期为</w:t>
            </w:r>
            <w:r>
              <w:rPr>
                <w:rFonts w:hint="default" w:ascii="Times New Roman" w:hAnsi="Times New Roman" w:eastAsia="宋体" w:cs="Times New Roman"/>
                <w:b w:val="0"/>
                <w:bCs/>
                <w:color w:val="auto"/>
                <w:sz w:val="24"/>
                <w:szCs w:val="24"/>
                <w:lang w:val="en-US" w:eastAsia="zh-CN"/>
              </w:rPr>
              <w:t>3</w:t>
            </w:r>
            <w:r>
              <w:rPr>
                <w:rFonts w:hint="default" w:ascii="Times New Roman" w:hAnsi="Times New Roman" w:eastAsia="宋体" w:cs="Times New Roman"/>
                <w:b w:val="0"/>
                <w:bCs/>
                <w:color w:val="auto"/>
                <w:sz w:val="24"/>
                <w:szCs w:val="24"/>
                <w:lang w:eastAsia="zh-CN"/>
              </w:rPr>
              <w:t>个月。施工期间，本项目的实施会对周围环境产生一定的影响，主要是扬尘、施工废水以及施工人员排放的生活污水、机械噪声和交通噪声、建筑垃圾和生活垃圾。</w:t>
            </w:r>
          </w:p>
          <w:p w14:paraId="79E3F3A0">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1、施工期</w:t>
            </w:r>
            <w:r>
              <w:rPr>
                <w:rFonts w:hint="default" w:ascii="Times New Roman" w:hAnsi="Times New Roman" w:eastAsia="宋体" w:cs="Times New Roman"/>
                <w:b/>
                <w:bCs/>
                <w:color w:val="auto"/>
                <w:sz w:val="24"/>
                <w:szCs w:val="24"/>
                <w:lang w:eastAsia="zh-CN"/>
              </w:rPr>
              <w:t>水环境影响分析</w:t>
            </w:r>
          </w:p>
          <w:p w14:paraId="11E0EDF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施工期废水主要为工地施工人员产生的生活污水和混凝土搅拌废水。</w:t>
            </w:r>
          </w:p>
          <w:p w14:paraId="21EDA439">
            <w:pPr>
              <w:autoSpaceDE w:val="0"/>
              <w:autoSpaceDN w:val="0"/>
              <w:adjustRightIn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（1）施工期生活污水</w:t>
            </w:r>
          </w:p>
          <w:p w14:paraId="13B941A5">
            <w:pPr>
              <w:autoSpaceDE w:val="0"/>
              <w:autoSpaceDN w:val="0"/>
              <w:adjustRightInd w:val="0"/>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施工期间，</w:t>
            </w:r>
            <w:r>
              <w:rPr>
                <w:rFonts w:hint="default" w:ascii="Times New Roman" w:hAnsi="Times New Roman" w:cs="Times New Roman"/>
                <w:color w:val="auto"/>
                <w:sz w:val="24"/>
                <w:szCs w:val="24"/>
                <w:lang w:eastAsia="zh-CN"/>
              </w:rPr>
              <w:t>施工人员按</w:t>
            </w:r>
            <w:r>
              <w:rPr>
                <w:rFonts w:hint="default" w:ascii="Times New Roman" w:hAnsi="Times New Roman" w:cs="Times New Roman"/>
                <w:color w:val="auto"/>
                <w:sz w:val="24"/>
                <w:szCs w:val="24"/>
                <w:lang w:val="en-US" w:eastAsia="zh-CN"/>
              </w:rPr>
              <w:t>10人考虑</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用水定额</w:t>
            </w:r>
            <w:r>
              <w:rPr>
                <w:rFonts w:hint="default" w:ascii="Times New Roman" w:hAnsi="Times New Roman" w:cs="Times New Roman"/>
                <w:color w:val="auto"/>
                <w:sz w:val="24"/>
                <w:szCs w:val="24"/>
              </w:rPr>
              <w:t>按0.05m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/人·d计，用水量为</w:t>
            </w:r>
            <w:r>
              <w:rPr>
                <w:rFonts w:hint="default" w:ascii="Times New Roman" w:hAnsi="Times New Roman" w:cs="Times New Roman"/>
                <w:color w:val="auto"/>
                <w:sz w:val="24"/>
                <w:szCs w:val="24"/>
                <w:lang w:val="en-US" w:eastAsia="zh-CN"/>
              </w:rPr>
              <w:t>0.5</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/d；排放系数以0.80计，排放量约为</w:t>
            </w:r>
            <w:r>
              <w:rPr>
                <w:rFonts w:hint="default" w:ascii="Times New Roman" w:hAnsi="Times New Roman" w:cs="Times New Roman"/>
                <w:color w:val="auto"/>
                <w:sz w:val="24"/>
                <w:szCs w:val="24"/>
                <w:lang w:val="en-US" w:eastAsia="zh-CN"/>
              </w:rPr>
              <w:t>0.40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/d。施工期间</w:t>
            </w:r>
            <w:r>
              <w:rPr>
                <w:rFonts w:hint="default" w:ascii="Times New Roman" w:hAnsi="Times New Roman" w:cs="Times New Roman"/>
                <w:color w:val="auto"/>
                <w:sz w:val="24"/>
                <w:szCs w:val="24"/>
                <w:lang w:eastAsia="zh-CN"/>
              </w:rPr>
              <w:t>生活废水排入厂区化粪池处理后，定期清挖用于农田堆肥。</w:t>
            </w:r>
          </w:p>
          <w:p w14:paraId="0D522963">
            <w:pPr>
              <w:autoSpaceDE w:val="0"/>
              <w:autoSpaceDN w:val="0"/>
              <w:adjustRightIn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（2）混凝土搅拌废水</w:t>
            </w:r>
          </w:p>
          <w:p w14:paraId="1E6CA81D">
            <w:pPr>
              <w:autoSpaceDE w:val="0"/>
              <w:autoSpaceDN w:val="0"/>
              <w:adjustRightInd w:val="0"/>
              <w:spacing w:line="360" w:lineRule="auto"/>
              <w:ind w:right="286" w:firstLine="480" w:firstLineChars="200"/>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rPr>
              <w:t>施工期间产生的混凝土搅拌废水，经</w:t>
            </w:r>
            <w:r>
              <w:rPr>
                <w:rFonts w:hint="default" w:ascii="Times New Roman" w:hAnsi="Times New Roman" w:cs="Times New Roman"/>
                <w:color w:val="auto"/>
                <w:sz w:val="24"/>
                <w:szCs w:val="24"/>
                <w:lang w:eastAsia="zh-CN"/>
              </w:rPr>
              <w:t>沉淀池</w:t>
            </w:r>
            <w:r>
              <w:rPr>
                <w:rFonts w:hint="default" w:ascii="Times New Roman" w:hAnsi="Times New Roman" w:cs="Times New Roman"/>
                <w:color w:val="auto"/>
                <w:sz w:val="24"/>
                <w:szCs w:val="24"/>
              </w:rPr>
              <w:t>沉淀处理后循环使用，不外排。</w:t>
            </w:r>
            <w:r>
              <w:rPr>
                <w:rFonts w:hint="default" w:ascii="Times New Roman" w:hAnsi="Times New Roman" w:cs="Times New Roman"/>
                <w:color w:val="auto"/>
                <w:sz w:val="24"/>
                <w:szCs w:val="24"/>
                <w:lang w:eastAsia="zh-CN"/>
              </w:rPr>
              <w:t>施工期间设置沉淀池，用于沉淀混凝土搅拌废水，沉淀池设置于</w:t>
            </w:r>
            <w:r>
              <w:rPr>
                <w:rFonts w:hint="eastAsia" w:ascii="Times New Roman" w:hAnsi="Times New Roman" w:cs="Times New Roman"/>
                <w:color w:val="auto"/>
                <w:sz w:val="24"/>
                <w:szCs w:val="24"/>
                <w:lang w:val="en-US" w:eastAsia="zh-CN"/>
              </w:rPr>
              <w:t>仓库</w:t>
            </w:r>
            <w:r>
              <w:rPr>
                <w:rFonts w:hint="default" w:ascii="Times New Roman" w:hAnsi="Times New Roman" w:cs="Times New Roman"/>
                <w:color w:val="auto"/>
                <w:sz w:val="24"/>
                <w:szCs w:val="24"/>
                <w:lang w:eastAsia="zh-CN"/>
              </w:rPr>
              <w:t>西侧，大小约为</w:t>
            </w:r>
            <w:r>
              <w:rPr>
                <w:rFonts w:hint="default" w:ascii="Times New Roman" w:hAnsi="Times New Roman" w:cs="Times New Roman"/>
                <w:color w:val="auto"/>
                <w:sz w:val="24"/>
                <w:szCs w:val="24"/>
                <w:lang w:val="en-US" w:eastAsia="zh-CN"/>
              </w:rPr>
              <w:t>4m*3m*1.5m，使用期间采取严格的防渗措施。</w:t>
            </w:r>
          </w:p>
          <w:p w14:paraId="77DD030D">
            <w:pPr>
              <w:autoSpaceDE w:val="0"/>
              <w:autoSpaceDN w:val="0"/>
              <w:adjustRightInd w:val="0"/>
              <w:spacing w:line="360" w:lineRule="auto"/>
              <w:ind w:right="286"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w:t>
            </w:r>
            <w:r>
              <w:rPr>
                <w:rFonts w:hint="default" w:ascii="Times New Roman" w:hAnsi="Times New Roman" w:eastAsia="宋体" w:cs="Times New Roman"/>
                <w:b/>
                <w:bCs/>
                <w:color w:val="auto"/>
                <w:sz w:val="24"/>
                <w:szCs w:val="24"/>
                <w:lang w:eastAsia="zh-CN"/>
              </w:rPr>
              <w:t>施工期环境空气影响分析</w:t>
            </w:r>
          </w:p>
          <w:p w14:paraId="20303A64">
            <w:pPr>
              <w:autoSpaceDE w:val="0"/>
              <w:autoSpaceDN w:val="0"/>
              <w:adjustRightInd w:val="0"/>
              <w:spacing w:line="360" w:lineRule="auto"/>
              <w:ind w:right="6"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施工阶段，频繁使用机动车辆运输建筑原材料、</w:t>
            </w:r>
            <w:r>
              <w:rPr>
                <w:rFonts w:hint="default" w:ascii="Times New Roman" w:hAnsi="Times New Roman" w:cs="Times New Roman"/>
                <w:color w:val="auto"/>
                <w:sz w:val="24"/>
                <w:szCs w:val="24"/>
                <w:lang w:eastAsia="zh-CN"/>
              </w:rPr>
              <w:t>生产设备</w:t>
            </w:r>
            <w:r>
              <w:rPr>
                <w:rFonts w:hint="default" w:ascii="Times New Roman" w:hAnsi="Times New Roman" w:cs="Times New Roman"/>
                <w:color w:val="auto"/>
                <w:sz w:val="24"/>
                <w:szCs w:val="24"/>
              </w:rPr>
              <w:t>及器材、建筑垃圾等，排出的机动车尾气主要污染物是THC、CO、NO</w:t>
            </w:r>
            <w:r>
              <w:rPr>
                <w:rFonts w:hint="default" w:ascii="Times New Roman" w:hAnsi="Times New Roman" w:cs="Times New Roman"/>
                <w:color w:val="auto"/>
                <w:sz w:val="24"/>
                <w:szCs w:val="24"/>
                <w:vertAlign w:val="subscript"/>
              </w:rPr>
              <w:t>x</w:t>
            </w:r>
            <w:r>
              <w:rPr>
                <w:rFonts w:hint="default" w:ascii="Times New Roman" w:hAnsi="Times New Roman" w:cs="Times New Roman"/>
                <w:color w:val="auto"/>
                <w:sz w:val="24"/>
                <w:szCs w:val="24"/>
              </w:rPr>
              <w:t>等，同时车辆运行、装卸建筑材料时将产生扬尘。</w:t>
            </w:r>
          </w:p>
          <w:p w14:paraId="6121F48C">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根据国务院办公厅二〇一〇年五月十一日《关于推进大气污染联防联控工作改善区域空气质量的指导意见》应强化施工工地环境管理</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禁止使用袋装水泥和现场搅拌混凝土、砂浆</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在施工场地应采取围挡、遮盖等防尘措施。</w:t>
            </w:r>
          </w:p>
          <w:p w14:paraId="5A1EEBD2">
            <w:pPr>
              <w:pStyle w:val="37"/>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施工扬尘污染主要造成大气中TSP值增高，根据类比资料，施工扬尘的起尘量与许多因素有关。影响起尘量的因素包括：</w:t>
            </w:r>
            <w:r>
              <w:rPr>
                <w:rFonts w:hint="default" w:ascii="Times New Roman" w:hAnsi="Times New Roman" w:cs="Times New Roman"/>
                <w:color w:val="auto"/>
                <w:sz w:val="24"/>
                <w:szCs w:val="24"/>
                <w:lang w:eastAsia="zh-CN"/>
              </w:rPr>
              <w:t>设备安装</w:t>
            </w:r>
            <w:r>
              <w:rPr>
                <w:rFonts w:hint="default" w:ascii="Times New Roman" w:hAnsi="Times New Roman" w:cs="Times New Roman"/>
                <w:color w:val="auto"/>
                <w:sz w:val="24"/>
                <w:szCs w:val="24"/>
              </w:rPr>
              <w:t>起尘量、施工</w:t>
            </w:r>
            <w:r>
              <w:rPr>
                <w:rFonts w:hint="default" w:ascii="Times New Roman" w:hAnsi="Times New Roman" w:cs="Times New Roman"/>
                <w:color w:val="auto"/>
                <w:sz w:val="24"/>
                <w:szCs w:val="24"/>
                <w:lang w:eastAsia="zh-CN"/>
              </w:rPr>
              <w:t>垃圾</w:t>
            </w:r>
            <w:r>
              <w:rPr>
                <w:rFonts w:hint="default" w:ascii="Times New Roman" w:hAnsi="Times New Roman" w:cs="Times New Roman"/>
                <w:color w:val="auto"/>
                <w:sz w:val="24"/>
                <w:szCs w:val="24"/>
              </w:rPr>
              <w:t>堆场起尘量、水泥搬运量、起尘高度、采取的防护措施、空气湿度、风速等。</w:t>
            </w:r>
          </w:p>
          <w:p w14:paraId="20EC4F65">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施工扬尘的浓度与施工现场条件、施工管理水平、施工机械化程度及施工季节、建设地区土质及天气等诸多因素有关，是一个复杂、较难定量的问题。本评价采用类比法对施工过程可能产生的扬尘情况进行分析。</w:t>
            </w:r>
          </w:p>
          <w:p w14:paraId="62D026E3">
            <w:pPr>
              <w:pStyle w:val="37"/>
              <w:spacing w:line="360" w:lineRule="auto"/>
              <w:ind w:firstLine="472" w:firstLineChars="197"/>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距施工场地不同距离处空气中TSP浓度值见下图表。</w:t>
            </w:r>
          </w:p>
          <w:p w14:paraId="3E9E0C74">
            <w:pPr>
              <w:pStyle w:val="37"/>
              <w:spacing w:line="360" w:lineRule="auto"/>
              <w:ind w:firstLine="0"/>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eastAsia="zh-CN"/>
              </w:rPr>
              <w:t>表</w:t>
            </w:r>
            <w:r>
              <w:rPr>
                <w:rFonts w:hint="default" w:ascii="Times New Roman" w:hAnsi="Times New Roman" w:cs="Times New Roman"/>
                <w:b/>
                <w:bCs/>
                <w:color w:val="auto"/>
                <w:sz w:val="24"/>
                <w:szCs w:val="24"/>
                <w:lang w:val="en-US" w:eastAsia="zh-CN"/>
              </w:rPr>
              <w:t>4-1</w:t>
            </w:r>
            <w:r>
              <w:rPr>
                <w:rFonts w:hint="default" w:ascii="Times New Roman" w:hAnsi="Times New Roman" w:cs="Times New Roman"/>
                <w:b/>
                <w:bCs/>
                <w:color w:val="auto"/>
                <w:sz w:val="24"/>
                <w:szCs w:val="24"/>
              </w:rPr>
              <w:t>施工近场大气中TSP浓度变化表（风速在3.0m/s左右）</w:t>
            </w:r>
          </w:p>
          <w:tbl>
            <w:tblPr>
              <w:tblStyle w:val="15"/>
              <w:tblW w:w="907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811"/>
              <w:gridCol w:w="939"/>
              <w:gridCol w:w="1059"/>
              <w:gridCol w:w="1127"/>
              <w:gridCol w:w="1208"/>
              <w:gridCol w:w="1127"/>
              <w:gridCol w:w="904"/>
              <w:gridCol w:w="896"/>
            </w:tblGrid>
            <w:tr w14:paraId="60B758A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cantSplit/>
                <w:trHeight w:val="375" w:hRule="atLeast"/>
                <w:jc w:val="center"/>
              </w:trPr>
              <w:tc>
                <w:tcPr>
                  <w:tcW w:w="1594" w:type="dxa"/>
                  <w:tcBorders>
                    <w:tl2br w:val="nil"/>
                    <w:tr2bl w:val="nil"/>
                  </w:tcBorders>
                  <w:noWrap w:val="0"/>
                  <w:vAlign w:val="center"/>
                </w:tcPr>
                <w:p w14:paraId="6B3A79B7">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距离（m）</w:t>
                  </w:r>
                </w:p>
              </w:tc>
              <w:tc>
                <w:tcPr>
                  <w:tcW w:w="826" w:type="dxa"/>
                  <w:tcBorders>
                    <w:tl2br w:val="nil"/>
                    <w:tr2bl w:val="nil"/>
                  </w:tcBorders>
                  <w:noWrap w:val="0"/>
                  <w:vAlign w:val="center"/>
                </w:tcPr>
                <w:p w14:paraId="768DB638">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932" w:type="dxa"/>
                  <w:tcBorders>
                    <w:tl2br w:val="nil"/>
                    <w:tr2bl w:val="nil"/>
                  </w:tcBorders>
                  <w:noWrap w:val="0"/>
                  <w:vAlign w:val="center"/>
                </w:tcPr>
                <w:p w14:paraId="25DB4D5E">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992" w:type="dxa"/>
                  <w:tcBorders>
                    <w:tl2br w:val="nil"/>
                    <w:tr2bl w:val="nil"/>
                  </w:tcBorders>
                  <w:noWrap w:val="0"/>
                  <w:vAlign w:val="center"/>
                </w:tcPr>
                <w:p w14:paraId="1A21A5D0">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1063" w:type="dxa"/>
                  <w:tcBorders>
                    <w:tl2br w:val="nil"/>
                    <w:tr2bl w:val="nil"/>
                  </w:tcBorders>
                  <w:noWrap w:val="0"/>
                  <w:vAlign w:val="center"/>
                </w:tcPr>
                <w:p w14:paraId="1FFDA495">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992" w:type="dxa"/>
                  <w:tcBorders>
                    <w:tl2br w:val="nil"/>
                    <w:tr2bl w:val="nil"/>
                  </w:tcBorders>
                  <w:noWrap w:val="0"/>
                  <w:vAlign w:val="center"/>
                </w:tcPr>
                <w:p w14:paraId="23DE920F">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796" w:type="dxa"/>
                  <w:tcBorders>
                    <w:tl2br w:val="nil"/>
                    <w:tr2bl w:val="nil"/>
                  </w:tcBorders>
                  <w:noWrap w:val="0"/>
                  <w:vAlign w:val="center"/>
                </w:tcPr>
                <w:p w14:paraId="30CF2FB2">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788" w:type="dxa"/>
                  <w:tcBorders>
                    <w:tl2br w:val="nil"/>
                    <w:tr2bl w:val="nil"/>
                  </w:tcBorders>
                  <w:noWrap w:val="0"/>
                  <w:vAlign w:val="center"/>
                </w:tcPr>
                <w:p w14:paraId="6416F9D9">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r>
            <w:tr w14:paraId="389ACB9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414" w:hRule="atLeast"/>
                <w:jc w:val="center"/>
              </w:trPr>
              <w:tc>
                <w:tcPr>
                  <w:tcW w:w="1594" w:type="dxa"/>
                  <w:tcBorders>
                    <w:tl2br w:val="nil"/>
                    <w:tr2bl w:val="nil"/>
                  </w:tcBorders>
                  <w:noWrap w:val="0"/>
                  <w:vAlign w:val="center"/>
                </w:tcPr>
                <w:p w14:paraId="189665EF">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浓度（mg/m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826" w:type="dxa"/>
                  <w:tcBorders>
                    <w:tl2br w:val="nil"/>
                    <w:tr2bl w:val="nil"/>
                  </w:tcBorders>
                  <w:noWrap w:val="0"/>
                  <w:vAlign w:val="center"/>
                </w:tcPr>
                <w:p w14:paraId="79A1B940">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1.75</w:t>
                  </w:r>
                </w:p>
              </w:tc>
              <w:tc>
                <w:tcPr>
                  <w:tcW w:w="932" w:type="dxa"/>
                  <w:tcBorders>
                    <w:tl2br w:val="nil"/>
                    <w:tr2bl w:val="nil"/>
                  </w:tcBorders>
                  <w:noWrap w:val="0"/>
                  <w:vAlign w:val="center"/>
                </w:tcPr>
                <w:p w14:paraId="2D07328C">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1.30</w:t>
                  </w:r>
                </w:p>
              </w:tc>
              <w:tc>
                <w:tcPr>
                  <w:tcW w:w="992" w:type="dxa"/>
                  <w:tcBorders>
                    <w:tl2br w:val="nil"/>
                    <w:tr2bl w:val="nil"/>
                  </w:tcBorders>
                  <w:noWrap w:val="0"/>
                  <w:vAlign w:val="center"/>
                </w:tcPr>
                <w:p w14:paraId="6A2E4B6B">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0.780</w:t>
                  </w:r>
                </w:p>
              </w:tc>
              <w:tc>
                <w:tcPr>
                  <w:tcW w:w="1063" w:type="dxa"/>
                  <w:tcBorders>
                    <w:tl2br w:val="nil"/>
                    <w:tr2bl w:val="nil"/>
                  </w:tcBorders>
                  <w:noWrap w:val="0"/>
                  <w:vAlign w:val="center"/>
                </w:tcPr>
                <w:p w14:paraId="45533E5B">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0.365</w:t>
                  </w:r>
                </w:p>
              </w:tc>
              <w:tc>
                <w:tcPr>
                  <w:tcW w:w="992" w:type="dxa"/>
                  <w:tcBorders>
                    <w:tl2br w:val="nil"/>
                    <w:tr2bl w:val="nil"/>
                  </w:tcBorders>
                  <w:noWrap w:val="0"/>
                  <w:vAlign w:val="center"/>
                </w:tcPr>
                <w:p w14:paraId="385BF834">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0.345</w:t>
                  </w:r>
                </w:p>
              </w:tc>
              <w:tc>
                <w:tcPr>
                  <w:tcW w:w="796" w:type="dxa"/>
                  <w:tcBorders>
                    <w:tl2br w:val="nil"/>
                    <w:tr2bl w:val="nil"/>
                  </w:tcBorders>
                  <w:noWrap w:val="0"/>
                  <w:vAlign w:val="center"/>
                </w:tcPr>
                <w:p w14:paraId="380C7E05">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0.330</w:t>
                  </w:r>
                </w:p>
              </w:tc>
              <w:tc>
                <w:tcPr>
                  <w:tcW w:w="788" w:type="dxa"/>
                  <w:tcBorders>
                    <w:tl2br w:val="nil"/>
                    <w:tr2bl w:val="nil"/>
                  </w:tcBorders>
                  <w:noWrap w:val="0"/>
                  <w:vAlign w:val="center"/>
                </w:tcPr>
                <w:p w14:paraId="0ABBC2D0">
                  <w:pPr>
                    <w:pStyle w:val="38"/>
                    <w:keepNext w:val="0"/>
                    <w:keepLines w:val="0"/>
                    <w:pageBreakBefore w:val="0"/>
                    <w:widowControl w:val="0"/>
                    <w:kinsoku/>
                    <w:wordWrap/>
                    <w:overflowPunct/>
                    <w:topLinePunct w:val="0"/>
                    <w:autoSpaceDE/>
                    <w:autoSpaceDN/>
                    <w:bidi w:val="0"/>
                    <w:adjustRightInd w:val="0"/>
                    <w:snapToGrid/>
                    <w:spacing w:before="0" w:beforeLines="0" w:after="0" w:afterLines="0"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0.29</w:t>
                  </w:r>
                </w:p>
              </w:tc>
            </w:tr>
          </w:tbl>
          <w:p w14:paraId="2BF2F4EA">
            <w:pPr>
              <w:pStyle w:val="37"/>
              <w:keepNext w:val="0"/>
              <w:keepLines w:val="0"/>
              <w:pageBreakBefore w:val="0"/>
              <w:widowControl w:val="0"/>
              <w:kinsoku/>
              <w:wordWrap/>
              <w:overflowPunct/>
              <w:topLinePunct w:val="0"/>
              <w:autoSpaceDE/>
              <w:autoSpaceDN/>
              <w:bidi w:val="0"/>
              <w:adjustRightInd w:val="0"/>
              <w:snapToGrid/>
              <w:spacing w:before="157" w:beforeLines="50" w:after="157" w:afterLines="50" w:line="360" w:lineRule="auto"/>
              <w:ind w:left="0" w:leftChars="0" w:right="0" w:rightChars="0" w:firstLine="0" w:firstLineChars="0"/>
              <w:jc w:val="center"/>
              <w:textAlignment w:val="baseline"/>
              <w:outlineLvl w:val="9"/>
              <w:rPr>
                <w:rFonts w:hint="default" w:ascii="Times New Roman" w:hAnsi="Times New Roman" w:cs="Times New Roman"/>
                <w:b/>
                <w:bCs/>
                <w:color w:val="auto"/>
                <w:sz w:val="24"/>
                <w:szCs w:val="24"/>
              </w:rPr>
            </w:pPr>
            <w:r>
              <w:rPr>
                <w:color w:val="auto"/>
              </w:rPr>
              <w:drawing>
                <wp:inline distT="0" distB="0" distL="114300" distR="114300">
                  <wp:extent cx="4867275" cy="1981200"/>
                  <wp:effectExtent l="0" t="0" r="9525" b="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26"/>
                          <a:stretch>
                            <a:fillRect/>
                          </a:stretch>
                        </pic:blipFill>
                        <pic:spPr>
                          <a:xfrm>
                            <a:off x="0" y="0"/>
                            <a:ext cx="4867275" cy="1981200"/>
                          </a:xfrm>
                          <a:prstGeom prst="rect">
                            <a:avLst/>
                          </a:prstGeom>
                          <a:noFill/>
                          <a:ln>
                            <a:noFill/>
                          </a:ln>
                        </pic:spPr>
                      </pic:pic>
                    </a:graphicData>
                  </a:graphic>
                </wp:inline>
              </w:drawing>
            </w:r>
          </w:p>
          <w:p w14:paraId="6D4E9063">
            <w:pPr>
              <w:pStyle w:val="37"/>
              <w:keepNext w:val="0"/>
              <w:keepLines w:val="0"/>
              <w:pageBreakBefore w:val="0"/>
              <w:widowControl w:val="0"/>
              <w:kinsoku/>
              <w:wordWrap/>
              <w:overflowPunct/>
              <w:topLinePunct w:val="0"/>
              <w:autoSpaceDE/>
              <w:autoSpaceDN/>
              <w:bidi w:val="0"/>
              <w:adjustRightInd w:val="0"/>
              <w:snapToGrid/>
              <w:spacing w:before="157" w:beforeLines="50" w:after="157" w:afterLines="50" w:line="360" w:lineRule="auto"/>
              <w:ind w:left="0" w:leftChars="0" w:right="0" w:rightChars="0" w:firstLine="0" w:firstLineChars="0"/>
              <w:jc w:val="center"/>
              <w:textAlignment w:val="baseline"/>
              <w:outlineLvl w:val="9"/>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eastAsia="zh-CN"/>
              </w:rPr>
              <w:t>图</w:t>
            </w:r>
            <w:r>
              <w:rPr>
                <w:rFonts w:hint="default" w:ascii="Times New Roman" w:hAnsi="Times New Roman" w:cs="Times New Roman"/>
                <w:b/>
                <w:bCs/>
                <w:color w:val="auto"/>
                <w:sz w:val="24"/>
                <w:szCs w:val="24"/>
                <w:lang w:val="en-US" w:eastAsia="zh-CN"/>
              </w:rPr>
              <w:t>4-1</w:t>
            </w:r>
            <w:r>
              <w:rPr>
                <w:rFonts w:hint="default" w:ascii="Times New Roman" w:hAnsi="Times New Roman" w:cs="Times New Roman"/>
                <w:b/>
                <w:bCs/>
                <w:color w:val="auto"/>
                <w:sz w:val="24"/>
                <w:szCs w:val="24"/>
              </w:rPr>
              <w:t>施工场地TSP浓度变化</w:t>
            </w:r>
          </w:p>
          <w:p w14:paraId="5F969838">
            <w:pPr>
              <w:pStyle w:val="37"/>
              <w:spacing w:line="360" w:lineRule="auto"/>
              <w:ind w:firstLine="460" w:firstLineChars="192"/>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建筑施工扬尘的影响范围在工地下风向200m范围内，受影响地区的TSP浓度平均值为0.29-1.75mg/m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，最大浓度点一般为上风向对照点的1.5倍，相当于环境空气质量标准的5.83倍。</w:t>
            </w:r>
          </w:p>
          <w:p w14:paraId="25DC24AC">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本评价根据《大气污染防治条例》、《城市扬尘防治技术规范》及本项目所在区域具体情况，提出如下建议：</w:t>
            </w:r>
          </w:p>
          <w:p w14:paraId="72CCA86E">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建设项目必须设置安全文明施工措施费，并保证专款专用。</w:t>
            </w:r>
          </w:p>
          <w:p w14:paraId="03AE7AD6">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当出现4级及以上风力天气情况时，禁止土方施工，并作好遮掩工作。</w:t>
            </w:r>
          </w:p>
          <w:p w14:paraId="553B277D">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eastAsia="zh-CN"/>
              </w:rPr>
              <w:t>）施工现场必须采取围档（围挡高度可按2.5m设置）、喷淋（每个施工段安排1名员工定期对施工场地洒水以减少扬尘的飞扬）、封闭、地面硬化等有效防止扬尘污染的措施，施工车辆经冲洗后方能进入市政道路。</w:t>
            </w:r>
          </w:p>
          <w:p w14:paraId="129949A7">
            <w:pPr>
              <w:pStyle w:val="37"/>
              <w:spacing w:line="360" w:lineRule="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eastAsia="zh-CN"/>
              </w:rPr>
              <w:t>）运输施工垃圾等易产生扬尘的物料，必须采取密闭措施，逐步实行密闭车辆运输，并实行运输准运证和许可证制度，防止运输过程发生遗散或泄漏情况。</w:t>
            </w:r>
          </w:p>
          <w:p w14:paraId="1C0C6298">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禁止现场搅拌混凝土，应使用预拌混凝土。</w:t>
            </w:r>
          </w:p>
          <w:p w14:paraId="24B89E44">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施工人员炊事必须使用煤气，液化石油气等清洁能源，严禁使用散煤、木材、锯木等非清洁燃料。</w:t>
            </w:r>
          </w:p>
          <w:p w14:paraId="09767DB1">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对沙石料、水泥等易产生扬尘的建筑材料应进行苫盖。</w:t>
            </w:r>
          </w:p>
          <w:p w14:paraId="15D825C5">
            <w:pPr>
              <w:pStyle w:val="37"/>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加强环境管理，施工单位应将有关环境污染控制列入承包内容，在施工过程中有专人负责，对环境影响严重的施工作业应按照国家有关环保管理制度要求，经环境主管部门批准后方可施工。</w:t>
            </w:r>
          </w:p>
          <w:p w14:paraId="58E982AE">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将整个施工期分成若干施工阶段，在每一阶段都应坚持“三同时”的原则。施工方应严格执行《防治城市扬尘技术规范》HJ/T393-2007及《关于推进大气污染联防联控工作改善区域空气质量指导意见的通知》（国办发〔2010〕33号）中的相关规定。</w:t>
            </w:r>
          </w:p>
          <w:p w14:paraId="4AB18C86">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根据国务院发布《大气污染防治行动计划》十条措施，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料堆要实现封闭储存或建设防风抑尘设施。推进城市及周边绿化和防风防沙林建设，扩大城市建成区绿地规模。</w:t>
            </w:r>
          </w:p>
          <w:p w14:paraId="65DF0BDA">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根据《“2+26”城市大气污染防治》，建筑工地安装视频监控，做到围挡、苫盖、喷淋、运输车辆清洗和路面硬化五个百分百。渣土运输车辆全部安装密闭装置并确保正常使用，未符合要求路上行驶的，一经查处按本地管理规定进行上限处罚并取消渣土运输资格。</w:t>
            </w:r>
          </w:p>
          <w:p w14:paraId="2D4D91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12</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按照省大气污染防治攻坚战领导小组的要求，进一步做好各项整改工作，及时整改到位。建筑工地施工要严格做到“六个100%”，工地周边100%围挡、物料堆放100%覆盖、出入车辆100%冲洗、施工现场地面100%硬化、拆迁工地100%湿法作业、渣土车辆100%密闭运输。</w:t>
            </w:r>
          </w:p>
          <w:p w14:paraId="3C16233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rPr>
              <w:t>施工期扬尘对施工场地及周围大气环境质量的不利影响是偶然的、短暂的和局部的，也是施工中不可避免的，其将随着施工的结束而消失，在严格落实以上扬尘控制措施的前提下，预计本项目施工期扬尘对周边村等环境敏感保护目标的影响很小。</w:t>
            </w:r>
          </w:p>
          <w:p w14:paraId="148A8B79">
            <w:pPr>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w:t>
            </w:r>
            <w:r>
              <w:rPr>
                <w:rFonts w:hint="default" w:ascii="Times New Roman" w:hAnsi="Times New Roman" w:eastAsia="宋体" w:cs="Times New Roman"/>
                <w:b/>
                <w:bCs/>
                <w:color w:val="auto"/>
                <w:sz w:val="24"/>
                <w:szCs w:val="24"/>
                <w:lang w:eastAsia="zh-CN"/>
              </w:rPr>
              <w:t>施工期声环境影响分析</w:t>
            </w:r>
          </w:p>
          <w:p w14:paraId="47A98EC0">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关于加强环境噪声污染防治工作改善城乡声环境质量的指导意见》（环发[2010]144号）强调要强化施工噪声污染防治。严格执行《建筑施工场界环境噪声排放标准》，查处施工噪声超过排放标准的行为。加强施工噪声排放申报管理，实施城市建筑施工环保公告制度。城市人民政府依法限定施工作业时间，严格限制在敏感区内夜间进行产生噪声污染的施工作业。实施城市夜间施工审批管理，推进噪声自动监测系统对建筑施工进行实时监督，鼓励使用低噪声施工设备和工艺。</w:t>
            </w:r>
          </w:p>
          <w:p w14:paraId="7592EE23">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施工期噪声包括各种建筑机械和运输车辆噪声，其中建筑机械作用产生的噪声十分严重，如推土机、挖掘机、载重汽车、振捣器等。虽然施工噪声仅在施工期的土建施工阶段产生，随着施工的结束而消失，但由于噪声较强，且日夜连续工作，将会对周围声环境产生严重影响，极易引起人们的反感，所以必须重视对施工期噪声的控制。距施工机械不同距离处的声级见表： </w:t>
            </w:r>
          </w:p>
          <w:p w14:paraId="40FAA8AA">
            <w:pPr>
              <w:spacing w:line="240"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eastAsia="zh-CN"/>
              </w:rPr>
              <w:t>表</w:t>
            </w:r>
            <w:r>
              <w:rPr>
                <w:rFonts w:hint="default" w:ascii="Times New Roman" w:hAnsi="Times New Roman" w:cs="Times New Roman"/>
                <w:b/>
                <w:bCs/>
                <w:color w:val="auto"/>
                <w:sz w:val="24"/>
                <w:szCs w:val="24"/>
                <w:lang w:val="en-US" w:eastAsia="zh-CN"/>
              </w:rPr>
              <w:t xml:space="preserve">4-2 </w:t>
            </w:r>
            <w:r>
              <w:rPr>
                <w:rFonts w:hint="default" w:ascii="Times New Roman" w:hAnsi="Times New Roman" w:cs="Times New Roman"/>
                <w:b/>
                <w:bCs/>
                <w:color w:val="auto"/>
                <w:sz w:val="24"/>
                <w:szCs w:val="24"/>
              </w:rPr>
              <w:t>距施工机械不同距离处的声级</w:t>
            </w:r>
          </w:p>
          <w:tbl>
            <w:tblPr>
              <w:tblStyle w:val="15"/>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
            <w:tblGrid>
              <w:gridCol w:w="946"/>
              <w:gridCol w:w="1456"/>
              <w:gridCol w:w="1165"/>
              <w:gridCol w:w="1107"/>
              <w:gridCol w:w="1107"/>
              <w:gridCol w:w="1085"/>
              <w:gridCol w:w="1104"/>
              <w:gridCol w:w="1101"/>
            </w:tblGrid>
            <w:tr w14:paraId="1AED15D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cantSplit/>
                <w:trHeight w:val="217" w:hRule="atLeast"/>
                <w:jc w:val="center"/>
              </w:trPr>
              <w:tc>
                <w:tcPr>
                  <w:tcW w:w="355" w:type="dxa"/>
                  <w:vMerge w:val="restart"/>
                  <w:tcBorders>
                    <w:tl2br w:val="nil"/>
                    <w:tr2bl w:val="nil"/>
                  </w:tcBorders>
                  <w:noWrap w:val="0"/>
                  <w:vAlign w:val="center"/>
                </w:tcPr>
                <w:p w14:paraId="53E1A283">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546" w:type="dxa"/>
                  <w:vMerge w:val="restart"/>
                  <w:tcBorders>
                    <w:tl2br w:val="nil"/>
                    <w:tr2bl w:val="nil"/>
                  </w:tcBorders>
                  <w:noWrap w:val="0"/>
                  <w:vAlign w:val="center"/>
                </w:tcPr>
                <w:p w14:paraId="0D090730">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设备名称</w:t>
                  </w:r>
                </w:p>
              </w:tc>
              <w:tc>
                <w:tcPr>
                  <w:tcW w:w="2501" w:type="dxa"/>
                  <w:gridSpan w:val="6"/>
                  <w:tcBorders>
                    <w:tl2br w:val="nil"/>
                    <w:tr2bl w:val="nil"/>
                  </w:tcBorders>
                  <w:noWrap w:val="0"/>
                  <w:vAlign w:val="top"/>
                </w:tcPr>
                <w:p w14:paraId="35BFE900">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噪声级dB（A）</w:t>
                  </w:r>
                </w:p>
              </w:tc>
            </w:tr>
            <w:tr w14:paraId="5E4F261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cantSplit/>
                <w:trHeight w:val="184" w:hRule="atLeast"/>
                <w:jc w:val="center"/>
              </w:trPr>
              <w:tc>
                <w:tcPr>
                  <w:tcW w:w="355" w:type="dxa"/>
                  <w:vMerge w:val="continue"/>
                  <w:tcBorders>
                    <w:tl2br w:val="nil"/>
                    <w:tr2bl w:val="nil"/>
                  </w:tcBorders>
                  <w:noWrap w:val="0"/>
                  <w:vAlign w:val="center"/>
                </w:tcPr>
                <w:p w14:paraId="2E36D9F0">
                  <w:pPr>
                    <w:spacing w:line="240" w:lineRule="auto"/>
                    <w:jc w:val="center"/>
                    <w:rPr>
                      <w:rFonts w:hint="default" w:ascii="Times New Roman" w:hAnsi="Times New Roman" w:cs="Times New Roman"/>
                      <w:color w:val="auto"/>
                      <w:sz w:val="21"/>
                      <w:szCs w:val="21"/>
                    </w:rPr>
                  </w:pPr>
                </w:p>
              </w:tc>
              <w:tc>
                <w:tcPr>
                  <w:tcW w:w="546" w:type="dxa"/>
                  <w:vMerge w:val="continue"/>
                  <w:tcBorders>
                    <w:tl2br w:val="nil"/>
                    <w:tr2bl w:val="nil"/>
                  </w:tcBorders>
                  <w:noWrap w:val="0"/>
                  <w:vAlign w:val="center"/>
                </w:tcPr>
                <w:p w14:paraId="32F1DF6C">
                  <w:pPr>
                    <w:spacing w:line="240" w:lineRule="auto"/>
                    <w:jc w:val="center"/>
                    <w:rPr>
                      <w:rFonts w:hint="default" w:ascii="Times New Roman" w:hAnsi="Times New Roman" w:cs="Times New Roman"/>
                      <w:color w:val="auto"/>
                      <w:sz w:val="21"/>
                      <w:szCs w:val="21"/>
                    </w:rPr>
                  </w:pPr>
                </w:p>
              </w:tc>
              <w:tc>
                <w:tcPr>
                  <w:tcW w:w="437" w:type="dxa"/>
                  <w:tcBorders>
                    <w:tl2br w:val="nil"/>
                    <w:tr2bl w:val="nil"/>
                  </w:tcBorders>
                  <w:noWrap w:val="0"/>
                  <w:vAlign w:val="center"/>
                </w:tcPr>
                <w:p w14:paraId="1AB78BA0">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10m</w:t>
                  </w:r>
                </w:p>
              </w:tc>
              <w:tc>
                <w:tcPr>
                  <w:tcW w:w="415" w:type="dxa"/>
                  <w:tcBorders>
                    <w:tl2br w:val="nil"/>
                    <w:tr2bl w:val="nil"/>
                  </w:tcBorders>
                  <w:noWrap w:val="0"/>
                  <w:vAlign w:val="center"/>
                </w:tcPr>
                <w:p w14:paraId="7F779ABA">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20m</w:t>
                  </w:r>
                </w:p>
              </w:tc>
              <w:tc>
                <w:tcPr>
                  <w:tcW w:w="415" w:type="dxa"/>
                  <w:tcBorders>
                    <w:tl2br w:val="nil"/>
                    <w:tr2bl w:val="nil"/>
                  </w:tcBorders>
                  <w:noWrap w:val="0"/>
                  <w:vAlign w:val="center"/>
                </w:tcPr>
                <w:p w14:paraId="614DCF33">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30m</w:t>
                  </w:r>
                </w:p>
              </w:tc>
              <w:tc>
                <w:tcPr>
                  <w:tcW w:w="407" w:type="dxa"/>
                  <w:tcBorders>
                    <w:tl2br w:val="nil"/>
                    <w:tr2bl w:val="nil"/>
                  </w:tcBorders>
                  <w:noWrap w:val="0"/>
                  <w:vAlign w:val="center"/>
                </w:tcPr>
                <w:p w14:paraId="589130B5">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50m</w:t>
                  </w:r>
                </w:p>
              </w:tc>
              <w:tc>
                <w:tcPr>
                  <w:tcW w:w="414" w:type="dxa"/>
                  <w:tcBorders>
                    <w:tl2br w:val="nil"/>
                    <w:tr2bl w:val="nil"/>
                  </w:tcBorders>
                  <w:noWrap w:val="0"/>
                  <w:vAlign w:val="center"/>
                </w:tcPr>
                <w:p w14:paraId="4881F8E0">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100m</w:t>
                  </w:r>
                </w:p>
              </w:tc>
              <w:tc>
                <w:tcPr>
                  <w:tcW w:w="413" w:type="dxa"/>
                  <w:tcBorders>
                    <w:tl2br w:val="nil"/>
                    <w:tr2bl w:val="nil"/>
                  </w:tcBorders>
                  <w:noWrap w:val="0"/>
                  <w:vAlign w:val="center"/>
                </w:tcPr>
                <w:p w14:paraId="782A8028">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200m</w:t>
                  </w:r>
                </w:p>
              </w:tc>
            </w:tr>
            <w:tr w14:paraId="0346C95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265" w:hRule="atLeast"/>
                <w:jc w:val="center"/>
              </w:trPr>
              <w:tc>
                <w:tcPr>
                  <w:tcW w:w="355" w:type="dxa"/>
                  <w:tcBorders>
                    <w:tl2br w:val="nil"/>
                    <w:tr2bl w:val="nil"/>
                  </w:tcBorders>
                  <w:noWrap w:val="0"/>
                  <w:vAlign w:val="center"/>
                </w:tcPr>
                <w:p w14:paraId="0A995A7B">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546" w:type="dxa"/>
                  <w:tcBorders>
                    <w:tl2br w:val="nil"/>
                    <w:tr2bl w:val="nil"/>
                  </w:tcBorders>
                  <w:noWrap w:val="0"/>
                  <w:vAlign w:val="center"/>
                </w:tcPr>
                <w:p w14:paraId="2168C4C4">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打桩机</w:t>
                  </w:r>
                </w:p>
              </w:tc>
              <w:tc>
                <w:tcPr>
                  <w:tcW w:w="437" w:type="dxa"/>
                  <w:tcBorders>
                    <w:tl2br w:val="nil"/>
                    <w:tr2bl w:val="nil"/>
                  </w:tcBorders>
                  <w:noWrap w:val="0"/>
                  <w:vAlign w:val="center"/>
                </w:tcPr>
                <w:p w14:paraId="41E1DFA6">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w:t>
                  </w:r>
                </w:p>
              </w:tc>
              <w:tc>
                <w:tcPr>
                  <w:tcW w:w="415" w:type="dxa"/>
                  <w:tcBorders>
                    <w:tl2br w:val="nil"/>
                    <w:tr2bl w:val="nil"/>
                  </w:tcBorders>
                  <w:noWrap w:val="0"/>
                  <w:vAlign w:val="center"/>
                </w:tcPr>
                <w:p w14:paraId="0CCE94D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74</w:t>
                  </w:r>
                </w:p>
              </w:tc>
              <w:tc>
                <w:tcPr>
                  <w:tcW w:w="415" w:type="dxa"/>
                  <w:tcBorders>
                    <w:tl2br w:val="nil"/>
                    <w:tr2bl w:val="nil"/>
                  </w:tcBorders>
                  <w:noWrap w:val="0"/>
                  <w:vAlign w:val="center"/>
                </w:tcPr>
                <w:p w14:paraId="09CF435E">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70.5</w:t>
                  </w:r>
                </w:p>
              </w:tc>
              <w:tc>
                <w:tcPr>
                  <w:tcW w:w="407" w:type="dxa"/>
                  <w:tcBorders>
                    <w:tl2br w:val="nil"/>
                    <w:tr2bl w:val="nil"/>
                  </w:tcBorders>
                  <w:noWrap w:val="0"/>
                  <w:vAlign w:val="center"/>
                </w:tcPr>
                <w:p w14:paraId="00104D2C">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w:t>
                  </w:r>
                </w:p>
              </w:tc>
              <w:tc>
                <w:tcPr>
                  <w:tcW w:w="414" w:type="dxa"/>
                  <w:tcBorders>
                    <w:tl2br w:val="nil"/>
                    <w:tr2bl w:val="nil"/>
                  </w:tcBorders>
                  <w:noWrap w:val="0"/>
                  <w:vAlign w:val="center"/>
                </w:tcPr>
                <w:p w14:paraId="734F3523">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413" w:type="dxa"/>
                  <w:tcBorders>
                    <w:tl2br w:val="nil"/>
                    <w:tr2bl w:val="nil"/>
                  </w:tcBorders>
                  <w:noWrap w:val="0"/>
                  <w:vAlign w:val="center"/>
                </w:tcPr>
                <w:p w14:paraId="710C82F8">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w:t>
                  </w:r>
                </w:p>
              </w:tc>
            </w:tr>
            <w:tr w14:paraId="597C716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06" w:hRule="atLeast"/>
                <w:jc w:val="center"/>
              </w:trPr>
              <w:tc>
                <w:tcPr>
                  <w:tcW w:w="355" w:type="dxa"/>
                  <w:tcBorders>
                    <w:tl2br w:val="nil"/>
                    <w:tr2bl w:val="nil"/>
                  </w:tcBorders>
                  <w:noWrap w:val="0"/>
                  <w:vAlign w:val="center"/>
                </w:tcPr>
                <w:p w14:paraId="4760F67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546" w:type="dxa"/>
                  <w:tcBorders>
                    <w:tl2br w:val="nil"/>
                    <w:tr2bl w:val="nil"/>
                  </w:tcBorders>
                  <w:noWrap w:val="0"/>
                  <w:vAlign w:val="center"/>
                </w:tcPr>
                <w:p w14:paraId="0D106FF9">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挖掘机</w:t>
                  </w:r>
                </w:p>
              </w:tc>
              <w:tc>
                <w:tcPr>
                  <w:tcW w:w="437" w:type="dxa"/>
                  <w:tcBorders>
                    <w:tl2br w:val="nil"/>
                    <w:tr2bl w:val="nil"/>
                  </w:tcBorders>
                  <w:noWrap w:val="0"/>
                  <w:vAlign w:val="center"/>
                </w:tcPr>
                <w:p w14:paraId="566EECE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w:t>
                  </w:r>
                </w:p>
              </w:tc>
              <w:tc>
                <w:tcPr>
                  <w:tcW w:w="415" w:type="dxa"/>
                  <w:tcBorders>
                    <w:tl2br w:val="nil"/>
                    <w:tr2bl w:val="nil"/>
                  </w:tcBorders>
                  <w:noWrap w:val="0"/>
                  <w:vAlign w:val="center"/>
                </w:tcPr>
                <w:p w14:paraId="2DC9779A">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59</w:t>
                  </w:r>
                </w:p>
              </w:tc>
              <w:tc>
                <w:tcPr>
                  <w:tcW w:w="415" w:type="dxa"/>
                  <w:tcBorders>
                    <w:tl2br w:val="nil"/>
                    <w:tr2bl w:val="nil"/>
                  </w:tcBorders>
                  <w:noWrap w:val="0"/>
                  <w:vAlign w:val="center"/>
                </w:tcPr>
                <w:p w14:paraId="2235BD7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55.5</w:t>
                  </w:r>
                </w:p>
              </w:tc>
              <w:tc>
                <w:tcPr>
                  <w:tcW w:w="407" w:type="dxa"/>
                  <w:tcBorders>
                    <w:tl2br w:val="nil"/>
                    <w:tr2bl w:val="nil"/>
                  </w:tcBorders>
                  <w:noWrap w:val="0"/>
                  <w:vAlign w:val="center"/>
                </w:tcPr>
                <w:p w14:paraId="3D4773B4">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w:t>
                  </w:r>
                </w:p>
              </w:tc>
              <w:tc>
                <w:tcPr>
                  <w:tcW w:w="414" w:type="dxa"/>
                  <w:tcBorders>
                    <w:tl2br w:val="nil"/>
                    <w:tr2bl w:val="nil"/>
                  </w:tcBorders>
                  <w:noWrap w:val="0"/>
                  <w:vAlign w:val="center"/>
                </w:tcPr>
                <w:p w14:paraId="1FAF0EA7">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w:t>
                  </w:r>
                </w:p>
              </w:tc>
              <w:tc>
                <w:tcPr>
                  <w:tcW w:w="413" w:type="dxa"/>
                  <w:tcBorders>
                    <w:tl2br w:val="nil"/>
                    <w:tr2bl w:val="nil"/>
                  </w:tcBorders>
                  <w:noWrap w:val="0"/>
                  <w:vAlign w:val="center"/>
                </w:tcPr>
                <w:p w14:paraId="75134217">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w:t>
                  </w:r>
                </w:p>
              </w:tc>
            </w:tr>
            <w:tr w14:paraId="7A735BB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355" w:type="dxa"/>
                  <w:tcBorders>
                    <w:tl2br w:val="nil"/>
                    <w:tr2bl w:val="nil"/>
                  </w:tcBorders>
                  <w:noWrap w:val="0"/>
                  <w:vAlign w:val="center"/>
                </w:tcPr>
                <w:p w14:paraId="27530C6B">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546" w:type="dxa"/>
                  <w:tcBorders>
                    <w:tl2br w:val="nil"/>
                    <w:tr2bl w:val="nil"/>
                  </w:tcBorders>
                  <w:noWrap w:val="0"/>
                  <w:vAlign w:val="center"/>
                </w:tcPr>
                <w:p w14:paraId="65780FD2">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载重汽车</w:t>
                  </w:r>
                </w:p>
              </w:tc>
              <w:tc>
                <w:tcPr>
                  <w:tcW w:w="437" w:type="dxa"/>
                  <w:tcBorders>
                    <w:tl2br w:val="nil"/>
                    <w:tr2bl w:val="nil"/>
                  </w:tcBorders>
                  <w:noWrap w:val="0"/>
                  <w:vAlign w:val="center"/>
                </w:tcPr>
                <w:p w14:paraId="6FD0893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415" w:type="dxa"/>
                  <w:tcBorders>
                    <w:tl2br w:val="nil"/>
                    <w:tr2bl w:val="nil"/>
                  </w:tcBorders>
                  <w:noWrap w:val="0"/>
                  <w:vAlign w:val="center"/>
                </w:tcPr>
                <w:p w14:paraId="795487B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64</w:t>
                  </w:r>
                </w:p>
              </w:tc>
              <w:tc>
                <w:tcPr>
                  <w:tcW w:w="415" w:type="dxa"/>
                  <w:tcBorders>
                    <w:tl2br w:val="nil"/>
                    <w:tr2bl w:val="nil"/>
                  </w:tcBorders>
                  <w:noWrap w:val="0"/>
                  <w:vAlign w:val="center"/>
                </w:tcPr>
                <w:p w14:paraId="387304E8">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60.5</w:t>
                  </w:r>
                </w:p>
              </w:tc>
              <w:tc>
                <w:tcPr>
                  <w:tcW w:w="407" w:type="dxa"/>
                  <w:tcBorders>
                    <w:tl2br w:val="nil"/>
                    <w:tr2bl w:val="nil"/>
                  </w:tcBorders>
                  <w:noWrap w:val="0"/>
                  <w:vAlign w:val="center"/>
                </w:tcPr>
                <w:p w14:paraId="1579C99E">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w:t>
                  </w:r>
                </w:p>
              </w:tc>
              <w:tc>
                <w:tcPr>
                  <w:tcW w:w="414" w:type="dxa"/>
                  <w:tcBorders>
                    <w:tl2br w:val="nil"/>
                    <w:tr2bl w:val="nil"/>
                  </w:tcBorders>
                  <w:noWrap w:val="0"/>
                  <w:vAlign w:val="center"/>
                </w:tcPr>
                <w:p w14:paraId="38EE419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413" w:type="dxa"/>
                  <w:tcBorders>
                    <w:tl2br w:val="nil"/>
                    <w:tr2bl w:val="nil"/>
                  </w:tcBorders>
                  <w:noWrap w:val="0"/>
                  <w:vAlign w:val="center"/>
                </w:tcPr>
                <w:p w14:paraId="79F6C249">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w:t>
                  </w:r>
                </w:p>
              </w:tc>
            </w:tr>
          </w:tbl>
          <w:p w14:paraId="093E8FD8">
            <w:pPr>
              <w:autoSpaceDE w:val="0"/>
              <w:autoSpaceDN w:val="0"/>
              <w:adjustRightIn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由上表可以看出，施工噪声将会使距声源50米范围内的昼、夜声级超过《声环境质量标准》（GB3096-2008）</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类标准，</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00米范围内夜间噪声超标。这将会对项目周围的环境敏感点产生不利影响，建议施工方采取以下措施以避免或减缓此不利影响：</w:t>
            </w:r>
          </w:p>
          <w:p w14:paraId="14A86C2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首先从声源上控制：建设单位在与施工单位签订合同时，应要求其使用的主要机械设备为低噪声机械设备，例如选液压机械取代燃油机械。同时在施工过程中施工单位应设专人对设备进行定期保养和维护，并负责对现场工作人员进行培训，严格按操作规范使用各类机械。</w:t>
            </w:r>
          </w:p>
          <w:p w14:paraId="4AE1FFB4">
            <w:pPr>
              <w:autoSpaceDE w:val="0"/>
              <w:autoSpaceDN w:val="0"/>
              <w:adjustRightInd w:val="0"/>
              <w:spacing w:line="360" w:lineRule="auto"/>
              <w:ind w:firstLine="480" w:firstLineChars="200"/>
              <w:jc w:val="left"/>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合理安排施工时间：施工单位应严格遵守当地政府、环保部门的规定，合理安排好施工时间。在项目四周，尤其是靠近南侧地段施工活动应尽量减少高噪声设备的施工，夜间停止有噪声的施工活动，确保居民的休息。</w:t>
            </w:r>
          </w:p>
          <w:p w14:paraId="2BA9235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（3）避免强噪声设备同时施工，持续作业，严禁在12:00~14:00、22:00~次日6:00期间施工。</w:t>
            </w:r>
          </w:p>
          <w:p w14:paraId="50C0947C">
            <w:pPr>
              <w:autoSpaceDE w:val="0"/>
              <w:autoSpaceDN w:val="0"/>
              <w:adjustRightIn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采用声屏障措施：在施工场地四周设立临时声屏障，特别是</w:t>
            </w:r>
            <w:r>
              <w:rPr>
                <w:rFonts w:hint="default" w:ascii="Times New Roman" w:hAnsi="Times New Roman" w:cs="Times New Roman"/>
                <w:color w:val="auto"/>
                <w:sz w:val="24"/>
                <w:szCs w:val="24"/>
                <w:lang w:eastAsia="zh-CN"/>
              </w:rPr>
              <w:t>南侧</w:t>
            </w:r>
            <w:r>
              <w:rPr>
                <w:rFonts w:hint="default" w:ascii="Times New Roman" w:hAnsi="Times New Roman" w:cs="Times New Roman"/>
                <w:color w:val="auto"/>
                <w:sz w:val="24"/>
                <w:szCs w:val="24"/>
              </w:rPr>
              <w:t>在施工主体工程阶段和装修阶段，对建筑物的外部也应采用围挡，以减轻设备噪声对周围环境的影响。避免对附近居民造成噪声影响，该位置施工尽量不采用高噪声设备。</w:t>
            </w:r>
          </w:p>
          <w:p w14:paraId="0E4D9E5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使用商品混凝土，避免混凝土搅拌机等噪声的影响。</w:t>
            </w:r>
          </w:p>
          <w:p w14:paraId="08BFD80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施工场地的施工车辆出入地点应尽量远离敏感点，避免在项目四周，车辆出入现场时应低速、禁鸣。</w:t>
            </w:r>
          </w:p>
          <w:p w14:paraId="4BFD057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建设管理部门应加强对施工场地的噪声管理，施工单位也应对施工噪声进行自律，文明施工，避免因施工噪声产生纠纷。</w:t>
            </w:r>
          </w:p>
          <w:p w14:paraId="451754D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严格执行以上噪声控制措施后，预测本项目施工噪声可以符合《建筑施工场界环境噪声排放标准》（GB12523-2011）的要求，对周边居民的影响不大。</w:t>
            </w:r>
          </w:p>
          <w:p w14:paraId="7605BBBA">
            <w:pPr>
              <w:autoSpaceDE w:val="0"/>
              <w:autoSpaceDN w:val="0"/>
              <w:adjustRightInd w:val="0"/>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w:t>
            </w:r>
            <w:r>
              <w:rPr>
                <w:rFonts w:hint="default" w:ascii="Times New Roman" w:hAnsi="Times New Roman" w:eastAsia="宋体" w:cs="Times New Roman"/>
                <w:b/>
                <w:bCs/>
                <w:color w:val="auto"/>
                <w:sz w:val="24"/>
                <w:szCs w:val="24"/>
                <w:lang w:eastAsia="zh-CN"/>
              </w:rPr>
              <w:t>施工期</w:t>
            </w:r>
            <w:r>
              <w:rPr>
                <w:rFonts w:hint="default" w:ascii="Times New Roman" w:hAnsi="Times New Roman" w:eastAsia="宋体" w:cs="Times New Roman"/>
                <w:b/>
                <w:bCs/>
                <w:color w:val="auto"/>
                <w:sz w:val="24"/>
                <w:szCs w:val="24"/>
              </w:rPr>
              <w:t>固体废物</w:t>
            </w:r>
            <w:r>
              <w:rPr>
                <w:rFonts w:hint="default" w:ascii="Times New Roman" w:hAnsi="Times New Roman" w:eastAsia="宋体" w:cs="Times New Roman"/>
                <w:b/>
                <w:bCs/>
                <w:color w:val="auto"/>
                <w:sz w:val="24"/>
                <w:szCs w:val="24"/>
                <w:lang w:eastAsia="zh-CN"/>
              </w:rPr>
              <w:t>环境影响分析</w:t>
            </w:r>
          </w:p>
          <w:p w14:paraId="27DD7F2F">
            <w:pPr>
              <w:autoSpaceDE w:val="0"/>
              <w:autoSpaceDN w:val="0"/>
              <w:adjustRightIn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本项目在施工过程中产生</w:t>
            </w:r>
            <w:r>
              <w:rPr>
                <w:rFonts w:hint="default" w:ascii="Times New Roman" w:hAnsi="Times New Roman" w:cs="Times New Roman"/>
                <w:color w:val="auto"/>
                <w:sz w:val="24"/>
                <w:szCs w:val="24"/>
                <w:lang w:eastAsia="zh-CN"/>
              </w:rPr>
              <w:t>建筑垃圾</w:t>
            </w:r>
            <w:r>
              <w:rPr>
                <w:rFonts w:hint="default" w:ascii="Times New Roman" w:hAnsi="Times New Roman" w:cs="Times New Roman"/>
                <w:color w:val="auto"/>
                <w:sz w:val="24"/>
                <w:szCs w:val="24"/>
              </w:rPr>
              <w:t>及施工人员生活垃圾。</w:t>
            </w:r>
          </w:p>
          <w:p w14:paraId="65C3B34A">
            <w:pPr>
              <w:autoSpaceDE w:val="0"/>
              <w:autoSpaceDN w:val="0"/>
              <w:adjustRightIn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（1）施工</w:t>
            </w:r>
            <w:r>
              <w:rPr>
                <w:rFonts w:hint="default" w:ascii="Times New Roman" w:hAnsi="Times New Roman" w:cs="Times New Roman"/>
                <w:color w:val="auto"/>
                <w:sz w:val="24"/>
                <w:szCs w:val="24"/>
                <w:lang w:eastAsia="zh-CN"/>
              </w:rPr>
              <w:t>建筑垃圾</w:t>
            </w:r>
          </w:p>
          <w:p w14:paraId="71DE97CB">
            <w:pPr>
              <w:autoSpaceDE w:val="0"/>
              <w:autoSpaceDN w:val="0"/>
              <w:adjustRightIn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施工期间</w:t>
            </w:r>
            <w:r>
              <w:rPr>
                <w:rFonts w:hint="default" w:ascii="Times New Roman" w:hAnsi="Times New Roman" w:cs="Times New Roman"/>
                <w:color w:val="auto"/>
                <w:sz w:val="24"/>
                <w:szCs w:val="24"/>
                <w:lang w:eastAsia="zh-CN"/>
              </w:rPr>
              <w:t>会产生建筑垃圾</w:t>
            </w:r>
            <w:r>
              <w:rPr>
                <w:rFonts w:hint="default" w:ascii="Times New Roman" w:hAnsi="Times New Roman" w:cs="Times New Roman"/>
                <w:color w:val="auto"/>
                <w:sz w:val="24"/>
                <w:szCs w:val="24"/>
              </w:rPr>
              <w:t>，这些</w:t>
            </w:r>
            <w:r>
              <w:rPr>
                <w:rFonts w:hint="default" w:ascii="Times New Roman" w:hAnsi="Times New Roman" w:cs="Times New Roman"/>
                <w:color w:val="auto"/>
                <w:sz w:val="24"/>
                <w:szCs w:val="24"/>
                <w:lang w:eastAsia="zh-CN"/>
              </w:rPr>
              <w:t>建筑垃圾</w:t>
            </w:r>
            <w:r>
              <w:rPr>
                <w:rFonts w:hint="default" w:ascii="Times New Roman" w:hAnsi="Times New Roman" w:cs="Times New Roman"/>
                <w:color w:val="auto"/>
                <w:sz w:val="24"/>
                <w:szCs w:val="24"/>
              </w:rPr>
              <w:t>在运输、处置过程中都可能对环境产生影响。这部分</w:t>
            </w:r>
            <w:r>
              <w:rPr>
                <w:rFonts w:hint="default" w:ascii="Times New Roman" w:hAnsi="Times New Roman" w:cs="Times New Roman"/>
                <w:color w:val="auto"/>
                <w:sz w:val="24"/>
                <w:szCs w:val="24"/>
                <w:lang w:eastAsia="zh-CN"/>
              </w:rPr>
              <w:t>建筑垃圾</w:t>
            </w:r>
            <w:r>
              <w:rPr>
                <w:rFonts w:hint="default" w:ascii="Times New Roman" w:hAnsi="Times New Roman" w:cs="Times New Roman"/>
                <w:color w:val="auto"/>
                <w:sz w:val="24"/>
                <w:szCs w:val="24"/>
              </w:rPr>
              <w:t>如果随意堆放</w:t>
            </w:r>
            <w:r>
              <w:rPr>
                <w:rFonts w:hint="default" w:ascii="Times New Roman" w:hAnsi="Times New Roman" w:cs="Times New Roman"/>
                <w:color w:val="auto"/>
                <w:sz w:val="24"/>
                <w:szCs w:val="24"/>
                <w:lang w:eastAsia="zh-CN"/>
              </w:rPr>
              <w:t>将</w:t>
            </w:r>
            <w:r>
              <w:rPr>
                <w:rFonts w:hint="default" w:ascii="Times New Roman" w:hAnsi="Times New Roman" w:cs="Times New Roman"/>
                <w:color w:val="auto"/>
                <w:sz w:val="24"/>
                <w:szCs w:val="24"/>
              </w:rPr>
              <w:t>影响行人和车辆过往和环境质量。</w:t>
            </w:r>
          </w:p>
          <w:p w14:paraId="24094784">
            <w:pPr>
              <w:autoSpaceDE w:val="0"/>
              <w:autoSpaceDN w:val="0"/>
              <w:adjustRightIn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施工期间需要运输各种建筑材料（如砂石、水泥、砖、木材等），根据同类施工统计资料，项目土建施工期碎砖、过剩混凝土等建筑垃圾产生量约为600t/hm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，项目总建筑面积</w:t>
            </w:r>
            <w:r>
              <w:rPr>
                <w:rFonts w:hint="eastAsia" w:ascii="Times New Roman" w:hAnsi="Times New Roman" w:cs="Times New Roman"/>
                <w:color w:val="auto"/>
                <w:sz w:val="24"/>
                <w:szCs w:val="24"/>
                <w:lang w:val="en-US" w:eastAsia="zh-CN"/>
              </w:rPr>
              <w:t>200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，故整个土建施工期产生总量约</w:t>
            </w:r>
            <w:r>
              <w:rPr>
                <w:rFonts w:hint="eastAsia" w:ascii="Times New Roman" w:hAnsi="Times New Roman" w:cs="Times New Roman"/>
                <w:color w:val="auto"/>
                <w:sz w:val="24"/>
                <w:szCs w:val="24"/>
                <w:lang w:val="en-US" w:eastAsia="zh-CN"/>
              </w:rPr>
              <w:t>12</w:t>
            </w:r>
            <w:r>
              <w:rPr>
                <w:rFonts w:hint="default" w:ascii="Times New Roman" w:hAnsi="Times New Roman" w:cs="Times New Roman"/>
                <w:color w:val="auto"/>
                <w:sz w:val="24"/>
                <w:szCs w:val="24"/>
              </w:rPr>
              <w:t>t；委托经环卫部门核准的建筑渣土运输单位将建筑渣土运输至环卫部门认可的贮存、处置场所。</w:t>
            </w:r>
          </w:p>
          <w:p w14:paraId="30EF699E">
            <w:pPr>
              <w:autoSpaceDE w:val="0"/>
              <w:autoSpaceDN w:val="0"/>
              <w:adjustRightIn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（2）生活垃圾</w:t>
            </w:r>
          </w:p>
          <w:p w14:paraId="2085EB7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间施工人员将产生一定量的生活垃圾，如不及时处理，在气温适宜的条件下则会孳生蚊虫、产生恶臭、传播疾病，对周围环境产生不利影响。本项目施工人员生活垃圾应及时运送至环卫部门指定地点进行处理，避免对周围环境产生影响。</w:t>
            </w:r>
          </w:p>
          <w:p w14:paraId="2B65E0C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5、</w:t>
            </w:r>
            <w:r>
              <w:rPr>
                <w:rFonts w:hint="default" w:ascii="Times New Roman" w:hAnsi="Times New Roman" w:cs="Times New Roman"/>
                <w:b/>
                <w:bCs/>
                <w:color w:val="auto"/>
                <w:sz w:val="24"/>
                <w:szCs w:val="24"/>
              </w:rPr>
              <w:t>水土流失及弃土影响分析</w:t>
            </w:r>
          </w:p>
          <w:p w14:paraId="7321A98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建设期水土流失主要是施工期土石的堆放、填埋所造成。因此，本项目水土保持的重点是工程填埋土石料的处理和防护；其次大规模施工应避开大雨季节。本工程必须</w:t>
            </w:r>
            <w:r>
              <w:rPr>
                <w:rFonts w:hint="default" w:ascii="Times New Roman" w:hAnsi="Times New Roman" w:cs="Times New Roman"/>
                <w:color w:val="auto"/>
                <w:sz w:val="24"/>
                <w:szCs w:val="24"/>
                <w:lang w:eastAsia="zh-CN"/>
              </w:rPr>
              <w:t>采取必要的</w:t>
            </w:r>
            <w:r>
              <w:rPr>
                <w:rFonts w:hint="default" w:ascii="Times New Roman" w:hAnsi="Times New Roman" w:cs="Times New Roman"/>
                <w:color w:val="auto"/>
                <w:sz w:val="24"/>
                <w:szCs w:val="24"/>
              </w:rPr>
              <w:t>工程措施和生物措施，减少水土流失量，保护生态环境。</w:t>
            </w:r>
          </w:p>
          <w:p w14:paraId="61E6984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预防保护措施：</w:t>
            </w:r>
          </w:p>
          <w:p w14:paraId="682AB88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①</w:t>
            </w:r>
            <w:r>
              <w:rPr>
                <w:rFonts w:hint="default" w:ascii="Times New Roman" w:hAnsi="Times New Roman" w:cs="Times New Roman"/>
                <w:color w:val="auto"/>
                <w:sz w:val="24"/>
                <w:szCs w:val="24"/>
              </w:rPr>
              <w:t>合理选择施工工期，尽量避免在雨季开挖各种基础。合理选择施工工序，即开采的土石料及时运至工程区，及时投入使用，尽量缩短临时土石料的时间；在堆放土石时，把易产生水土流失的土料堆放在场地中间，开采的块石堆放在其周围，起临时拦挡作用。建议施工单位将开挖的土石方尽快回填，避免产生大量的水土流失。</w:t>
            </w:r>
          </w:p>
          <w:p w14:paraId="362AA0E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②</w:t>
            </w:r>
            <w:r>
              <w:rPr>
                <w:rFonts w:hint="default" w:ascii="Times New Roman" w:hAnsi="Times New Roman" w:cs="Times New Roman"/>
                <w:color w:val="auto"/>
                <w:sz w:val="24"/>
                <w:szCs w:val="24"/>
              </w:rPr>
              <w:t>建立水保方案实施的领导管理机构，强化工作人员水保意识，并实行水保施工监理制度和档案管理制度。</w:t>
            </w:r>
          </w:p>
          <w:p w14:paraId="0F51873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③</w:t>
            </w:r>
            <w:r>
              <w:rPr>
                <w:rFonts w:hint="default" w:ascii="Times New Roman" w:hAnsi="Times New Roman" w:cs="Times New Roman"/>
                <w:color w:val="auto"/>
                <w:sz w:val="24"/>
                <w:szCs w:val="24"/>
              </w:rPr>
              <w:t>在道路的两侧修筑排水沟一边及时排走汇积来水。</w:t>
            </w:r>
          </w:p>
          <w:p w14:paraId="480FF2EC">
            <w:pPr>
              <w:pStyle w:val="14"/>
              <w:ind w:left="0" w:leftChars="0"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④</w:t>
            </w:r>
            <w:r>
              <w:rPr>
                <w:rFonts w:hint="default" w:ascii="Times New Roman" w:hAnsi="Times New Roman" w:cs="Times New Roman"/>
                <w:color w:val="auto"/>
                <w:sz w:val="24"/>
                <w:szCs w:val="24"/>
              </w:rPr>
              <w:t>工程完工后，对工程区内的临时施工占地进行场地清理。</w:t>
            </w:r>
          </w:p>
          <w:p w14:paraId="3A7501B1">
            <w:pPr>
              <w:rPr>
                <w:rFonts w:hint="default" w:ascii="Times New Roman" w:hAnsi="Times New Roman" w:eastAsia="宋体" w:cs="Times New Roman"/>
                <w:color w:val="auto"/>
                <w:sz w:val="24"/>
                <w:szCs w:val="24"/>
                <w:lang w:eastAsia="zh-CN"/>
              </w:rPr>
            </w:pPr>
          </w:p>
          <w:p w14:paraId="76C56182">
            <w:pPr>
              <w:pStyle w:val="14"/>
              <w:rPr>
                <w:rFonts w:hint="default"/>
                <w:color w:val="auto"/>
                <w:lang w:val="en-US" w:eastAsia="zh-CN"/>
              </w:rPr>
            </w:pPr>
          </w:p>
          <w:p w14:paraId="6520AD2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p>
        </w:tc>
      </w:tr>
      <w:tr w14:paraId="1F2B23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333" w:hRule="atLeast"/>
          <w:jc w:val="center"/>
        </w:trPr>
        <w:tc>
          <w:tcPr>
            <w:tcW w:w="544" w:type="dxa"/>
            <w:tcBorders>
              <w:top w:val="single" w:color="000000" w:sz="2" w:space="0"/>
              <w:right w:val="single" w:color="000000" w:sz="2" w:space="0"/>
            </w:tcBorders>
            <w:vAlign w:val="center"/>
          </w:tcPr>
          <w:p w14:paraId="76E99A7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auto"/>
                <w:lang w:val="en-US" w:eastAsia="en-US"/>
              </w:rPr>
            </w:pPr>
            <w:r>
              <w:rPr>
                <w:rFonts w:hint="default" w:ascii="Times New Roman" w:hAnsi="Times New Roman" w:cs="Times New Roman"/>
                <w:color w:val="auto"/>
                <w:lang w:val="en-US" w:eastAsia="en-US"/>
              </w:rPr>
              <w:t>运营期环境影响和保护措施</w:t>
            </w:r>
          </w:p>
        </w:tc>
        <w:tc>
          <w:tcPr>
            <w:tcW w:w="9320" w:type="dxa"/>
            <w:tcBorders>
              <w:top w:val="single" w:color="000000" w:sz="2" w:space="0"/>
              <w:left w:val="single" w:color="000000" w:sz="2" w:space="0"/>
            </w:tcBorders>
            <w:vAlign w:val="top"/>
          </w:tcPr>
          <w:p w14:paraId="0E27D530">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cs="Times New Roman"/>
                <w:b/>
                <w:bCs/>
                <w:color w:val="auto"/>
              </w:rPr>
            </w:pPr>
            <w:r>
              <w:rPr>
                <w:rFonts w:hint="default" w:ascii="Times New Roman" w:hAnsi="Times New Roman" w:cs="Times New Roman"/>
                <w:b/>
                <w:bCs/>
                <w:color w:val="auto"/>
              </w:rPr>
              <w:t>一、废气</w:t>
            </w:r>
          </w:p>
          <w:p w14:paraId="3BA9E7D8">
            <w:pPr>
              <w:keepNext w:val="0"/>
              <w:keepLines w:val="0"/>
              <w:pageBreakBefore w:val="0"/>
              <w:widowControl/>
              <w:kinsoku/>
              <w:wordWrap/>
              <w:overflowPunct/>
              <w:topLinePunct w:val="0"/>
              <w:autoSpaceDE w:val="0"/>
              <w:autoSpaceDN w:val="0"/>
              <w:bidi w:val="0"/>
              <w:adjustRightInd w:val="0"/>
              <w:snapToGrid w:val="0"/>
              <w:ind w:firstLine="480" w:firstLineChars="200"/>
              <w:jc w:val="left"/>
              <w:textAlignment w:val="baseline"/>
              <w:rPr>
                <w:rFonts w:hint="default" w:ascii="Times New Roman" w:hAnsi="Times New Roman" w:cs="Times New Roman"/>
                <w:color w:val="auto"/>
              </w:rPr>
            </w:pPr>
            <w:r>
              <w:rPr>
                <w:rFonts w:hint="default" w:ascii="Times New Roman" w:hAnsi="Times New Roman" w:cs="Times New Roman"/>
                <w:color w:val="auto"/>
              </w:rPr>
              <w:t>1、废气产生、排放情况简述</w:t>
            </w:r>
          </w:p>
          <w:p w14:paraId="70A88930">
            <w:pPr>
              <w:pStyle w:val="22"/>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textAlignment w:val="baseline"/>
              <w:rPr>
                <w:rFonts w:hint="eastAsia" w:ascii="Times New Roman" w:hAnsi="Times New Roman" w:eastAsia="宋体" w:cs="Times New Roman"/>
                <w:color w:val="auto"/>
                <w:spacing w:val="-3"/>
                <w:lang w:eastAsia="zh-CN"/>
              </w:rPr>
            </w:pPr>
            <w:r>
              <w:rPr>
                <w:rFonts w:hint="default" w:ascii="Times New Roman" w:hAnsi="Times New Roman" w:cs="Times New Roman"/>
                <w:color w:val="auto"/>
                <w:spacing w:val="-3"/>
              </w:rPr>
              <w:t>本项目废气主要为制芯、制壳</w:t>
            </w:r>
            <w:r>
              <w:rPr>
                <w:rFonts w:hint="eastAsia" w:ascii="Times New Roman" w:hAnsi="Times New Roman" w:cs="Times New Roman"/>
                <w:color w:val="auto"/>
                <w:spacing w:val="-3"/>
                <w:lang w:eastAsia="zh-CN"/>
              </w:rPr>
              <w:t>、</w:t>
            </w:r>
            <w:r>
              <w:rPr>
                <w:rFonts w:hint="default" w:ascii="Times New Roman" w:hAnsi="Times New Roman" w:cs="Times New Roman"/>
                <w:color w:val="auto"/>
                <w:spacing w:val="-3"/>
              </w:rPr>
              <w:t>浇注</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颗粒物、VOCs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苯乙烯、臭气浓度、甲醛及酚类，</w:t>
            </w:r>
            <w:r>
              <w:rPr>
                <w:rFonts w:hint="default" w:ascii="Times New Roman" w:hAnsi="Times New Roman" w:cs="Times New Roman"/>
                <w:color w:val="auto"/>
                <w:spacing w:val="-3"/>
              </w:rPr>
              <w:t>电炉熔化</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混砂、</w:t>
            </w:r>
            <w:r>
              <w:rPr>
                <w:rFonts w:hint="default" w:ascii="Times New Roman" w:hAnsi="Times New Roman" w:cs="Times New Roman"/>
                <w:color w:val="auto"/>
                <w:spacing w:val="-3"/>
              </w:rPr>
              <w:t>清模、翻箱落砂</w:t>
            </w:r>
            <w:r>
              <w:rPr>
                <w:rFonts w:hint="eastAsia" w:ascii="Times New Roman" w:hAnsi="Times New Roman" w:cs="Times New Roman"/>
                <w:color w:val="auto"/>
                <w:spacing w:val="-3"/>
                <w:lang w:val="en-US" w:eastAsia="zh-CN"/>
              </w:rPr>
              <w:t>、</w:t>
            </w:r>
            <w:r>
              <w:rPr>
                <w:rFonts w:hint="default" w:ascii="Times New Roman" w:hAnsi="Times New Roman" w:cs="Times New Roman"/>
                <w:color w:val="auto"/>
                <w:spacing w:val="-3"/>
              </w:rPr>
              <w:t>去冒口</w:t>
            </w:r>
            <w:r>
              <w:rPr>
                <w:rFonts w:hint="eastAsia" w:ascii="Times New Roman" w:hAnsi="Times New Roman" w:cs="Times New Roman"/>
                <w:color w:val="auto"/>
                <w:spacing w:val="-3"/>
                <w:lang w:val="en-US" w:eastAsia="zh-CN"/>
              </w:rPr>
              <w:t>、</w:t>
            </w:r>
            <w:r>
              <w:rPr>
                <w:rFonts w:hint="default" w:ascii="Times New Roman" w:hAnsi="Times New Roman" w:cs="Times New Roman"/>
                <w:color w:val="auto"/>
                <w:spacing w:val="-3"/>
              </w:rPr>
              <w:t>抛丸</w:t>
            </w:r>
            <w:r>
              <w:rPr>
                <w:rFonts w:hint="eastAsia" w:ascii="Times New Roman" w:hAnsi="Times New Roman" w:cs="Times New Roman"/>
                <w:color w:val="auto"/>
                <w:spacing w:val="-3"/>
                <w:lang w:eastAsia="zh-CN"/>
              </w:rPr>
              <w:t>、</w:t>
            </w:r>
            <w:r>
              <w:rPr>
                <w:rFonts w:hint="default" w:ascii="Times New Roman" w:hAnsi="Times New Roman" w:cs="Times New Roman"/>
                <w:color w:val="auto"/>
                <w:spacing w:val="-3"/>
              </w:rPr>
              <w:t>装箱</w:t>
            </w:r>
            <w:r>
              <w:rPr>
                <w:rFonts w:hint="eastAsia" w:ascii="Times New Roman" w:hAnsi="Times New Roman" w:cs="Times New Roman"/>
                <w:color w:val="auto"/>
                <w:spacing w:val="-3"/>
                <w:lang w:val="en-US" w:eastAsia="zh-CN"/>
              </w:rPr>
              <w:t>工序过程产生的</w:t>
            </w:r>
            <w:r>
              <w:rPr>
                <w:rFonts w:hint="default" w:ascii="Times New Roman" w:hAnsi="Times New Roman" w:cs="Times New Roman"/>
                <w:color w:val="auto"/>
                <w:spacing w:val="-3"/>
              </w:rPr>
              <w:t>颗粒物</w:t>
            </w:r>
            <w:r>
              <w:rPr>
                <w:rFonts w:hint="eastAsia" w:ascii="Times New Roman" w:hAnsi="Times New Roman" w:cs="Times New Roman"/>
                <w:color w:val="auto"/>
                <w:spacing w:val="-3"/>
                <w:lang w:eastAsia="zh-CN"/>
              </w:rPr>
              <w:t>，</w:t>
            </w:r>
            <w:r>
              <w:rPr>
                <w:rFonts w:hint="default" w:ascii="Times New Roman" w:hAnsi="Times New Roman" w:cs="Times New Roman"/>
                <w:color w:val="auto"/>
                <w:spacing w:val="-3"/>
              </w:rPr>
              <w:t>模型切割</w:t>
            </w:r>
            <w:r>
              <w:rPr>
                <w:rFonts w:hint="eastAsia" w:ascii="Times New Roman" w:hAnsi="Times New Roman" w:cs="Times New Roman"/>
                <w:color w:val="auto"/>
                <w:spacing w:val="-3"/>
                <w:lang w:eastAsia="zh-CN"/>
              </w:rPr>
              <w:t>、</w:t>
            </w:r>
            <w:r>
              <w:rPr>
                <w:rFonts w:hint="default" w:ascii="Times New Roman" w:hAnsi="Times New Roman" w:cs="Times New Roman"/>
                <w:color w:val="auto"/>
                <w:spacing w:val="-3"/>
              </w:rPr>
              <w:t>烘干</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苯乙烯、臭气浓度</w:t>
            </w:r>
            <w:r>
              <w:rPr>
                <w:rFonts w:hint="eastAsia" w:ascii="Times New Roman" w:hAnsi="Times New Roman" w:cs="Times New Roman"/>
                <w:color w:val="auto"/>
                <w:spacing w:val="-3"/>
                <w:lang w:eastAsia="zh-CN"/>
              </w:rPr>
              <w:t>。</w:t>
            </w:r>
          </w:p>
          <w:p w14:paraId="395C6791">
            <w:pPr>
              <w:pStyle w:val="22"/>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textAlignment w:val="baseline"/>
              <w:rPr>
                <w:rFonts w:hint="default" w:ascii="Times New Roman" w:hAnsi="Times New Roman" w:eastAsia="宋体" w:cs="Times New Roman"/>
                <w:color w:val="auto"/>
                <w:spacing w:val="-3"/>
                <w:lang w:val="en-US" w:eastAsia="zh-CN"/>
              </w:rPr>
            </w:pPr>
            <w:r>
              <w:rPr>
                <w:rFonts w:hint="eastAsia" w:ascii="Times New Roman" w:hAnsi="Times New Roman" w:cs="Times New Roman"/>
                <w:color w:val="auto"/>
                <w:spacing w:val="-3"/>
                <w:lang w:val="en-US" w:eastAsia="zh-CN"/>
              </w:rPr>
              <w:t>电炉熔化及浇注过程产生的</w:t>
            </w:r>
            <w:r>
              <w:rPr>
                <w:rFonts w:hint="default" w:ascii="Times New Roman" w:hAnsi="Times New Roman" w:cs="Times New Roman"/>
                <w:color w:val="auto"/>
                <w:spacing w:val="-3"/>
              </w:rPr>
              <w:t>颗粒物、VOCs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苯乙烯、臭气浓度、甲醛、酚类经集气罩收集后，经“布袋除尘器+二级活性炭装置”处理后，通过15m排气筒DA001、DA002</w:t>
            </w:r>
            <w:r>
              <w:rPr>
                <w:rFonts w:hint="default" w:ascii="Times New Roman" w:hAnsi="Times New Roman" w:eastAsia="宋体" w:cs="Times New Roman"/>
                <w:color w:val="auto"/>
                <w:sz w:val="24"/>
                <w:szCs w:val="24"/>
                <w:highlight w:val="none"/>
              </w:rPr>
              <w:t>有组织</w:t>
            </w:r>
            <w:r>
              <w:rPr>
                <w:rFonts w:hint="eastAsia" w:ascii="Times New Roman" w:hAnsi="Times New Roman" w:cs="Times New Roman"/>
                <w:color w:val="auto"/>
                <w:spacing w:val="-3"/>
                <w:lang w:val="en-US" w:eastAsia="zh-CN"/>
              </w:rPr>
              <w:t>排放。</w:t>
            </w:r>
          </w:p>
          <w:p w14:paraId="4B8CD1E7">
            <w:pPr>
              <w:pStyle w:val="22"/>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textAlignment w:val="baseline"/>
              <w:rPr>
                <w:rFonts w:hint="default" w:ascii="Times New Roman" w:hAnsi="Times New Roman" w:eastAsia="宋体" w:cs="Times New Roman"/>
                <w:color w:val="auto"/>
                <w:spacing w:val="-3"/>
                <w:lang w:val="en-US" w:eastAsia="zh-CN"/>
              </w:rPr>
            </w:pPr>
            <w:r>
              <w:rPr>
                <w:rFonts w:hint="eastAsia" w:ascii="Times New Roman" w:hAnsi="Times New Roman" w:cs="Times New Roman"/>
                <w:color w:val="auto"/>
                <w:spacing w:val="-3"/>
                <w:lang w:val="en-US" w:eastAsia="zh-CN"/>
              </w:rPr>
              <w:t>混砂、</w:t>
            </w:r>
            <w:r>
              <w:rPr>
                <w:rFonts w:hint="default" w:ascii="Times New Roman" w:hAnsi="Times New Roman" w:cs="Times New Roman"/>
                <w:color w:val="auto"/>
                <w:spacing w:val="-3"/>
              </w:rPr>
              <w:t>清模、翻箱落砂</w:t>
            </w:r>
            <w:r>
              <w:rPr>
                <w:rFonts w:hint="eastAsia" w:ascii="Times New Roman" w:hAnsi="Times New Roman" w:cs="Times New Roman"/>
                <w:color w:val="auto"/>
                <w:spacing w:val="-3"/>
                <w:lang w:val="en-US" w:eastAsia="zh-CN"/>
              </w:rPr>
              <w:t>工序产生的颗粒物经集气罩收集后，由“布袋除尘器+二级活性炭装置”处理后，通过15m排气筒DA002</w:t>
            </w:r>
            <w:r>
              <w:rPr>
                <w:rFonts w:hint="default" w:ascii="Times New Roman" w:hAnsi="Times New Roman" w:eastAsia="宋体" w:cs="Times New Roman"/>
                <w:color w:val="auto"/>
                <w:sz w:val="24"/>
                <w:szCs w:val="24"/>
                <w:highlight w:val="none"/>
              </w:rPr>
              <w:t>有组织</w:t>
            </w:r>
            <w:r>
              <w:rPr>
                <w:rFonts w:hint="eastAsia" w:ascii="Times New Roman" w:hAnsi="Times New Roman" w:cs="Times New Roman"/>
                <w:color w:val="auto"/>
                <w:spacing w:val="-3"/>
                <w:lang w:val="en-US" w:eastAsia="zh-CN"/>
              </w:rPr>
              <w:t>排放。</w:t>
            </w:r>
          </w:p>
          <w:p w14:paraId="1FC1BA7A">
            <w:pPr>
              <w:pStyle w:val="22"/>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textAlignment w:val="baseline"/>
              <w:rPr>
                <w:rFonts w:hint="default" w:ascii="Times New Roman" w:hAnsi="Times New Roman" w:eastAsia="宋体" w:cs="Times New Roman"/>
                <w:color w:val="auto"/>
                <w:spacing w:val="-3"/>
                <w:lang w:val="en-US" w:eastAsia="zh-CN"/>
              </w:rPr>
            </w:pPr>
            <w:r>
              <w:rPr>
                <w:rFonts w:hint="default" w:ascii="Times New Roman" w:hAnsi="Times New Roman" w:cs="Times New Roman"/>
                <w:color w:val="auto"/>
                <w:spacing w:val="-3"/>
              </w:rPr>
              <w:t>制芯、制壳</w:t>
            </w:r>
            <w:r>
              <w:rPr>
                <w:rFonts w:hint="eastAsia" w:ascii="Times New Roman" w:hAnsi="Times New Roman" w:cs="Times New Roman"/>
                <w:color w:val="auto"/>
                <w:spacing w:val="-3"/>
                <w:lang w:val="en-US" w:eastAsia="zh-CN"/>
              </w:rPr>
              <w:t>产生的</w:t>
            </w:r>
            <w:r>
              <w:rPr>
                <w:rFonts w:hint="default" w:ascii="Times New Roman" w:hAnsi="Times New Roman" w:cs="Times New Roman"/>
                <w:color w:val="auto"/>
                <w:spacing w:val="-3"/>
              </w:rPr>
              <w:t>颗粒物、VOCs</w:t>
            </w:r>
            <w:r>
              <w:rPr>
                <w:rFonts w:hint="eastAsia" w:ascii="Times New Roman" w:hAnsi="Times New Roman" w:cs="Times New Roman"/>
                <w:color w:val="auto"/>
                <w:spacing w:val="-3"/>
                <w:lang w:val="en-US" w:eastAsia="zh-CN"/>
              </w:rPr>
              <w:t>、甲醛及酚类</w:t>
            </w:r>
            <w:r>
              <w:rPr>
                <w:rFonts w:hint="eastAsia" w:ascii="Times New Roman" w:hAnsi="Times New Roman" w:cs="Times New Roman"/>
                <w:color w:val="auto"/>
                <w:spacing w:val="-3"/>
                <w:lang w:eastAsia="zh-CN"/>
              </w:rPr>
              <w:t>，</w:t>
            </w:r>
            <w:r>
              <w:rPr>
                <w:rFonts w:hint="default" w:ascii="Times New Roman" w:hAnsi="Times New Roman" w:cs="Times New Roman"/>
                <w:color w:val="auto"/>
                <w:spacing w:val="-3"/>
              </w:rPr>
              <w:t>去冒口</w:t>
            </w:r>
            <w:r>
              <w:rPr>
                <w:rFonts w:hint="eastAsia" w:ascii="Times New Roman" w:hAnsi="Times New Roman" w:cs="Times New Roman"/>
                <w:color w:val="auto"/>
                <w:spacing w:val="-3"/>
                <w:lang w:val="en-US" w:eastAsia="zh-CN"/>
              </w:rPr>
              <w:t>、</w:t>
            </w:r>
            <w:r>
              <w:rPr>
                <w:rFonts w:hint="default" w:ascii="Times New Roman" w:hAnsi="Times New Roman" w:cs="Times New Roman"/>
                <w:color w:val="auto"/>
                <w:spacing w:val="-3"/>
              </w:rPr>
              <w:t>装箱</w:t>
            </w:r>
            <w:r>
              <w:rPr>
                <w:rFonts w:hint="eastAsia" w:ascii="Times New Roman" w:hAnsi="Times New Roman" w:cs="Times New Roman"/>
                <w:color w:val="auto"/>
                <w:spacing w:val="-3"/>
                <w:lang w:val="en-US" w:eastAsia="zh-CN"/>
              </w:rPr>
              <w:t>工序过程产生的</w:t>
            </w:r>
            <w:r>
              <w:rPr>
                <w:rFonts w:hint="default" w:ascii="Times New Roman" w:hAnsi="Times New Roman" w:cs="Times New Roman"/>
                <w:color w:val="auto"/>
                <w:spacing w:val="-3"/>
              </w:rPr>
              <w:t>颗粒物</w:t>
            </w:r>
            <w:r>
              <w:rPr>
                <w:rFonts w:hint="eastAsia" w:ascii="Times New Roman" w:hAnsi="Times New Roman" w:cs="Times New Roman"/>
                <w:color w:val="auto"/>
                <w:spacing w:val="-3"/>
                <w:lang w:val="en-US" w:eastAsia="zh-CN"/>
              </w:rPr>
              <w:t>及</w:t>
            </w:r>
            <w:r>
              <w:rPr>
                <w:rFonts w:hint="default" w:ascii="Times New Roman" w:hAnsi="Times New Roman" w:cs="Times New Roman"/>
                <w:color w:val="auto"/>
                <w:spacing w:val="-3"/>
              </w:rPr>
              <w:t>模型切割</w:t>
            </w:r>
            <w:r>
              <w:rPr>
                <w:rFonts w:hint="eastAsia" w:ascii="Times New Roman" w:hAnsi="Times New Roman" w:cs="Times New Roman"/>
                <w:color w:val="auto"/>
                <w:spacing w:val="-3"/>
                <w:lang w:eastAsia="zh-CN"/>
              </w:rPr>
              <w:t>、</w:t>
            </w:r>
            <w:r>
              <w:rPr>
                <w:rFonts w:hint="default" w:ascii="Times New Roman" w:hAnsi="Times New Roman" w:cs="Times New Roman"/>
                <w:color w:val="auto"/>
                <w:spacing w:val="-3"/>
              </w:rPr>
              <w:t>烘干</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苯乙烯、臭气浓度经集气罩收集后，由“布袋除尘器+二级活性炭装置”处理后，通过15m排气筒DA003</w:t>
            </w:r>
            <w:r>
              <w:rPr>
                <w:rFonts w:hint="default" w:ascii="Times New Roman" w:hAnsi="Times New Roman" w:eastAsia="宋体" w:cs="Times New Roman"/>
                <w:color w:val="auto"/>
                <w:sz w:val="24"/>
                <w:szCs w:val="24"/>
                <w:highlight w:val="none"/>
              </w:rPr>
              <w:t>有组织</w:t>
            </w:r>
            <w:r>
              <w:rPr>
                <w:rFonts w:hint="eastAsia" w:ascii="Times New Roman" w:hAnsi="Times New Roman" w:cs="Times New Roman"/>
                <w:color w:val="auto"/>
                <w:spacing w:val="-3"/>
                <w:lang w:val="en-US" w:eastAsia="zh-CN"/>
              </w:rPr>
              <w:t>排放。</w:t>
            </w:r>
          </w:p>
          <w:p w14:paraId="1EE7FB09">
            <w:pPr>
              <w:keepNext w:val="0"/>
              <w:keepLines w:val="0"/>
              <w:pageBreakBefore w:val="0"/>
              <w:widowControl/>
              <w:kinsoku/>
              <w:wordWrap/>
              <w:overflowPunct/>
              <w:topLinePunct w:val="0"/>
              <w:autoSpaceDE w:val="0"/>
              <w:autoSpaceDN w:val="0"/>
              <w:bidi w:val="0"/>
              <w:adjustRightInd w:val="0"/>
              <w:snapToGrid w:val="0"/>
              <w:ind w:firstLine="468" w:firstLineChars="200"/>
              <w:textAlignment w:val="baseline"/>
              <w:rPr>
                <w:rFonts w:hint="eastAsia" w:ascii="Times New Roman" w:hAnsi="Times New Roman" w:cs="Times New Roman"/>
                <w:color w:val="auto"/>
                <w:spacing w:val="-3"/>
                <w:lang w:val="en-US" w:eastAsia="zh-CN"/>
              </w:rPr>
            </w:pPr>
            <w:r>
              <w:rPr>
                <w:rFonts w:hint="default" w:ascii="Times New Roman" w:hAnsi="Times New Roman" w:cs="Times New Roman"/>
                <w:color w:val="auto"/>
                <w:spacing w:val="-3"/>
              </w:rPr>
              <w:t>抛丸</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颗粒物</w:t>
            </w:r>
            <w:r>
              <w:rPr>
                <w:rFonts w:hint="eastAsia" w:ascii="Times New Roman" w:hAnsi="Times New Roman" w:cs="Times New Roman"/>
                <w:color w:val="auto"/>
                <w:spacing w:val="-3"/>
                <w:lang w:val="en-US" w:eastAsia="zh-CN"/>
              </w:rPr>
              <w:t>经集气罩收集后，由“布袋除尘器+二级活性炭装置”处理后，通过15m排气筒DA001、DA003</w:t>
            </w:r>
            <w:r>
              <w:rPr>
                <w:rFonts w:hint="default" w:ascii="Times New Roman" w:hAnsi="Times New Roman" w:eastAsia="宋体" w:cs="Times New Roman"/>
                <w:color w:val="auto"/>
                <w:sz w:val="24"/>
                <w:szCs w:val="24"/>
                <w:highlight w:val="none"/>
              </w:rPr>
              <w:t>有组织</w:t>
            </w:r>
            <w:r>
              <w:rPr>
                <w:rFonts w:hint="eastAsia" w:ascii="Times New Roman" w:hAnsi="Times New Roman" w:cs="Times New Roman"/>
                <w:color w:val="auto"/>
                <w:spacing w:val="-3"/>
                <w:lang w:val="en-US" w:eastAsia="zh-CN"/>
              </w:rPr>
              <w:t>排放。</w:t>
            </w:r>
          </w:p>
          <w:p w14:paraId="618E768D">
            <w:pPr>
              <w:keepNext w:val="0"/>
              <w:keepLines w:val="0"/>
              <w:pageBreakBefore w:val="0"/>
              <w:widowControl/>
              <w:kinsoku/>
              <w:wordWrap/>
              <w:overflowPunct/>
              <w:topLinePunct w:val="0"/>
              <w:autoSpaceDE w:val="0"/>
              <w:autoSpaceDN w:val="0"/>
              <w:bidi w:val="0"/>
              <w:adjustRightInd w:val="0"/>
              <w:snapToGrid w:val="0"/>
              <w:ind w:firstLine="468" w:firstLineChars="200"/>
              <w:textAlignment w:val="baseline"/>
              <w:rPr>
                <w:rFonts w:hint="eastAsia" w:ascii="Times New Roman" w:hAnsi="Times New Roman" w:cs="Times New Roman"/>
                <w:color w:val="auto"/>
                <w:spacing w:val="-3"/>
                <w:lang w:val="en-US" w:eastAsia="zh-CN"/>
              </w:rPr>
            </w:pPr>
            <w:r>
              <w:rPr>
                <w:rFonts w:hint="eastAsia" w:ascii="Times New Roman" w:hAnsi="Times New Roman" w:cs="Times New Roman"/>
                <w:color w:val="auto"/>
                <w:spacing w:val="-3"/>
                <w:lang w:val="en-US" w:eastAsia="zh-CN"/>
              </w:rPr>
              <w:t>焊接工序产生的</w:t>
            </w:r>
            <w:r>
              <w:rPr>
                <w:rFonts w:hint="default" w:ascii="Times New Roman" w:hAnsi="Times New Roman" w:cs="Times New Roman"/>
                <w:color w:val="auto"/>
                <w:spacing w:val="-3"/>
              </w:rPr>
              <w:t>颗粒物</w:t>
            </w:r>
            <w:r>
              <w:rPr>
                <w:rFonts w:hint="eastAsia" w:ascii="Times New Roman" w:hAnsi="Times New Roman" w:cs="Times New Roman"/>
                <w:color w:val="auto"/>
                <w:spacing w:val="-3"/>
                <w:lang w:val="en-US" w:eastAsia="zh-CN"/>
              </w:rPr>
              <w:t>经焊接烟尘净化器处理后无组织排放。</w:t>
            </w:r>
          </w:p>
          <w:p w14:paraId="47466807">
            <w:pPr>
              <w:pStyle w:val="14"/>
              <w:keepNext w:val="0"/>
              <w:keepLines w:val="0"/>
              <w:pageBreakBefore w:val="0"/>
              <w:widowControl/>
              <w:kinsoku w:val="0"/>
              <w:wordWrap/>
              <w:overflowPunct/>
              <w:topLinePunct w:val="0"/>
              <w:autoSpaceDE w:val="0"/>
              <w:autoSpaceDN w:val="0"/>
              <w:bidi w:val="0"/>
              <w:adjustRightInd w:val="0"/>
              <w:snapToGrid w:val="0"/>
              <w:spacing w:after="60" w:line="240" w:lineRule="auto"/>
              <w:ind w:left="0" w:leftChars="0" w:firstLine="0"/>
              <w:jc w:val="center"/>
              <w:textAlignment w:val="baseline"/>
              <w:rPr>
                <w:rFonts w:hint="eastAsia" w:ascii="Times New Roman" w:hAnsi="Times New Roman" w:cs="Times New Roman"/>
                <w:color w:val="auto"/>
                <w:lang w:val="en-US" w:eastAsia="zh-CN"/>
              </w:rPr>
            </w:pPr>
            <w:r>
              <w:rPr>
                <w:b/>
                <w:bCs/>
                <w:color w:val="auto"/>
                <w:spacing w:val="-2"/>
              </w:rPr>
              <w:t>表</w:t>
            </w:r>
            <w:r>
              <w:rPr>
                <w:rFonts w:ascii="Times New Roman" w:hAnsi="Times New Roman" w:eastAsia="Times New Roman" w:cs="Times New Roman"/>
                <w:b/>
                <w:bCs/>
                <w:color w:val="auto"/>
                <w:spacing w:val="-2"/>
              </w:rPr>
              <w:t>4-</w:t>
            </w:r>
            <w:r>
              <w:rPr>
                <w:rFonts w:hint="eastAsia" w:ascii="Times New Roman" w:hAnsi="Times New Roman" w:eastAsia="宋体" w:cs="Times New Roman"/>
                <w:b/>
                <w:bCs/>
                <w:color w:val="auto"/>
                <w:spacing w:val="-2"/>
                <w:lang w:val="en-US" w:eastAsia="zh-CN"/>
              </w:rPr>
              <w:t>3</w:t>
            </w:r>
            <w:r>
              <w:rPr>
                <w:rFonts w:ascii="Times New Roman" w:hAnsi="Times New Roman" w:eastAsia="Times New Roman" w:cs="Times New Roman"/>
                <w:b/>
                <w:bCs/>
                <w:color w:val="auto"/>
                <w:spacing w:val="-2"/>
              </w:rPr>
              <w:t xml:space="preserve"> </w:t>
            </w:r>
            <w:r>
              <w:rPr>
                <w:b/>
                <w:bCs/>
                <w:color w:val="auto"/>
                <w:spacing w:val="-2"/>
              </w:rPr>
              <w:t>全厂废气产生源强及产污情况一览表</w:t>
            </w:r>
          </w:p>
          <w:tbl>
            <w:tblPr>
              <w:tblStyle w:val="21"/>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1219"/>
              <w:gridCol w:w="1222"/>
              <w:gridCol w:w="2200"/>
              <w:gridCol w:w="2987"/>
              <w:gridCol w:w="1443"/>
            </w:tblGrid>
            <w:tr w14:paraId="41D0A72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tcBorders>
                    <w:tl2br w:val="nil"/>
                    <w:tr2bl w:val="nil"/>
                  </w:tcBorders>
                  <w:vAlign w:val="center"/>
                </w:tcPr>
                <w:p w14:paraId="658B0AF1">
                  <w:pPr>
                    <w:spacing w:line="240" w:lineRule="auto"/>
                    <w:jc w:val="center"/>
                    <w:rPr>
                      <w:rFonts w:hint="eastAsia" w:eastAsia="宋体"/>
                      <w:color w:val="auto"/>
                      <w:sz w:val="21"/>
                      <w:szCs w:val="21"/>
                      <w:lang w:eastAsia="zh-CN"/>
                    </w:rPr>
                  </w:pPr>
                  <w:r>
                    <w:rPr>
                      <w:rFonts w:hint="eastAsia"/>
                      <w:color w:val="auto"/>
                      <w:spacing w:val="4"/>
                      <w:sz w:val="21"/>
                      <w:szCs w:val="21"/>
                      <w:lang w:val="en-US" w:eastAsia="zh-CN"/>
                    </w:rPr>
                    <w:t>铸造工艺</w:t>
                  </w:r>
                </w:p>
              </w:tc>
              <w:tc>
                <w:tcPr>
                  <w:tcW w:w="1222" w:type="dxa"/>
                  <w:tcBorders>
                    <w:tl2br w:val="nil"/>
                    <w:tr2bl w:val="nil"/>
                  </w:tcBorders>
                  <w:vAlign w:val="center"/>
                </w:tcPr>
                <w:p w14:paraId="6B9104A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color w:val="auto"/>
                      <w:spacing w:val="4"/>
                      <w:sz w:val="21"/>
                      <w:szCs w:val="21"/>
                    </w:rPr>
                    <w:t>年产量</w:t>
                  </w:r>
                  <w:r>
                    <w:rPr>
                      <w:rFonts w:ascii="Times New Roman" w:hAnsi="Times New Roman" w:eastAsia="Times New Roman" w:cs="Times New Roman"/>
                      <w:color w:val="auto"/>
                      <w:spacing w:val="4"/>
                      <w:sz w:val="21"/>
                      <w:szCs w:val="21"/>
                    </w:rPr>
                    <w:t>t/a</w:t>
                  </w:r>
                </w:p>
              </w:tc>
              <w:tc>
                <w:tcPr>
                  <w:tcW w:w="2200" w:type="dxa"/>
                  <w:tcBorders>
                    <w:tl2br w:val="nil"/>
                    <w:tr2bl w:val="nil"/>
                  </w:tcBorders>
                  <w:vAlign w:val="center"/>
                </w:tcPr>
                <w:p w14:paraId="2E26348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生产工序</w:t>
                  </w:r>
                </w:p>
              </w:tc>
              <w:tc>
                <w:tcPr>
                  <w:tcW w:w="2987" w:type="dxa"/>
                  <w:tcBorders>
                    <w:tl2br w:val="nil"/>
                    <w:tr2bl w:val="nil"/>
                  </w:tcBorders>
                  <w:vAlign w:val="center"/>
                </w:tcPr>
                <w:p w14:paraId="0CAE335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7"/>
                      <w:sz w:val="21"/>
                      <w:szCs w:val="21"/>
                    </w:rPr>
                    <w:t>产污源强</w:t>
                  </w:r>
                </w:p>
              </w:tc>
              <w:tc>
                <w:tcPr>
                  <w:tcW w:w="1443" w:type="dxa"/>
                  <w:tcBorders>
                    <w:tl2br w:val="nil"/>
                    <w:tr2bl w:val="nil"/>
                  </w:tcBorders>
                  <w:vAlign w:val="center"/>
                </w:tcPr>
                <w:p w14:paraId="68A1589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1"/>
                      <w:szCs w:val="21"/>
                    </w:rPr>
                  </w:pPr>
                  <w:r>
                    <w:rPr>
                      <w:color w:val="auto"/>
                      <w:spacing w:val="-2"/>
                      <w:sz w:val="21"/>
                      <w:szCs w:val="21"/>
                    </w:rPr>
                    <w:t>产生量</w:t>
                  </w:r>
                  <w:r>
                    <w:rPr>
                      <w:rFonts w:ascii="Times New Roman" w:hAnsi="Times New Roman" w:eastAsia="Times New Roman" w:cs="Times New Roman"/>
                      <w:color w:val="auto"/>
                      <w:spacing w:val="-2"/>
                      <w:sz w:val="21"/>
                      <w:szCs w:val="21"/>
                    </w:rPr>
                    <w:t>t/a</w:t>
                  </w:r>
                </w:p>
              </w:tc>
            </w:tr>
            <w:tr w14:paraId="79E2AB5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restart"/>
                  <w:tcBorders>
                    <w:tl2br w:val="nil"/>
                    <w:tr2bl w:val="nil"/>
                  </w:tcBorders>
                  <w:vAlign w:val="center"/>
                </w:tcPr>
                <w:p w14:paraId="67A225E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rFonts w:hint="eastAsia"/>
                      <w:color w:val="auto"/>
                      <w:spacing w:val="6"/>
                      <w:sz w:val="21"/>
                      <w:szCs w:val="21"/>
                      <w:lang w:val="en-US" w:eastAsia="zh-CN"/>
                    </w:rPr>
                    <w:t>粘土砂</w:t>
                  </w:r>
                  <w:r>
                    <w:rPr>
                      <w:color w:val="auto"/>
                      <w:spacing w:val="3"/>
                      <w:sz w:val="21"/>
                      <w:szCs w:val="21"/>
                    </w:rPr>
                    <w:t>工艺</w:t>
                  </w:r>
                </w:p>
              </w:tc>
              <w:tc>
                <w:tcPr>
                  <w:tcW w:w="1222" w:type="dxa"/>
                  <w:vMerge w:val="restart"/>
                  <w:tcBorders>
                    <w:tl2br w:val="nil"/>
                    <w:tr2bl w:val="nil"/>
                  </w:tcBorders>
                  <w:shd w:val="clear" w:color="auto" w:fill="auto"/>
                  <w:vAlign w:val="center"/>
                </w:tcPr>
                <w:p w14:paraId="223BD2A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800</w:t>
                  </w:r>
                </w:p>
              </w:tc>
              <w:tc>
                <w:tcPr>
                  <w:tcW w:w="2200" w:type="dxa"/>
                  <w:tcBorders>
                    <w:tl2br w:val="nil"/>
                    <w:tr2bl w:val="nil"/>
                  </w:tcBorders>
                  <w:shd w:val="clear" w:color="auto" w:fill="auto"/>
                  <w:vAlign w:val="center"/>
                </w:tcPr>
                <w:p w14:paraId="3CAC51E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7"/>
                      <w:sz w:val="21"/>
                      <w:szCs w:val="21"/>
                    </w:rPr>
                    <w:t>砂处理</w:t>
                  </w:r>
                  <w:r>
                    <w:rPr>
                      <w:rFonts w:hint="eastAsia"/>
                      <w:color w:val="auto"/>
                      <w:spacing w:val="7"/>
                      <w:sz w:val="21"/>
                      <w:szCs w:val="21"/>
                    </w:rPr>
                    <w:t>（混砂）</w:t>
                  </w:r>
                </w:p>
              </w:tc>
              <w:tc>
                <w:tcPr>
                  <w:tcW w:w="2987" w:type="dxa"/>
                  <w:tcBorders>
                    <w:tl2br w:val="nil"/>
                    <w:tr2bl w:val="nil"/>
                  </w:tcBorders>
                  <w:shd w:val="clear" w:color="auto" w:fill="auto"/>
                  <w:vAlign w:val="center"/>
                </w:tcPr>
                <w:p w14:paraId="319032E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auto"/>
                      <w:kern w:val="0"/>
                      <w:sz w:val="21"/>
                      <w:szCs w:val="21"/>
                      <w:lang w:val="en-US" w:eastAsia="zh-CN" w:bidi="ar-SA"/>
                    </w:rPr>
                  </w:pPr>
                  <w:r>
                    <w:rPr>
                      <w:color w:val="auto"/>
                      <w:spacing w:val="5"/>
                      <w:sz w:val="21"/>
                      <w:szCs w:val="21"/>
                    </w:rPr>
                    <w:t>颗粒</w:t>
                  </w:r>
                  <w:r>
                    <w:rPr>
                      <w:rFonts w:ascii="宋体" w:hAnsi="宋体" w:eastAsia="宋体" w:cs="宋体"/>
                      <w:color w:val="auto"/>
                      <w:spacing w:val="5"/>
                      <w:sz w:val="21"/>
                      <w:szCs w:val="21"/>
                    </w:rPr>
                    <w:t>物</w:t>
                  </w:r>
                  <w:r>
                    <w:rPr>
                      <w:rFonts w:hint="default" w:ascii="Times New Roman" w:hAnsi="Times New Roman" w:eastAsia="宋体" w:cs="Times New Roman"/>
                      <w:color w:val="auto"/>
                      <w:spacing w:val="5"/>
                      <w:sz w:val="21"/>
                      <w:szCs w:val="21"/>
                      <w:lang w:val="en-US" w:eastAsia="zh-CN"/>
                    </w:rPr>
                    <w:t>17.2</w:t>
                  </w:r>
                  <w:r>
                    <w:rPr>
                      <w:rFonts w:hint="default" w:ascii="Times New Roman" w:hAnsi="Times New Roman" w:eastAsia="宋体" w:cs="Times New Roman"/>
                      <w:color w:val="auto"/>
                      <w:spacing w:val="5"/>
                      <w:sz w:val="21"/>
                      <w:szCs w:val="21"/>
                    </w:rPr>
                    <w:t>kg/t</w:t>
                  </w:r>
                  <w:r>
                    <w:rPr>
                      <w:rFonts w:ascii="宋体" w:hAnsi="宋体" w:eastAsia="宋体" w:cs="宋体"/>
                      <w:color w:val="auto"/>
                      <w:spacing w:val="5"/>
                      <w:sz w:val="21"/>
                      <w:szCs w:val="21"/>
                    </w:rPr>
                    <w:t>产</w:t>
                  </w:r>
                  <w:r>
                    <w:rPr>
                      <w:color w:val="auto"/>
                      <w:spacing w:val="5"/>
                      <w:sz w:val="21"/>
                      <w:szCs w:val="21"/>
                    </w:rPr>
                    <w:t>品</w:t>
                  </w:r>
                </w:p>
              </w:tc>
              <w:tc>
                <w:tcPr>
                  <w:tcW w:w="1443" w:type="dxa"/>
                  <w:tcBorders>
                    <w:tl2br w:val="nil"/>
                    <w:tr2bl w:val="nil"/>
                  </w:tcBorders>
                  <w:vAlign w:val="center"/>
                </w:tcPr>
                <w:p w14:paraId="17E05ED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13.76</w:t>
                  </w:r>
                </w:p>
              </w:tc>
            </w:tr>
            <w:tr w14:paraId="142A747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17B285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5AD759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tcBorders>
                    <w:tl2br w:val="nil"/>
                    <w:tr2bl w:val="nil"/>
                  </w:tcBorders>
                  <w:shd w:val="clear" w:color="auto" w:fill="auto"/>
                  <w:vAlign w:val="center"/>
                </w:tcPr>
                <w:p w14:paraId="747CE7E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1"/>
                      <w:sz w:val="21"/>
                      <w:szCs w:val="21"/>
                    </w:rPr>
                    <w:t>电炉熔炼</w:t>
                  </w:r>
                </w:p>
              </w:tc>
              <w:tc>
                <w:tcPr>
                  <w:tcW w:w="2987" w:type="dxa"/>
                  <w:tcBorders>
                    <w:tl2br w:val="nil"/>
                    <w:tr2bl w:val="nil"/>
                  </w:tcBorders>
                  <w:shd w:val="clear" w:color="auto" w:fill="auto"/>
                  <w:vAlign w:val="center"/>
                </w:tcPr>
                <w:p w14:paraId="6246DC1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5"/>
                      <w:sz w:val="21"/>
                      <w:szCs w:val="21"/>
                    </w:rPr>
                    <w:t>颗粒物</w:t>
                  </w:r>
                  <w:r>
                    <w:rPr>
                      <w:rFonts w:ascii="Times New Roman" w:hAnsi="Times New Roman" w:eastAsia="Times New Roman" w:cs="Times New Roman"/>
                      <w:color w:val="auto"/>
                      <w:spacing w:val="5"/>
                      <w:sz w:val="21"/>
                      <w:szCs w:val="21"/>
                    </w:rPr>
                    <w:t>0.479</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5"/>
                      <w:sz w:val="21"/>
                      <w:szCs w:val="21"/>
                    </w:rPr>
                    <w:t>/t</w:t>
                  </w:r>
                  <w:r>
                    <w:rPr>
                      <w:color w:val="auto"/>
                      <w:spacing w:val="5"/>
                      <w:sz w:val="21"/>
                      <w:szCs w:val="21"/>
                    </w:rPr>
                    <w:t>产品</w:t>
                  </w:r>
                </w:p>
              </w:tc>
              <w:tc>
                <w:tcPr>
                  <w:tcW w:w="1443" w:type="dxa"/>
                  <w:tcBorders>
                    <w:tl2br w:val="nil"/>
                    <w:tr2bl w:val="nil"/>
                  </w:tcBorders>
                  <w:vAlign w:val="center"/>
                </w:tcPr>
                <w:p w14:paraId="2FC15F6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0.3832</w:t>
                  </w:r>
                </w:p>
              </w:tc>
            </w:tr>
            <w:tr w14:paraId="0776F0E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1E9D53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244C8C3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tcBorders>
                    <w:tl2br w:val="nil"/>
                    <w:tr2bl w:val="nil"/>
                  </w:tcBorders>
                  <w:shd w:val="clear" w:color="auto" w:fill="auto"/>
                  <w:vAlign w:val="center"/>
                </w:tcPr>
                <w:p w14:paraId="60A0BE6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4"/>
                      <w:sz w:val="21"/>
                      <w:szCs w:val="21"/>
                    </w:rPr>
                    <w:t>浇注</w:t>
                  </w:r>
                </w:p>
              </w:tc>
              <w:tc>
                <w:tcPr>
                  <w:tcW w:w="2987" w:type="dxa"/>
                  <w:tcBorders>
                    <w:tl2br w:val="nil"/>
                    <w:tr2bl w:val="nil"/>
                  </w:tcBorders>
                  <w:shd w:val="clear" w:color="auto" w:fill="auto"/>
                  <w:vAlign w:val="center"/>
                </w:tcPr>
                <w:p w14:paraId="3BF47CF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4"/>
                      <w:sz w:val="21"/>
                      <w:szCs w:val="21"/>
                    </w:rPr>
                    <w:t>颗粒物</w:t>
                  </w:r>
                  <w:r>
                    <w:rPr>
                      <w:rFonts w:hint="eastAsia" w:ascii="Times New Roman" w:hAnsi="Times New Roman" w:eastAsia="宋体" w:cs="Times New Roman"/>
                      <w:color w:val="auto"/>
                      <w:spacing w:val="4"/>
                      <w:sz w:val="21"/>
                      <w:szCs w:val="21"/>
                      <w:lang w:val="en-US" w:eastAsia="zh-CN"/>
                    </w:rPr>
                    <w:t>1.97</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4"/>
                      <w:sz w:val="21"/>
                      <w:szCs w:val="21"/>
                    </w:rPr>
                    <w:t>/t</w:t>
                  </w:r>
                  <w:r>
                    <w:rPr>
                      <w:color w:val="auto"/>
                      <w:spacing w:val="4"/>
                      <w:sz w:val="21"/>
                      <w:szCs w:val="21"/>
                    </w:rPr>
                    <w:t>产品</w:t>
                  </w:r>
                </w:p>
              </w:tc>
              <w:tc>
                <w:tcPr>
                  <w:tcW w:w="1443" w:type="dxa"/>
                  <w:tcBorders>
                    <w:tl2br w:val="nil"/>
                    <w:tr2bl w:val="nil"/>
                  </w:tcBorders>
                  <w:vAlign w:val="center"/>
                </w:tcPr>
                <w:p w14:paraId="2060A6A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1.576</w:t>
                  </w:r>
                </w:p>
              </w:tc>
            </w:tr>
            <w:tr w14:paraId="24F3512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restart"/>
                  <w:tcBorders>
                    <w:tl2br w:val="nil"/>
                    <w:tr2bl w:val="nil"/>
                  </w:tcBorders>
                  <w:vAlign w:val="center"/>
                </w:tcPr>
                <w:p w14:paraId="25A825B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6"/>
                      <w:sz w:val="21"/>
                      <w:szCs w:val="21"/>
                    </w:rPr>
                    <w:t>覆膜砂</w:t>
                  </w:r>
                  <w:r>
                    <w:rPr>
                      <w:color w:val="auto"/>
                      <w:spacing w:val="3"/>
                      <w:sz w:val="21"/>
                      <w:szCs w:val="21"/>
                    </w:rPr>
                    <w:t>工艺</w:t>
                  </w:r>
                </w:p>
              </w:tc>
              <w:tc>
                <w:tcPr>
                  <w:tcW w:w="1222" w:type="dxa"/>
                  <w:vMerge w:val="restart"/>
                  <w:tcBorders>
                    <w:tl2br w:val="nil"/>
                    <w:tr2bl w:val="nil"/>
                  </w:tcBorders>
                  <w:shd w:val="clear" w:color="auto" w:fill="auto"/>
                  <w:vAlign w:val="center"/>
                </w:tcPr>
                <w:p w14:paraId="21EA59B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2200</w:t>
                  </w:r>
                </w:p>
              </w:tc>
              <w:tc>
                <w:tcPr>
                  <w:tcW w:w="2200" w:type="dxa"/>
                  <w:tcBorders>
                    <w:tl2br w:val="nil"/>
                    <w:tr2bl w:val="nil"/>
                  </w:tcBorders>
                  <w:shd w:val="clear" w:color="auto" w:fill="auto"/>
                  <w:vAlign w:val="center"/>
                </w:tcPr>
                <w:p w14:paraId="6C9096A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pacing w:val="4"/>
                      <w:sz w:val="21"/>
                      <w:szCs w:val="21"/>
                    </w:rPr>
                  </w:pPr>
                  <w:r>
                    <w:rPr>
                      <w:color w:val="auto"/>
                      <w:spacing w:val="4"/>
                      <w:sz w:val="21"/>
                      <w:szCs w:val="21"/>
                    </w:rPr>
                    <w:t>砂处理</w:t>
                  </w:r>
                </w:p>
                <w:p w14:paraId="29618F3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4"/>
                      <w:sz w:val="21"/>
                      <w:szCs w:val="21"/>
                    </w:rPr>
                    <w:t>（参照树脂砂）</w:t>
                  </w:r>
                </w:p>
              </w:tc>
              <w:tc>
                <w:tcPr>
                  <w:tcW w:w="2987" w:type="dxa"/>
                  <w:tcBorders>
                    <w:tl2br w:val="nil"/>
                    <w:tr2bl w:val="nil"/>
                  </w:tcBorders>
                  <w:shd w:val="clear" w:color="auto" w:fill="auto"/>
                  <w:vAlign w:val="center"/>
                </w:tcPr>
                <w:p w14:paraId="36205E6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4"/>
                      <w:sz w:val="21"/>
                      <w:szCs w:val="21"/>
                    </w:rPr>
                    <w:t>颗粒物</w:t>
                  </w:r>
                  <w:r>
                    <w:rPr>
                      <w:rFonts w:ascii="Times New Roman" w:hAnsi="Times New Roman" w:eastAsia="Times New Roman" w:cs="Times New Roman"/>
                      <w:color w:val="auto"/>
                      <w:spacing w:val="4"/>
                      <w:sz w:val="21"/>
                      <w:szCs w:val="21"/>
                    </w:rPr>
                    <w:t>16.0</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4"/>
                      <w:sz w:val="21"/>
                      <w:szCs w:val="21"/>
                    </w:rPr>
                    <w:t>/t</w:t>
                  </w:r>
                  <w:r>
                    <w:rPr>
                      <w:color w:val="auto"/>
                      <w:spacing w:val="4"/>
                      <w:sz w:val="21"/>
                      <w:szCs w:val="21"/>
                    </w:rPr>
                    <w:t>产品</w:t>
                  </w:r>
                </w:p>
              </w:tc>
              <w:tc>
                <w:tcPr>
                  <w:tcW w:w="1443" w:type="dxa"/>
                  <w:tcBorders>
                    <w:tl2br w:val="nil"/>
                    <w:tr2bl w:val="nil"/>
                  </w:tcBorders>
                  <w:vAlign w:val="center"/>
                </w:tcPr>
                <w:p w14:paraId="080B16A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35.2</w:t>
                  </w:r>
                </w:p>
              </w:tc>
            </w:tr>
            <w:tr w14:paraId="0EC9E2B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124A82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1FA770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tcBorders>
                    <w:tl2br w:val="nil"/>
                    <w:tr2bl w:val="nil"/>
                  </w:tcBorders>
                  <w:shd w:val="clear" w:color="auto" w:fill="auto"/>
                  <w:vAlign w:val="center"/>
                </w:tcPr>
                <w:p w14:paraId="237F0C7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1"/>
                      <w:sz w:val="21"/>
                      <w:szCs w:val="21"/>
                    </w:rPr>
                    <w:t>电炉熔炼</w:t>
                  </w:r>
                </w:p>
              </w:tc>
              <w:tc>
                <w:tcPr>
                  <w:tcW w:w="2987" w:type="dxa"/>
                  <w:tcBorders>
                    <w:tl2br w:val="nil"/>
                    <w:tr2bl w:val="nil"/>
                  </w:tcBorders>
                  <w:shd w:val="clear" w:color="auto" w:fill="auto"/>
                  <w:vAlign w:val="center"/>
                </w:tcPr>
                <w:p w14:paraId="34D29CD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5"/>
                      <w:sz w:val="21"/>
                      <w:szCs w:val="21"/>
                    </w:rPr>
                    <w:t>颗粒物</w:t>
                  </w:r>
                  <w:r>
                    <w:rPr>
                      <w:rFonts w:ascii="Times New Roman" w:hAnsi="Times New Roman" w:eastAsia="Times New Roman" w:cs="Times New Roman"/>
                      <w:color w:val="auto"/>
                      <w:spacing w:val="5"/>
                      <w:sz w:val="21"/>
                      <w:szCs w:val="21"/>
                    </w:rPr>
                    <w:t>0.479</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5"/>
                      <w:sz w:val="21"/>
                      <w:szCs w:val="21"/>
                    </w:rPr>
                    <w:t>/t</w:t>
                  </w:r>
                  <w:r>
                    <w:rPr>
                      <w:color w:val="auto"/>
                      <w:spacing w:val="5"/>
                      <w:sz w:val="21"/>
                      <w:szCs w:val="21"/>
                    </w:rPr>
                    <w:t>产品</w:t>
                  </w:r>
                </w:p>
              </w:tc>
              <w:tc>
                <w:tcPr>
                  <w:tcW w:w="1443" w:type="dxa"/>
                  <w:tcBorders>
                    <w:tl2br w:val="nil"/>
                    <w:tr2bl w:val="nil"/>
                  </w:tcBorders>
                  <w:vAlign w:val="center"/>
                </w:tcPr>
                <w:p w14:paraId="6511A14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1.0538</w:t>
                  </w:r>
                </w:p>
              </w:tc>
            </w:tr>
            <w:tr w14:paraId="08831F2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743124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67F857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restart"/>
                  <w:tcBorders>
                    <w:tl2br w:val="nil"/>
                    <w:tr2bl w:val="nil"/>
                  </w:tcBorders>
                  <w:shd w:val="clear" w:color="auto" w:fill="auto"/>
                  <w:vAlign w:val="center"/>
                </w:tcPr>
                <w:p w14:paraId="765250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color w:val="auto"/>
                      <w:sz w:val="21"/>
                      <w:szCs w:val="21"/>
                    </w:rPr>
                  </w:pPr>
                  <w:r>
                    <w:rPr>
                      <w:color w:val="auto"/>
                      <w:spacing w:val="4"/>
                      <w:sz w:val="21"/>
                      <w:szCs w:val="21"/>
                    </w:rPr>
                    <w:t>制芯</w:t>
                  </w:r>
                </w:p>
              </w:tc>
              <w:tc>
                <w:tcPr>
                  <w:tcW w:w="2987" w:type="dxa"/>
                  <w:tcBorders>
                    <w:tl2br w:val="nil"/>
                    <w:tr2bl w:val="nil"/>
                  </w:tcBorders>
                  <w:shd w:val="clear" w:color="auto" w:fill="auto"/>
                  <w:vAlign w:val="center"/>
                </w:tcPr>
                <w:p w14:paraId="4F3ABBA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5"/>
                      <w:sz w:val="21"/>
                      <w:szCs w:val="21"/>
                    </w:rPr>
                    <w:t>颗粒物</w:t>
                  </w:r>
                  <w:r>
                    <w:rPr>
                      <w:rFonts w:ascii="Times New Roman" w:hAnsi="Times New Roman" w:eastAsia="Times New Roman" w:cs="Times New Roman"/>
                      <w:color w:val="auto"/>
                      <w:spacing w:val="5"/>
                      <w:sz w:val="21"/>
                      <w:szCs w:val="21"/>
                    </w:rPr>
                    <w:t>0.33</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5"/>
                      <w:sz w:val="21"/>
                      <w:szCs w:val="21"/>
                    </w:rPr>
                    <w:t>/t</w:t>
                  </w:r>
                  <w:r>
                    <w:rPr>
                      <w:color w:val="auto"/>
                      <w:spacing w:val="5"/>
                      <w:sz w:val="21"/>
                      <w:szCs w:val="21"/>
                    </w:rPr>
                    <w:t>产品</w:t>
                  </w:r>
                </w:p>
              </w:tc>
              <w:tc>
                <w:tcPr>
                  <w:tcW w:w="1443" w:type="dxa"/>
                  <w:tcBorders>
                    <w:tl2br w:val="nil"/>
                    <w:tr2bl w:val="nil"/>
                  </w:tcBorders>
                  <w:vAlign w:val="center"/>
                </w:tcPr>
                <w:p w14:paraId="6463A26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0.726</w:t>
                  </w:r>
                </w:p>
              </w:tc>
            </w:tr>
            <w:tr w14:paraId="0887AD9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499055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77958AF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continue"/>
                  <w:tcBorders>
                    <w:tl2br w:val="nil"/>
                    <w:tr2bl w:val="nil"/>
                  </w:tcBorders>
                  <w:vAlign w:val="center"/>
                </w:tcPr>
                <w:p w14:paraId="16AE4D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987" w:type="dxa"/>
                  <w:tcBorders>
                    <w:tl2br w:val="nil"/>
                    <w:tr2bl w:val="nil"/>
                  </w:tcBorders>
                  <w:shd w:val="clear" w:color="auto" w:fill="auto"/>
                  <w:vAlign w:val="center"/>
                </w:tcPr>
                <w:p w14:paraId="6A062FC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Times New Roman" w:hAnsi="Times New Roman" w:eastAsia="Times New Roman" w:cs="Times New Roman"/>
                      <w:color w:val="auto"/>
                      <w:sz w:val="21"/>
                      <w:szCs w:val="21"/>
                    </w:rPr>
                    <w:t>VOCs</w:t>
                  </w:r>
                  <w:r>
                    <w:rPr>
                      <w:rFonts w:ascii="Times New Roman" w:hAnsi="Times New Roman" w:eastAsia="Times New Roman" w:cs="Times New Roman"/>
                      <w:color w:val="auto"/>
                      <w:spacing w:val="8"/>
                      <w:sz w:val="21"/>
                      <w:szCs w:val="21"/>
                    </w:rPr>
                    <w:t>0.05</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8"/>
                      <w:sz w:val="21"/>
                      <w:szCs w:val="21"/>
                    </w:rPr>
                    <w:t>/t</w:t>
                  </w:r>
                  <w:r>
                    <w:rPr>
                      <w:color w:val="auto"/>
                      <w:spacing w:val="8"/>
                      <w:sz w:val="21"/>
                      <w:szCs w:val="21"/>
                    </w:rPr>
                    <w:t>产品</w:t>
                  </w:r>
                </w:p>
              </w:tc>
              <w:tc>
                <w:tcPr>
                  <w:tcW w:w="1443" w:type="dxa"/>
                  <w:tcBorders>
                    <w:tl2br w:val="nil"/>
                    <w:tr2bl w:val="nil"/>
                  </w:tcBorders>
                  <w:vAlign w:val="center"/>
                </w:tcPr>
                <w:p w14:paraId="69685F6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0.11</w:t>
                  </w:r>
                </w:p>
              </w:tc>
            </w:tr>
            <w:tr w14:paraId="530F264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2951AF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0A0D4A4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restart"/>
                  <w:tcBorders>
                    <w:tl2br w:val="nil"/>
                    <w:tr2bl w:val="nil"/>
                  </w:tcBorders>
                  <w:vAlign w:val="center"/>
                </w:tcPr>
                <w:p w14:paraId="27B626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Arial" w:eastAsia="宋体"/>
                      <w:color w:val="auto"/>
                      <w:sz w:val="21"/>
                      <w:szCs w:val="21"/>
                      <w:lang w:val="en-US" w:eastAsia="zh-CN"/>
                    </w:rPr>
                  </w:pPr>
                  <w:r>
                    <w:rPr>
                      <w:rFonts w:hint="eastAsia"/>
                      <w:color w:val="auto"/>
                      <w:sz w:val="21"/>
                      <w:szCs w:val="21"/>
                      <w:lang w:val="en-US" w:eastAsia="zh-CN"/>
                    </w:rPr>
                    <w:t>制芯/浇注</w:t>
                  </w:r>
                </w:p>
              </w:tc>
              <w:tc>
                <w:tcPr>
                  <w:tcW w:w="2987" w:type="dxa"/>
                  <w:tcBorders>
                    <w:tl2br w:val="nil"/>
                    <w:tr2bl w:val="nil"/>
                  </w:tcBorders>
                  <w:shd w:val="clear" w:color="auto" w:fill="auto"/>
                  <w:vAlign w:val="center"/>
                </w:tcPr>
                <w:p w14:paraId="6E20E75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甲醛类比同类项目</w:t>
                  </w:r>
                </w:p>
              </w:tc>
              <w:tc>
                <w:tcPr>
                  <w:tcW w:w="1443" w:type="dxa"/>
                  <w:tcBorders>
                    <w:tl2br w:val="nil"/>
                    <w:tr2bl w:val="nil"/>
                  </w:tcBorders>
                  <w:vAlign w:val="center"/>
                </w:tcPr>
                <w:p w14:paraId="24DEEFC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289</w:t>
                  </w:r>
                </w:p>
              </w:tc>
            </w:tr>
            <w:tr w14:paraId="3E53398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0CC865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3400DA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continue"/>
                  <w:tcBorders>
                    <w:tl2br w:val="nil"/>
                    <w:tr2bl w:val="nil"/>
                  </w:tcBorders>
                  <w:vAlign w:val="center"/>
                </w:tcPr>
                <w:p w14:paraId="39C503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987" w:type="dxa"/>
                  <w:tcBorders>
                    <w:tl2br w:val="nil"/>
                    <w:tr2bl w:val="nil"/>
                  </w:tcBorders>
                  <w:shd w:val="clear" w:color="auto" w:fill="auto"/>
                  <w:vAlign w:val="center"/>
                </w:tcPr>
                <w:p w14:paraId="71A099C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酚类</w:t>
                  </w:r>
                  <w:r>
                    <w:rPr>
                      <w:rFonts w:hint="eastAsia" w:ascii="Times New Roman" w:hAnsi="Times New Roman" w:cs="Times New Roman"/>
                      <w:color w:val="auto"/>
                      <w:sz w:val="21"/>
                      <w:szCs w:val="21"/>
                      <w:highlight w:val="none"/>
                      <w:lang w:val="en-US" w:eastAsia="zh-CN"/>
                    </w:rPr>
                    <w:t>类比同类项目</w:t>
                  </w:r>
                </w:p>
              </w:tc>
              <w:tc>
                <w:tcPr>
                  <w:tcW w:w="1443" w:type="dxa"/>
                  <w:tcBorders>
                    <w:tl2br w:val="nil"/>
                    <w:tr2bl w:val="nil"/>
                  </w:tcBorders>
                  <w:vAlign w:val="center"/>
                </w:tcPr>
                <w:p w14:paraId="559E008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w:t>
                  </w:r>
                  <w:r>
                    <w:rPr>
                      <w:rFonts w:hint="eastAsia" w:ascii="Times New Roman" w:hAnsi="Times New Roman" w:eastAsia="宋体" w:cs="Times New Roman"/>
                      <w:color w:val="auto"/>
                      <w:sz w:val="21"/>
                      <w:szCs w:val="21"/>
                      <w:highlight w:val="none"/>
                      <w:lang w:val="en-US" w:eastAsia="zh-CN"/>
                    </w:rPr>
                    <w:t>2</w:t>
                  </w:r>
                </w:p>
              </w:tc>
            </w:tr>
            <w:tr w14:paraId="5F242AC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783AC0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1B1B5F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restart"/>
                  <w:tcBorders>
                    <w:tl2br w:val="nil"/>
                    <w:tr2bl w:val="nil"/>
                  </w:tcBorders>
                  <w:shd w:val="clear" w:color="auto" w:fill="auto"/>
                  <w:vAlign w:val="center"/>
                </w:tcPr>
                <w:p w14:paraId="726F9A7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color w:val="auto"/>
                      <w:sz w:val="21"/>
                      <w:szCs w:val="21"/>
                    </w:rPr>
                  </w:pPr>
                  <w:r>
                    <w:rPr>
                      <w:color w:val="auto"/>
                      <w:spacing w:val="4"/>
                      <w:sz w:val="21"/>
                      <w:szCs w:val="21"/>
                    </w:rPr>
                    <w:t>浇注</w:t>
                  </w:r>
                </w:p>
              </w:tc>
              <w:tc>
                <w:tcPr>
                  <w:tcW w:w="2987" w:type="dxa"/>
                  <w:tcBorders>
                    <w:tl2br w:val="nil"/>
                    <w:tr2bl w:val="nil"/>
                  </w:tcBorders>
                  <w:shd w:val="clear" w:color="auto" w:fill="auto"/>
                  <w:vAlign w:val="center"/>
                </w:tcPr>
                <w:p w14:paraId="0A5C63E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5"/>
                      <w:sz w:val="21"/>
                      <w:szCs w:val="21"/>
                    </w:rPr>
                    <w:t>颗粒物</w:t>
                  </w:r>
                  <w:r>
                    <w:rPr>
                      <w:rFonts w:ascii="Times New Roman" w:hAnsi="Times New Roman" w:eastAsia="Times New Roman" w:cs="Times New Roman"/>
                      <w:color w:val="auto"/>
                      <w:spacing w:val="5"/>
                      <w:sz w:val="21"/>
                      <w:szCs w:val="21"/>
                    </w:rPr>
                    <w:t>0.367</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5"/>
                      <w:sz w:val="21"/>
                      <w:szCs w:val="21"/>
                    </w:rPr>
                    <w:t>/t</w:t>
                  </w:r>
                  <w:r>
                    <w:rPr>
                      <w:color w:val="auto"/>
                      <w:spacing w:val="5"/>
                      <w:sz w:val="21"/>
                      <w:szCs w:val="21"/>
                    </w:rPr>
                    <w:t>产品</w:t>
                  </w:r>
                </w:p>
              </w:tc>
              <w:tc>
                <w:tcPr>
                  <w:tcW w:w="1443" w:type="dxa"/>
                  <w:tcBorders>
                    <w:tl2br w:val="nil"/>
                    <w:tr2bl w:val="nil"/>
                  </w:tcBorders>
                  <w:vAlign w:val="center"/>
                </w:tcPr>
                <w:p w14:paraId="36D4562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0.8074</w:t>
                  </w:r>
                </w:p>
              </w:tc>
            </w:tr>
            <w:tr w14:paraId="2EEF24A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4EA12E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48359A3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continue"/>
                  <w:tcBorders>
                    <w:tl2br w:val="nil"/>
                    <w:tr2bl w:val="nil"/>
                  </w:tcBorders>
                  <w:vAlign w:val="center"/>
                </w:tcPr>
                <w:p w14:paraId="237F618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987" w:type="dxa"/>
                  <w:tcBorders>
                    <w:tl2br w:val="nil"/>
                    <w:tr2bl w:val="nil"/>
                  </w:tcBorders>
                  <w:shd w:val="clear" w:color="auto" w:fill="auto"/>
                  <w:vAlign w:val="center"/>
                </w:tcPr>
                <w:p w14:paraId="190B71D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Times New Roman" w:hAnsi="Times New Roman" w:eastAsia="Times New Roman" w:cs="Times New Roman"/>
                      <w:color w:val="auto"/>
                      <w:sz w:val="21"/>
                      <w:szCs w:val="21"/>
                    </w:rPr>
                    <w:t>VOCs</w:t>
                  </w:r>
                  <w:r>
                    <w:rPr>
                      <w:rFonts w:ascii="Times New Roman" w:hAnsi="Times New Roman" w:eastAsia="Times New Roman" w:cs="Times New Roman"/>
                      <w:color w:val="auto"/>
                      <w:spacing w:val="8"/>
                      <w:sz w:val="21"/>
                      <w:szCs w:val="21"/>
                    </w:rPr>
                    <w:t>0.25</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8"/>
                      <w:sz w:val="21"/>
                      <w:szCs w:val="21"/>
                    </w:rPr>
                    <w:t>/t</w:t>
                  </w:r>
                  <w:r>
                    <w:rPr>
                      <w:color w:val="auto"/>
                      <w:spacing w:val="8"/>
                      <w:sz w:val="21"/>
                      <w:szCs w:val="21"/>
                    </w:rPr>
                    <w:t>产品</w:t>
                  </w:r>
                </w:p>
              </w:tc>
              <w:tc>
                <w:tcPr>
                  <w:tcW w:w="1443" w:type="dxa"/>
                  <w:tcBorders>
                    <w:tl2br w:val="nil"/>
                    <w:tr2bl w:val="nil"/>
                  </w:tcBorders>
                  <w:vAlign w:val="center"/>
                </w:tcPr>
                <w:p w14:paraId="245941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0.55</w:t>
                  </w:r>
                </w:p>
              </w:tc>
            </w:tr>
            <w:tr w14:paraId="3895AF5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restart"/>
                  <w:tcBorders>
                    <w:tl2br w:val="nil"/>
                    <w:tr2bl w:val="nil"/>
                  </w:tcBorders>
                  <w:vAlign w:val="center"/>
                </w:tcPr>
                <w:p w14:paraId="02737E6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5"/>
                      <w:sz w:val="21"/>
                      <w:szCs w:val="21"/>
                    </w:rPr>
                    <w:t>消失模</w:t>
                  </w:r>
                  <w:r>
                    <w:rPr>
                      <w:color w:val="auto"/>
                      <w:spacing w:val="3"/>
                      <w:sz w:val="21"/>
                      <w:szCs w:val="21"/>
                    </w:rPr>
                    <w:t>工艺</w:t>
                  </w:r>
                </w:p>
              </w:tc>
              <w:tc>
                <w:tcPr>
                  <w:tcW w:w="1222" w:type="dxa"/>
                  <w:vMerge w:val="restart"/>
                  <w:tcBorders>
                    <w:tl2br w:val="nil"/>
                    <w:tr2bl w:val="nil"/>
                  </w:tcBorders>
                  <w:shd w:val="clear" w:color="auto" w:fill="auto"/>
                  <w:vAlign w:val="center"/>
                </w:tcPr>
                <w:p w14:paraId="44FB3A4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c>
                <w:tcPr>
                  <w:tcW w:w="2200" w:type="dxa"/>
                  <w:tcBorders>
                    <w:tl2br w:val="nil"/>
                    <w:tr2bl w:val="nil"/>
                  </w:tcBorders>
                  <w:shd w:val="clear" w:color="auto" w:fill="auto"/>
                  <w:vAlign w:val="center"/>
                </w:tcPr>
                <w:p w14:paraId="2D4A6EC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auto"/>
                      <w:kern w:val="0"/>
                      <w:sz w:val="21"/>
                      <w:szCs w:val="21"/>
                      <w:lang w:val="en-US" w:eastAsia="zh-CN" w:bidi="ar-SA"/>
                    </w:rPr>
                  </w:pPr>
                  <w:r>
                    <w:rPr>
                      <w:color w:val="auto"/>
                      <w:spacing w:val="7"/>
                      <w:sz w:val="21"/>
                      <w:szCs w:val="21"/>
                    </w:rPr>
                    <w:t>砂处理</w:t>
                  </w:r>
                  <w:r>
                    <w:rPr>
                      <w:rFonts w:hint="eastAsia"/>
                      <w:color w:val="auto"/>
                      <w:spacing w:val="7"/>
                      <w:sz w:val="21"/>
                      <w:szCs w:val="21"/>
                      <w:lang w:eastAsia="zh-CN"/>
                    </w:rPr>
                    <w:t>（</w:t>
                  </w:r>
                  <w:r>
                    <w:rPr>
                      <w:rFonts w:hint="eastAsia"/>
                      <w:color w:val="auto"/>
                      <w:spacing w:val="7"/>
                      <w:sz w:val="21"/>
                      <w:szCs w:val="21"/>
                      <w:lang w:val="en-US" w:eastAsia="zh-CN"/>
                    </w:rPr>
                    <w:t>装箱</w:t>
                  </w:r>
                  <w:r>
                    <w:rPr>
                      <w:rFonts w:hint="eastAsia"/>
                      <w:color w:val="auto"/>
                      <w:spacing w:val="7"/>
                      <w:sz w:val="21"/>
                      <w:szCs w:val="21"/>
                      <w:lang w:eastAsia="zh-CN"/>
                    </w:rPr>
                    <w:t>）</w:t>
                  </w:r>
                </w:p>
              </w:tc>
              <w:tc>
                <w:tcPr>
                  <w:tcW w:w="2987" w:type="dxa"/>
                  <w:tcBorders>
                    <w:tl2br w:val="nil"/>
                    <w:tr2bl w:val="nil"/>
                  </w:tcBorders>
                  <w:shd w:val="clear" w:color="auto" w:fill="auto"/>
                  <w:vAlign w:val="center"/>
                </w:tcPr>
                <w:p w14:paraId="3F56CA8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5"/>
                      <w:sz w:val="21"/>
                      <w:szCs w:val="21"/>
                    </w:rPr>
                    <w:t>颗粒物</w:t>
                  </w:r>
                  <w:r>
                    <w:rPr>
                      <w:rFonts w:ascii="Times New Roman" w:hAnsi="Times New Roman" w:eastAsia="Times New Roman" w:cs="Times New Roman"/>
                      <w:color w:val="auto"/>
                      <w:spacing w:val="5"/>
                      <w:sz w:val="21"/>
                      <w:szCs w:val="21"/>
                    </w:rPr>
                    <w:t>7.9</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5"/>
                      <w:sz w:val="21"/>
                      <w:szCs w:val="21"/>
                    </w:rPr>
                    <w:t>/t</w:t>
                  </w:r>
                  <w:r>
                    <w:rPr>
                      <w:color w:val="auto"/>
                      <w:spacing w:val="5"/>
                      <w:sz w:val="21"/>
                      <w:szCs w:val="21"/>
                    </w:rPr>
                    <w:t>产品</w:t>
                  </w:r>
                </w:p>
              </w:tc>
              <w:tc>
                <w:tcPr>
                  <w:tcW w:w="1443" w:type="dxa"/>
                  <w:tcBorders>
                    <w:tl2br w:val="nil"/>
                    <w:tr2bl w:val="nil"/>
                  </w:tcBorders>
                  <w:vAlign w:val="center"/>
                </w:tcPr>
                <w:p w14:paraId="60F8871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7.9</w:t>
                  </w:r>
                </w:p>
              </w:tc>
            </w:tr>
            <w:tr w14:paraId="6C78838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16EB19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7C3A0CF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tcBorders>
                    <w:tl2br w:val="nil"/>
                    <w:tr2bl w:val="nil"/>
                  </w:tcBorders>
                  <w:shd w:val="clear" w:color="auto" w:fill="auto"/>
                  <w:vAlign w:val="center"/>
                </w:tcPr>
                <w:p w14:paraId="2BC60CC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1"/>
                      <w:sz w:val="21"/>
                      <w:szCs w:val="21"/>
                    </w:rPr>
                    <w:t>电炉熔炼</w:t>
                  </w:r>
                </w:p>
              </w:tc>
              <w:tc>
                <w:tcPr>
                  <w:tcW w:w="2987" w:type="dxa"/>
                  <w:tcBorders>
                    <w:tl2br w:val="nil"/>
                    <w:tr2bl w:val="nil"/>
                  </w:tcBorders>
                  <w:shd w:val="clear" w:color="auto" w:fill="auto"/>
                  <w:vAlign w:val="center"/>
                </w:tcPr>
                <w:p w14:paraId="7A0153A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5"/>
                      <w:sz w:val="21"/>
                      <w:szCs w:val="21"/>
                    </w:rPr>
                    <w:t>颗粒物</w:t>
                  </w:r>
                  <w:r>
                    <w:rPr>
                      <w:rFonts w:ascii="Times New Roman" w:hAnsi="Times New Roman" w:eastAsia="Times New Roman" w:cs="Times New Roman"/>
                      <w:color w:val="auto"/>
                      <w:spacing w:val="5"/>
                      <w:sz w:val="21"/>
                      <w:szCs w:val="21"/>
                    </w:rPr>
                    <w:t>0.479</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5"/>
                      <w:sz w:val="21"/>
                      <w:szCs w:val="21"/>
                    </w:rPr>
                    <w:t>/t</w:t>
                  </w:r>
                  <w:r>
                    <w:rPr>
                      <w:color w:val="auto"/>
                      <w:spacing w:val="5"/>
                      <w:sz w:val="21"/>
                      <w:szCs w:val="21"/>
                    </w:rPr>
                    <w:t>产品</w:t>
                  </w:r>
                </w:p>
              </w:tc>
              <w:tc>
                <w:tcPr>
                  <w:tcW w:w="1443" w:type="dxa"/>
                  <w:tcBorders>
                    <w:tl2br w:val="nil"/>
                    <w:tr2bl w:val="nil"/>
                  </w:tcBorders>
                  <w:vAlign w:val="center"/>
                </w:tcPr>
                <w:p w14:paraId="659DF7A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0.479</w:t>
                  </w:r>
                </w:p>
              </w:tc>
            </w:tr>
            <w:tr w14:paraId="5C7C91E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32DA84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4639A60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tcBorders>
                    <w:tl2br w:val="nil"/>
                    <w:tr2bl w:val="nil"/>
                  </w:tcBorders>
                  <w:shd w:val="clear" w:color="auto" w:fill="auto"/>
                  <w:vAlign w:val="center"/>
                </w:tcPr>
                <w:p w14:paraId="791BDAC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highlight w:val="none"/>
                      <w:lang w:val="en-US" w:eastAsia="en-US" w:bidi="ar-SA"/>
                    </w:rPr>
                  </w:pPr>
                  <w:r>
                    <w:rPr>
                      <w:color w:val="auto"/>
                      <w:spacing w:val="6"/>
                      <w:sz w:val="21"/>
                      <w:szCs w:val="21"/>
                      <w:highlight w:val="none"/>
                    </w:rPr>
                    <w:t>烘干</w:t>
                  </w:r>
                </w:p>
              </w:tc>
              <w:tc>
                <w:tcPr>
                  <w:tcW w:w="2987" w:type="dxa"/>
                  <w:tcBorders>
                    <w:tl2br w:val="nil"/>
                    <w:tr2bl w:val="nil"/>
                  </w:tcBorders>
                  <w:shd w:val="clear" w:color="auto" w:fill="auto"/>
                  <w:vAlign w:val="center"/>
                </w:tcPr>
                <w:p w14:paraId="237E0A8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highlight w:val="none"/>
                      <w:lang w:val="en-US" w:eastAsia="en-US" w:bidi="ar-SA"/>
                    </w:rPr>
                  </w:pPr>
                  <w:r>
                    <w:rPr>
                      <w:rFonts w:ascii="Times New Roman" w:hAnsi="Times New Roman" w:eastAsia="Times New Roman" w:cs="Times New Roman"/>
                      <w:color w:val="auto"/>
                      <w:sz w:val="21"/>
                      <w:szCs w:val="21"/>
                      <w:highlight w:val="none"/>
                    </w:rPr>
                    <w:t>VOCs</w:t>
                  </w:r>
                  <w:r>
                    <w:rPr>
                      <w:rFonts w:ascii="Times New Roman" w:hAnsi="Times New Roman" w:eastAsia="Times New Roman" w:cs="Times New Roman"/>
                      <w:color w:val="auto"/>
                      <w:spacing w:val="10"/>
                      <w:sz w:val="21"/>
                      <w:szCs w:val="21"/>
                      <w:highlight w:val="none"/>
                    </w:rPr>
                    <w:t>0.35</w:t>
                  </w:r>
                  <w:r>
                    <w:rPr>
                      <w:rFonts w:ascii="Times New Roman" w:hAnsi="Times New Roman" w:eastAsia="Times New Roman" w:cs="Times New Roman"/>
                      <w:color w:val="auto"/>
                      <w:sz w:val="21"/>
                      <w:szCs w:val="21"/>
                      <w:highlight w:val="none"/>
                    </w:rPr>
                    <w:t>kg</w:t>
                  </w:r>
                  <w:r>
                    <w:rPr>
                      <w:rFonts w:ascii="Times New Roman" w:hAnsi="Times New Roman" w:eastAsia="Times New Roman" w:cs="Times New Roman"/>
                      <w:color w:val="auto"/>
                      <w:spacing w:val="10"/>
                      <w:sz w:val="21"/>
                      <w:szCs w:val="21"/>
                      <w:highlight w:val="none"/>
                    </w:rPr>
                    <w:t>/</w:t>
                  </w:r>
                  <w:r>
                    <w:rPr>
                      <w:color w:val="auto"/>
                      <w:spacing w:val="10"/>
                      <w:sz w:val="21"/>
                      <w:szCs w:val="21"/>
                      <w:highlight w:val="none"/>
                    </w:rPr>
                    <w:t>吨涂料</w:t>
                  </w:r>
                </w:p>
              </w:tc>
              <w:tc>
                <w:tcPr>
                  <w:tcW w:w="1443" w:type="dxa"/>
                  <w:tcBorders>
                    <w:tl2br w:val="nil"/>
                    <w:tr2bl w:val="nil"/>
                  </w:tcBorders>
                  <w:vAlign w:val="center"/>
                </w:tcPr>
                <w:p w14:paraId="4BF61A9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0.00175</w:t>
                  </w:r>
                </w:p>
              </w:tc>
            </w:tr>
            <w:tr w14:paraId="73B768A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0CBD21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67E7B4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tcBorders>
                    <w:tl2br w:val="nil"/>
                    <w:tr2bl w:val="nil"/>
                  </w:tcBorders>
                  <w:shd w:val="clear" w:color="auto" w:fill="auto"/>
                  <w:vAlign w:val="center"/>
                </w:tcPr>
                <w:p w14:paraId="346FFB5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highlight w:val="none"/>
                      <w:lang w:val="en-US" w:eastAsia="en-US" w:bidi="ar-SA"/>
                    </w:rPr>
                  </w:pPr>
                  <w:r>
                    <w:rPr>
                      <w:color w:val="auto"/>
                      <w:spacing w:val="8"/>
                      <w:sz w:val="21"/>
                      <w:szCs w:val="21"/>
                      <w:highlight w:val="none"/>
                    </w:rPr>
                    <w:t>泡沫切割</w:t>
                  </w:r>
                </w:p>
              </w:tc>
              <w:tc>
                <w:tcPr>
                  <w:tcW w:w="2987" w:type="dxa"/>
                  <w:tcBorders>
                    <w:tl2br w:val="nil"/>
                    <w:tr2bl w:val="nil"/>
                  </w:tcBorders>
                  <w:shd w:val="clear" w:color="auto" w:fill="auto"/>
                  <w:vAlign w:val="center"/>
                </w:tcPr>
                <w:p w14:paraId="2962AFB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highlight w:val="none"/>
                      <w:lang w:val="en-US" w:eastAsia="en-US" w:bidi="ar-SA"/>
                    </w:rPr>
                  </w:pPr>
                  <w:r>
                    <w:rPr>
                      <w:rFonts w:ascii="Times New Roman" w:hAnsi="Times New Roman" w:eastAsia="Times New Roman" w:cs="Times New Roman"/>
                      <w:color w:val="auto"/>
                      <w:sz w:val="21"/>
                      <w:szCs w:val="21"/>
                      <w:highlight w:val="none"/>
                    </w:rPr>
                    <w:t>VOCs</w:t>
                  </w:r>
                  <w:r>
                    <w:rPr>
                      <w:rFonts w:hint="eastAsia" w:ascii="Times New Roman" w:hAnsi="Times New Roman" w:cs="Times New Roman"/>
                      <w:color w:val="auto"/>
                      <w:spacing w:val="12"/>
                      <w:sz w:val="21"/>
                      <w:szCs w:val="21"/>
                      <w:highlight w:val="none"/>
                      <w:lang w:val="en-US" w:eastAsia="zh-CN"/>
                    </w:rPr>
                    <w:t>30</w:t>
                  </w:r>
                  <w:r>
                    <w:rPr>
                      <w:rFonts w:ascii="Times New Roman" w:hAnsi="Times New Roman" w:eastAsia="Times New Roman" w:cs="Times New Roman"/>
                      <w:color w:val="auto"/>
                      <w:sz w:val="21"/>
                      <w:szCs w:val="21"/>
                      <w:highlight w:val="none"/>
                    </w:rPr>
                    <w:t>kg</w:t>
                  </w:r>
                  <w:r>
                    <w:rPr>
                      <w:rFonts w:ascii="Times New Roman" w:hAnsi="Times New Roman" w:eastAsia="Times New Roman" w:cs="Times New Roman"/>
                      <w:color w:val="auto"/>
                      <w:spacing w:val="12"/>
                      <w:sz w:val="21"/>
                      <w:szCs w:val="21"/>
                      <w:highlight w:val="none"/>
                    </w:rPr>
                    <w:t>/</w:t>
                  </w:r>
                  <w:r>
                    <w:rPr>
                      <w:color w:val="auto"/>
                      <w:spacing w:val="12"/>
                      <w:sz w:val="21"/>
                      <w:szCs w:val="21"/>
                      <w:highlight w:val="none"/>
                    </w:rPr>
                    <w:t>吨产品</w:t>
                  </w:r>
                </w:p>
              </w:tc>
              <w:tc>
                <w:tcPr>
                  <w:tcW w:w="1443" w:type="dxa"/>
                  <w:tcBorders>
                    <w:tl2br w:val="nil"/>
                    <w:tr2bl w:val="nil"/>
                  </w:tcBorders>
                  <w:vAlign w:val="center"/>
                </w:tcPr>
                <w:p w14:paraId="412AEB7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0.03</w:t>
                  </w:r>
                </w:p>
              </w:tc>
            </w:tr>
            <w:tr w14:paraId="0D90941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212612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71AB75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restart"/>
                  <w:tcBorders>
                    <w:tl2br w:val="nil"/>
                    <w:tr2bl w:val="nil"/>
                  </w:tcBorders>
                  <w:shd w:val="clear" w:color="auto" w:fill="auto"/>
                  <w:vAlign w:val="center"/>
                </w:tcPr>
                <w:p w14:paraId="4524589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color w:val="auto"/>
                      <w:sz w:val="21"/>
                      <w:szCs w:val="21"/>
                    </w:rPr>
                  </w:pPr>
                  <w:r>
                    <w:rPr>
                      <w:color w:val="auto"/>
                      <w:spacing w:val="4"/>
                      <w:sz w:val="21"/>
                      <w:szCs w:val="21"/>
                    </w:rPr>
                    <w:t>浇注</w:t>
                  </w:r>
                </w:p>
              </w:tc>
              <w:tc>
                <w:tcPr>
                  <w:tcW w:w="2987" w:type="dxa"/>
                  <w:tcBorders>
                    <w:tl2br w:val="nil"/>
                    <w:tr2bl w:val="nil"/>
                  </w:tcBorders>
                  <w:shd w:val="clear" w:color="auto" w:fill="auto"/>
                  <w:vAlign w:val="center"/>
                </w:tcPr>
                <w:p w14:paraId="2E9DA87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5"/>
                      <w:sz w:val="21"/>
                      <w:szCs w:val="21"/>
                    </w:rPr>
                    <w:t>颗粒物</w:t>
                  </w:r>
                  <w:r>
                    <w:rPr>
                      <w:rFonts w:ascii="Times New Roman" w:hAnsi="Times New Roman" w:eastAsia="Times New Roman" w:cs="Times New Roman"/>
                      <w:color w:val="auto"/>
                      <w:spacing w:val="5"/>
                      <w:sz w:val="21"/>
                      <w:szCs w:val="21"/>
                    </w:rPr>
                    <w:t>0.967</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5"/>
                      <w:sz w:val="21"/>
                      <w:szCs w:val="21"/>
                    </w:rPr>
                    <w:t>/t</w:t>
                  </w:r>
                  <w:r>
                    <w:rPr>
                      <w:color w:val="auto"/>
                      <w:spacing w:val="5"/>
                      <w:sz w:val="21"/>
                      <w:szCs w:val="21"/>
                    </w:rPr>
                    <w:t>产品</w:t>
                  </w:r>
                </w:p>
              </w:tc>
              <w:tc>
                <w:tcPr>
                  <w:tcW w:w="1443" w:type="dxa"/>
                  <w:tcBorders>
                    <w:tl2br w:val="nil"/>
                    <w:tr2bl w:val="nil"/>
                  </w:tcBorders>
                  <w:vAlign w:val="center"/>
                </w:tcPr>
                <w:p w14:paraId="656870A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0.967</w:t>
                  </w:r>
                </w:p>
              </w:tc>
            </w:tr>
            <w:tr w14:paraId="444DC96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vMerge w:val="continue"/>
                  <w:tcBorders>
                    <w:tl2br w:val="nil"/>
                    <w:tr2bl w:val="nil"/>
                  </w:tcBorders>
                  <w:vAlign w:val="center"/>
                </w:tcPr>
                <w:p w14:paraId="5B93E2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1222" w:type="dxa"/>
                  <w:vMerge w:val="continue"/>
                  <w:tcBorders>
                    <w:tl2br w:val="nil"/>
                    <w:tr2bl w:val="nil"/>
                  </w:tcBorders>
                  <w:vAlign w:val="center"/>
                </w:tcPr>
                <w:p w14:paraId="268D48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200" w:type="dxa"/>
                  <w:vMerge w:val="continue"/>
                  <w:tcBorders>
                    <w:tl2br w:val="nil"/>
                    <w:tr2bl w:val="nil"/>
                  </w:tcBorders>
                  <w:vAlign w:val="center"/>
                </w:tcPr>
                <w:p w14:paraId="0AA5CB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2987" w:type="dxa"/>
                  <w:tcBorders>
                    <w:tl2br w:val="nil"/>
                    <w:tr2bl w:val="nil"/>
                  </w:tcBorders>
                  <w:shd w:val="clear" w:color="auto" w:fill="auto"/>
                  <w:vAlign w:val="center"/>
                </w:tcPr>
                <w:p w14:paraId="3998E99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rFonts w:ascii="Times New Roman" w:hAnsi="Times New Roman" w:eastAsia="Times New Roman" w:cs="Times New Roman"/>
                      <w:color w:val="auto"/>
                      <w:sz w:val="21"/>
                      <w:szCs w:val="21"/>
                    </w:rPr>
                    <w:t>VOCs</w:t>
                  </w:r>
                  <w:r>
                    <w:rPr>
                      <w:rFonts w:ascii="Times New Roman" w:hAnsi="Times New Roman" w:eastAsia="Times New Roman" w:cs="Times New Roman"/>
                      <w:color w:val="auto"/>
                      <w:spacing w:val="7"/>
                      <w:sz w:val="21"/>
                      <w:szCs w:val="21"/>
                    </w:rPr>
                    <w:t>0.453</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7"/>
                      <w:sz w:val="21"/>
                      <w:szCs w:val="21"/>
                    </w:rPr>
                    <w:t>/t</w:t>
                  </w:r>
                  <w:r>
                    <w:rPr>
                      <w:color w:val="auto"/>
                      <w:spacing w:val="7"/>
                      <w:sz w:val="21"/>
                      <w:szCs w:val="21"/>
                    </w:rPr>
                    <w:t>产品</w:t>
                  </w:r>
                </w:p>
              </w:tc>
              <w:tc>
                <w:tcPr>
                  <w:tcW w:w="1443" w:type="dxa"/>
                  <w:tcBorders>
                    <w:tl2br w:val="nil"/>
                    <w:tr2bl w:val="nil"/>
                  </w:tcBorders>
                  <w:vAlign w:val="center"/>
                </w:tcPr>
                <w:p w14:paraId="0233413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0.453</w:t>
                  </w:r>
                </w:p>
              </w:tc>
            </w:tr>
            <w:tr w14:paraId="45D78CC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tcBorders>
                    <w:tl2br w:val="nil"/>
                    <w:tr2bl w:val="nil"/>
                  </w:tcBorders>
                  <w:vAlign w:val="center"/>
                </w:tcPr>
                <w:p w14:paraId="3D189CD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全厂</w:t>
                  </w:r>
                </w:p>
              </w:tc>
              <w:tc>
                <w:tcPr>
                  <w:tcW w:w="1222" w:type="dxa"/>
                  <w:tcBorders>
                    <w:tl2br w:val="nil"/>
                    <w:tr2bl w:val="nil"/>
                  </w:tcBorders>
                  <w:shd w:val="clear" w:color="auto" w:fill="auto"/>
                  <w:vAlign w:val="center"/>
                </w:tcPr>
                <w:p w14:paraId="68B29CA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color w:val="auto"/>
                      <w:spacing w:val="4"/>
                      <w:sz w:val="21"/>
                      <w:szCs w:val="21"/>
                    </w:rPr>
                    <w:t>4000</w:t>
                  </w:r>
                </w:p>
              </w:tc>
              <w:tc>
                <w:tcPr>
                  <w:tcW w:w="2200" w:type="dxa"/>
                  <w:tcBorders>
                    <w:tl2br w:val="nil"/>
                    <w:tr2bl w:val="nil"/>
                  </w:tcBorders>
                  <w:shd w:val="clear" w:color="auto" w:fill="auto"/>
                  <w:vAlign w:val="center"/>
                </w:tcPr>
                <w:p w14:paraId="1B9725F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4"/>
                      <w:sz w:val="21"/>
                      <w:szCs w:val="21"/>
                    </w:rPr>
                    <w:t>抛丸</w:t>
                  </w:r>
                </w:p>
              </w:tc>
              <w:tc>
                <w:tcPr>
                  <w:tcW w:w="2987" w:type="dxa"/>
                  <w:tcBorders>
                    <w:tl2br w:val="nil"/>
                    <w:tr2bl w:val="nil"/>
                  </w:tcBorders>
                  <w:shd w:val="clear" w:color="auto" w:fill="auto"/>
                  <w:vAlign w:val="center"/>
                </w:tcPr>
                <w:p w14:paraId="4351963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3"/>
                      <w:sz w:val="21"/>
                      <w:szCs w:val="21"/>
                    </w:rPr>
                    <w:t>颗粒物</w:t>
                  </w:r>
                  <w:r>
                    <w:rPr>
                      <w:rFonts w:ascii="Times New Roman" w:hAnsi="Times New Roman" w:eastAsia="Times New Roman" w:cs="Times New Roman"/>
                      <w:color w:val="auto"/>
                      <w:spacing w:val="3"/>
                      <w:sz w:val="21"/>
                      <w:szCs w:val="21"/>
                    </w:rPr>
                    <w:t>2.19</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3"/>
                      <w:sz w:val="21"/>
                      <w:szCs w:val="21"/>
                    </w:rPr>
                    <w:t>/t</w:t>
                  </w:r>
                  <w:r>
                    <w:rPr>
                      <w:color w:val="auto"/>
                      <w:spacing w:val="3"/>
                      <w:sz w:val="21"/>
                      <w:szCs w:val="21"/>
                    </w:rPr>
                    <w:t>产品</w:t>
                  </w:r>
                </w:p>
              </w:tc>
              <w:tc>
                <w:tcPr>
                  <w:tcW w:w="1443" w:type="dxa"/>
                  <w:tcBorders>
                    <w:tl2br w:val="nil"/>
                    <w:tr2bl w:val="nil"/>
                  </w:tcBorders>
                  <w:vAlign w:val="center"/>
                </w:tcPr>
                <w:p w14:paraId="15733FE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8.76</w:t>
                  </w:r>
                </w:p>
              </w:tc>
            </w:tr>
            <w:tr w14:paraId="791C903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tcBorders>
                    <w:tl2br w:val="nil"/>
                    <w:tr2bl w:val="nil"/>
                  </w:tcBorders>
                  <w:vAlign w:val="center"/>
                </w:tcPr>
                <w:p w14:paraId="2D644D0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color w:val="auto"/>
                      <w:spacing w:val="4"/>
                      <w:sz w:val="21"/>
                      <w:szCs w:val="21"/>
                    </w:rPr>
                    <w:t>焊接</w:t>
                  </w:r>
                </w:p>
              </w:tc>
              <w:tc>
                <w:tcPr>
                  <w:tcW w:w="1222" w:type="dxa"/>
                  <w:tcBorders>
                    <w:tl2br w:val="nil"/>
                    <w:tr2bl w:val="nil"/>
                  </w:tcBorders>
                  <w:shd w:val="clear" w:color="auto" w:fill="auto"/>
                  <w:vAlign w:val="center"/>
                </w:tcPr>
                <w:p w14:paraId="5310068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pacing w:val="2"/>
                      <w:sz w:val="21"/>
                      <w:szCs w:val="21"/>
                      <w:lang w:val="en-US" w:eastAsia="zh-CN"/>
                    </w:rPr>
                    <w:t>0.01</w:t>
                  </w:r>
                </w:p>
              </w:tc>
              <w:tc>
                <w:tcPr>
                  <w:tcW w:w="2200" w:type="dxa"/>
                  <w:tcBorders>
                    <w:tl2br w:val="nil"/>
                    <w:tr2bl w:val="nil"/>
                  </w:tcBorders>
                  <w:shd w:val="clear" w:color="auto" w:fill="auto"/>
                  <w:vAlign w:val="center"/>
                </w:tcPr>
                <w:p w14:paraId="55D7540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7"/>
                      <w:sz w:val="21"/>
                      <w:szCs w:val="21"/>
                    </w:rPr>
                    <w:t>焊接</w:t>
                  </w:r>
                </w:p>
              </w:tc>
              <w:tc>
                <w:tcPr>
                  <w:tcW w:w="2987" w:type="dxa"/>
                  <w:tcBorders>
                    <w:tl2br w:val="nil"/>
                    <w:tr2bl w:val="nil"/>
                  </w:tcBorders>
                  <w:shd w:val="clear" w:color="auto" w:fill="auto"/>
                  <w:vAlign w:val="center"/>
                </w:tcPr>
                <w:p w14:paraId="0C29E4D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lang w:val="en-US" w:eastAsia="en-US" w:bidi="ar-SA"/>
                    </w:rPr>
                  </w:pPr>
                  <w:r>
                    <w:rPr>
                      <w:color w:val="auto"/>
                      <w:spacing w:val="4"/>
                      <w:sz w:val="21"/>
                      <w:szCs w:val="21"/>
                    </w:rPr>
                    <w:t>颗粒物</w:t>
                  </w:r>
                  <w:r>
                    <w:rPr>
                      <w:rFonts w:ascii="Times New Roman" w:hAnsi="Times New Roman" w:eastAsia="Times New Roman" w:cs="Times New Roman"/>
                      <w:color w:val="auto"/>
                      <w:spacing w:val="4"/>
                      <w:sz w:val="21"/>
                      <w:szCs w:val="21"/>
                    </w:rPr>
                    <w:t>20.</w:t>
                  </w:r>
                  <w:r>
                    <w:rPr>
                      <w:rFonts w:hint="eastAsia" w:ascii="Times New Roman" w:hAnsi="Times New Roman" w:eastAsia="宋体" w:cs="Times New Roman"/>
                      <w:color w:val="auto"/>
                      <w:spacing w:val="4"/>
                      <w:sz w:val="21"/>
                      <w:szCs w:val="21"/>
                      <w:lang w:val="en-US" w:eastAsia="zh-CN"/>
                    </w:rPr>
                    <w:t>2</w:t>
                  </w:r>
                  <w:r>
                    <w:rPr>
                      <w:rFonts w:ascii="Times New Roman" w:hAnsi="Times New Roman" w:eastAsia="Times New Roman" w:cs="Times New Roman"/>
                      <w:color w:val="auto"/>
                      <w:sz w:val="21"/>
                      <w:szCs w:val="21"/>
                    </w:rPr>
                    <w:t>kg</w:t>
                  </w:r>
                  <w:r>
                    <w:rPr>
                      <w:rFonts w:ascii="Times New Roman" w:hAnsi="Times New Roman" w:eastAsia="Times New Roman" w:cs="Times New Roman"/>
                      <w:color w:val="auto"/>
                      <w:spacing w:val="4"/>
                      <w:sz w:val="21"/>
                      <w:szCs w:val="21"/>
                    </w:rPr>
                    <w:t>/t</w:t>
                  </w:r>
                  <w:r>
                    <w:rPr>
                      <w:color w:val="auto"/>
                      <w:spacing w:val="4"/>
                      <w:sz w:val="21"/>
                      <w:szCs w:val="21"/>
                    </w:rPr>
                    <w:t>原料</w:t>
                  </w:r>
                </w:p>
              </w:tc>
              <w:tc>
                <w:tcPr>
                  <w:tcW w:w="1443" w:type="dxa"/>
                  <w:tcBorders>
                    <w:tl2br w:val="nil"/>
                    <w:tr2bl w:val="nil"/>
                  </w:tcBorders>
                  <w:vAlign w:val="center"/>
                </w:tcPr>
                <w:p w14:paraId="6697B1F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0.000202</w:t>
                  </w:r>
                </w:p>
              </w:tc>
            </w:tr>
            <w:tr w14:paraId="430BC30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1219" w:type="dxa"/>
                  <w:tcBorders>
                    <w:tl2br w:val="nil"/>
                    <w:tr2bl w:val="nil"/>
                  </w:tcBorders>
                  <w:vAlign w:val="center"/>
                </w:tcPr>
                <w:p w14:paraId="06854E7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color w:val="auto"/>
                      <w:sz w:val="21"/>
                      <w:szCs w:val="21"/>
                    </w:rPr>
                  </w:pPr>
                  <w:r>
                    <w:rPr>
                      <w:rFonts w:hint="eastAsia"/>
                      <w:color w:val="auto"/>
                      <w:spacing w:val="3"/>
                      <w:sz w:val="21"/>
                      <w:szCs w:val="21"/>
                    </w:rPr>
                    <w:t>去冒口</w:t>
                  </w:r>
                </w:p>
              </w:tc>
              <w:tc>
                <w:tcPr>
                  <w:tcW w:w="1222" w:type="dxa"/>
                  <w:tcBorders>
                    <w:tl2br w:val="nil"/>
                    <w:tr2bl w:val="nil"/>
                  </w:tcBorders>
                  <w:shd w:val="clear" w:color="auto" w:fill="auto"/>
                  <w:vAlign w:val="center"/>
                </w:tcPr>
                <w:p w14:paraId="56C2D35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pacing w:val="-3"/>
                      <w:sz w:val="21"/>
                      <w:szCs w:val="21"/>
                      <w:highlight w:val="none"/>
                      <w:lang w:val="en-US" w:eastAsia="zh-CN"/>
                    </w:rPr>
                    <w:t>4000</w:t>
                  </w:r>
                </w:p>
              </w:tc>
              <w:tc>
                <w:tcPr>
                  <w:tcW w:w="2200" w:type="dxa"/>
                  <w:tcBorders>
                    <w:tl2br w:val="nil"/>
                    <w:tr2bl w:val="nil"/>
                  </w:tcBorders>
                  <w:shd w:val="clear" w:color="auto" w:fill="auto"/>
                  <w:vAlign w:val="center"/>
                </w:tcPr>
                <w:p w14:paraId="322FEFE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highlight w:val="none"/>
                      <w:lang w:val="en-US" w:eastAsia="en-US" w:bidi="ar-SA"/>
                    </w:rPr>
                  </w:pPr>
                  <w:r>
                    <w:rPr>
                      <w:rFonts w:hint="eastAsia"/>
                      <w:color w:val="auto"/>
                      <w:spacing w:val="3"/>
                      <w:sz w:val="21"/>
                      <w:szCs w:val="21"/>
                      <w:highlight w:val="none"/>
                    </w:rPr>
                    <w:t>切割</w:t>
                  </w:r>
                </w:p>
              </w:tc>
              <w:tc>
                <w:tcPr>
                  <w:tcW w:w="2987" w:type="dxa"/>
                  <w:tcBorders>
                    <w:tl2br w:val="nil"/>
                    <w:tr2bl w:val="nil"/>
                  </w:tcBorders>
                  <w:shd w:val="clear" w:color="auto" w:fill="auto"/>
                  <w:vAlign w:val="center"/>
                </w:tcPr>
                <w:p w14:paraId="7B0112E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宋体" w:hAnsi="宋体" w:eastAsia="宋体" w:cs="宋体"/>
                      <w:snapToGrid w:val="0"/>
                      <w:color w:val="auto"/>
                      <w:kern w:val="0"/>
                      <w:sz w:val="21"/>
                      <w:szCs w:val="21"/>
                      <w:highlight w:val="none"/>
                      <w:lang w:val="en-US" w:eastAsia="en-US" w:bidi="ar-SA"/>
                    </w:rPr>
                  </w:pPr>
                  <w:r>
                    <w:rPr>
                      <w:color w:val="auto"/>
                      <w:spacing w:val="2"/>
                      <w:sz w:val="21"/>
                      <w:szCs w:val="21"/>
                      <w:highlight w:val="none"/>
                    </w:rPr>
                    <w:t>颗粒物</w:t>
                  </w:r>
                  <w:r>
                    <w:rPr>
                      <w:rFonts w:hint="eastAsia" w:ascii="Times New Roman" w:hAnsi="Times New Roman" w:eastAsia="Times New Roman" w:cs="Times New Roman"/>
                      <w:color w:val="auto"/>
                      <w:spacing w:val="2"/>
                      <w:sz w:val="21"/>
                      <w:szCs w:val="21"/>
                      <w:highlight w:val="none"/>
                    </w:rPr>
                    <w:t>5.30kg/t-原料</w:t>
                  </w:r>
                </w:p>
              </w:tc>
              <w:tc>
                <w:tcPr>
                  <w:tcW w:w="1443" w:type="dxa"/>
                  <w:tcBorders>
                    <w:tl2br w:val="nil"/>
                    <w:tr2bl w:val="nil"/>
                  </w:tcBorders>
                  <w:vAlign w:val="center"/>
                </w:tcPr>
                <w:p w14:paraId="395680F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val="en-US" w:eastAsia="zh-CN"/>
                    </w:rPr>
                    <w:t>0.212</w:t>
                  </w:r>
                </w:p>
              </w:tc>
            </w:tr>
          </w:tbl>
          <w:p w14:paraId="0B16860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lang w:val="en-US" w:eastAsia="zh-CN"/>
              </w:rPr>
              <w:t>2</w:t>
            </w:r>
            <w:r>
              <w:rPr>
                <w:rFonts w:hint="default" w:ascii="Times New Roman" w:hAnsi="Times New Roman" w:cs="Times New Roman"/>
                <w:color w:val="auto"/>
              </w:rPr>
              <w:t>、源强核算过程</w:t>
            </w:r>
          </w:p>
          <w:p w14:paraId="45BA8C9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（1）项目</w:t>
            </w:r>
            <w:r>
              <w:rPr>
                <w:rFonts w:hint="eastAsia" w:ascii="Times New Roman" w:hAnsi="Times New Roman" w:cs="Times New Roman"/>
                <w:color w:val="auto"/>
                <w:lang w:val="en-US" w:eastAsia="zh-CN"/>
              </w:rPr>
              <w:t>有组织</w:t>
            </w:r>
            <w:r>
              <w:rPr>
                <w:rFonts w:hint="default" w:ascii="Times New Roman" w:hAnsi="Times New Roman" w:cs="Times New Roman"/>
                <w:color w:val="auto"/>
              </w:rPr>
              <w:t>废气产生量核算</w:t>
            </w:r>
          </w:p>
          <w:p w14:paraId="5B226C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项目生铁原料用量为4015t/a，两台电炉及对应浇注工序废气分别连接至排气筒DA001、DA002，则每台电炉及浇注工序年产品产量为2000吨。</w:t>
            </w:r>
          </w:p>
          <w:p w14:paraId="4ADD80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1）DA001排气筒废气核算：</w:t>
            </w:r>
          </w:p>
          <w:p w14:paraId="7C2538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w:t>
            </w:r>
            <w:r>
              <w:rPr>
                <w:rFonts w:hint="eastAsia" w:ascii="Times New Roman" w:hAnsi="Times New Roman" w:cs="Times New Roman"/>
                <w:color w:val="auto"/>
                <w:lang w:val="en-US" w:eastAsia="zh-CN"/>
              </w:rPr>
              <w:t>电炉熔化过程产生的颗粒物：</w:t>
            </w:r>
          </w:p>
          <w:p w14:paraId="3C1836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b w:val="0"/>
                <w:bCs w:val="0"/>
                <w:color w:val="auto"/>
                <w:sz w:val="24"/>
                <w:highlight w:val="none"/>
                <w:lang w:val="en-US" w:eastAsia="zh-CN"/>
              </w:rPr>
              <w:t>熔化</w:t>
            </w:r>
            <w:r>
              <w:rPr>
                <w:rFonts w:hint="default" w:ascii="Times New Roman" w:hAnsi="Times New Roman" w:eastAsia="宋体" w:cs="Times New Roman"/>
                <w:b w:val="0"/>
                <w:bCs w:val="0"/>
                <w:color w:val="auto"/>
                <w:sz w:val="24"/>
                <w:highlight w:val="none"/>
                <w:lang w:val="en-US" w:eastAsia="zh-CN"/>
              </w:rPr>
              <w:t>粉尘产生系数参考《排放源统计调查产排污核算方法和系数手册》</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铸造-铸件-熔炼工艺核算</w:t>
            </w:r>
            <w:r>
              <w:rPr>
                <w:rFonts w:hint="default" w:ascii="Times New Roman" w:hAnsi="Times New Roman" w:eastAsia="宋体" w:cs="Times New Roman"/>
                <w:b w:val="0"/>
                <w:bCs w:val="0"/>
                <w:color w:val="auto"/>
                <w:sz w:val="24"/>
                <w:highlight w:val="none"/>
                <w:lang w:val="en-US" w:eastAsia="zh-CN"/>
              </w:rPr>
              <w:t>环节中颗粒物产生系数</w:t>
            </w:r>
            <w:r>
              <w:rPr>
                <w:rFonts w:hint="eastAsia" w:ascii="Times New Roman" w:hAnsi="Times New Roman" w:cs="Times New Roman"/>
                <w:b w:val="0"/>
                <w:bCs w:val="0"/>
                <w:color w:val="auto"/>
                <w:sz w:val="24"/>
                <w:highlight w:val="none"/>
                <w:lang w:val="en-US" w:eastAsia="zh-CN"/>
              </w:rPr>
              <w:t>0.479</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产品。每台</w:t>
            </w:r>
            <w:r>
              <w:rPr>
                <w:rFonts w:hint="eastAsia" w:ascii="Times New Roman" w:hAnsi="Times New Roman" w:cs="Times New Roman"/>
                <w:color w:val="auto"/>
                <w:lang w:val="en-US" w:eastAsia="zh-CN"/>
              </w:rPr>
              <w:t>电炉熔化过程颗粒物产生量为0.958t/a，电炉</w:t>
            </w:r>
            <w:r>
              <w:rPr>
                <w:rFonts w:hint="eastAsia" w:ascii="Times New Roman" w:hAnsi="Times New Roman" w:eastAsia="宋体" w:cs="Times New Roman"/>
                <w:b w:val="0"/>
                <w:bCs w:val="0"/>
                <w:color w:val="auto"/>
                <w:sz w:val="24"/>
                <w:highlight w:val="none"/>
                <w:lang w:val="en-US" w:eastAsia="zh-CN"/>
              </w:rPr>
              <w:t>为封闭式，</w:t>
            </w:r>
            <w:r>
              <w:rPr>
                <w:rFonts w:hint="default" w:ascii="Times New Roman" w:hAnsi="Times New Roman" w:eastAsia="宋体" w:cs="Times New Roman"/>
                <w:b w:val="0"/>
                <w:bCs w:val="0"/>
                <w:color w:val="auto"/>
                <w:kern w:val="2"/>
                <w:sz w:val="24"/>
                <w:szCs w:val="24"/>
                <w:highlight w:val="none"/>
                <w:lang w:val="en-US" w:eastAsia="zh-CN" w:bidi="ar-SA"/>
              </w:rPr>
              <w:t>配套负压收集管道（收集效率97%）</w:t>
            </w:r>
            <w:r>
              <w:rPr>
                <w:rFonts w:hint="eastAsia" w:ascii="Times New Roman" w:hAnsi="Times New Roman" w:cs="Times New Roman"/>
                <w:color w:val="auto"/>
                <w:lang w:val="en-US" w:eastAsia="zh-CN"/>
              </w:rPr>
              <w:t>，布袋除尘器处理效率为99%</w:t>
            </w:r>
            <w:r>
              <w:rPr>
                <w:rFonts w:hint="eastAsia" w:ascii="Times New Roman" w:hAnsi="Times New Roman" w:cs="Times New Roman"/>
                <w:color w:val="auto"/>
                <w:highlight w:val="none"/>
                <w:lang w:val="en-US" w:eastAsia="zh-CN"/>
              </w:rPr>
              <w:t>，风机风量为5000m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/h，</w:t>
            </w:r>
            <w:r>
              <w:rPr>
                <w:rFonts w:hint="eastAsia" w:ascii="Times New Roman" w:hAnsi="Times New Roman" w:cs="Times New Roman"/>
                <w:color w:val="auto"/>
                <w:lang w:val="en-US" w:eastAsia="zh-CN"/>
              </w:rPr>
              <w:t>年工作时间为2400h，则有组织颗粒物排放量为0.0093t/a，无组织颗粒物产生量为0.0287t/a。</w:t>
            </w:r>
          </w:p>
          <w:p w14:paraId="4B090C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w:t>
            </w:r>
            <w:r>
              <w:rPr>
                <w:rFonts w:hint="eastAsia" w:ascii="Times New Roman" w:hAnsi="Times New Roman" w:cs="Times New Roman"/>
                <w:color w:val="auto"/>
                <w:lang w:val="en-US" w:eastAsia="zh-CN"/>
              </w:rPr>
              <w:t>浇注过程产生的</w:t>
            </w:r>
            <w:r>
              <w:rPr>
                <w:rFonts w:hint="default" w:ascii="Times New Roman" w:hAnsi="Times New Roman" w:cs="Times New Roman"/>
                <w:color w:val="auto"/>
                <w:spacing w:val="-3"/>
              </w:rPr>
              <w:t>颗粒物、VOCs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苯乙烯、臭气浓度、甲醛、酚类</w:t>
            </w:r>
            <w:r>
              <w:rPr>
                <w:rFonts w:hint="eastAsia" w:ascii="Times New Roman" w:hAnsi="Times New Roman" w:cs="Times New Roman"/>
                <w:color w:val="auto"/>
                <w:lang w:val="en-US" w:eastAsia="zh-CN"/>
              </w:rPr>
              <w:t>：</w:t>
            </w:r>
          </w:p>
          <w:p w14:paraId="39F1E4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粘土砂</w:t>
            </w:r>
            <w:r>
              <w:rPr>
                <w:rFonts w:hint="eastAsia" w:ascii="Times New Roman" w:hAnsi="Times New Roman" w:cs="Times New Roman"/>
                <w:b w:val="0"/>
                <w:bCs w:val="0"/>
                <w:color w:val="auto"/>
                <w:sz w:val="24"/>
                <w:highlight w:val="none"/>
                <w:lang w:val="en-US" w:eastAsia="zh-CN"/>
              </w:rPr>
              <w:t>铸造工艺</w:t>
            </w:r>
            <w:r>
              <w:rPr>
                <w:rFonts w:hint="eastAsia" w:ascii="Times New Roman" w:hAnsi="Times New Roman" w:cs="Times New Roman"/>
                <w:color w:val="auto"/>
                <w:lang w:val="en-US" w:eastAsia="zh-CN"/>
              </w:rPr>
              <w:t>技改后</w:t>
            </w:r>
            <w:r>
              <w:rPr>
                <w:rFonts w:hint="default" w:ascii="Times New Roman" w:hAnsi="Times New Roman" w:cs="Times New Roman"/>
                <w:b w:val="0"/>
                <w:bCs/>
                <w:color w:val="auto"/>
                <w:sz w:val="24"/>
                <w:szCs w:val="24"/>
                <w:highlight w:val="none"/>
                <w:lang w:val="en-US" w:eastAsia="zh-CN"/>
              </w:rPr>
              <w:t>产</w:t>
            </w:r>
            <w:r>
              <w:rPr>
                <w:rFonts w:hint="eastAsia" w:ascii="Times New Roman" w:hAnsi="Times New Roman" w:cs="Times New Roman"/>
                <w:color w:val="auto"/>
                <w:lang w:val="en-US" w:eastAsia="zh-CN"/>
              </w:rPr>
              <w:t>能为800t/a，浇注废气</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铸造-铸件-造型/浇注（</w:t>
            </w:r>
            <w:r>
              <w:rPr>
                <w:rFonts w:hint="eastAsia" w:ascii="Times New Roman" w:hAnsi="Times New Roman" w:cs="Times New Roman"/>
                <w:color w:val="auto"/>
                <w:lang w:val="en-US" w:eastAsia="zh-CN"/>
              </w:rPr>
              <w:t>粘土砂</w:t>
            </w:r>
            <w:r>
              <w:rPr>
                <w:rFonts w:hint="eastAsia" w:ascii="Times New Roman" w:hAnsi="Times New Roman" w:cs="Times New Roman"/>
                <w:b w:val="0"/>
                <w:bCs w:val="0"/>
                <w:color w:val="auto"/>
                <w:sz w:val="24"/>
                <w:highlight w:val="none"/>
                <w:lang w:val="en-US" w:eastAsia="zh-CN"/>
              </w:rPr>
              <w:t>）工艺核算</w:t>
            </w:r>
            <w:r>
              <w:rPr>
                <w:rFonts w:hint="default" w:ascii="Times New Roman" w:hAnsi="Times New Roman" w:eastAsia="宋体" w:cs="Times New Roman"/>
                <w:b w:val="0"/>
                <w:bCs w:val="0"/>
                <w:color w:val="auto"/>
                <w:sz w:val="24"/>
                <w:highlight w:val="none"/>
                <w:lang w:val="en-US" w:eastAsia="zh-CN"/>
              </w:rPr>
              <w:t>环节中颗粒物产生系数</w:t>
            </w:r>
            <w:r>
              <w:rPr>
                <w:rFonts w:hint="eastAsia" w:ascii="Times New Roman" w:hAnsi="Times New Roman" w:cs="Times New Roman"/>
                <w:b w:val="0"/>
                <w:bCs w:val="0"/>
                <w:color w:val="auto"/>
                <w:sz w:val="24"/>
                <w:highlight w:val="none"/>
                <w:lang w:val="en-US" w:eastAsia="zh-CN"/>
              </w:rPr>
              <w:t>1.97</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产品。则每台</w:t>
            </w:r>
            <w:r>
              <w:rPr>
                <w:rFonts w:hint="eastAsia" w:ascii="Times New Roman" w:hAnsi="Times New Roman" w:cs="Times New Roman"/>
                <w:color w:val="auto"/>
                <w:highlight w:val="none"/>
                <w:lang w:val="en-US" w:eastAsia="zh-CN"/>
              </w:rPr>
              <w:t>电炉浇注过程颗粒物产生量为0.788t/a。集气罩收集效率为97%，布袋除尘器处理效率为99%，则颗粒物有组织排放量为0.0076t/a，颗粒物无组织排放量为0.0236t/a。</w:t>
            </w:r>
          </w:p>
          <w:p w14:paraId="20BD5D80">
            <w:pPr>
              <w:keepNext w:val="0"/>
              <w:keepLines w:val="0"/>
              <w:widowControl/>
              <w:suppressLineNumbers w:val="0"/>
              <w:ind w:firstLine="480" w:firstLineChars="200"/>
              <w:jc w:val="left"/>
              <w:rPr>
                <w:rFonts w:hint="eastAsia" w:ascii="Times New Roman" w:hAnsi="Times New Roman" w:cs="Times New Roman"/>
                <w:color w:val="auto"/>
                <w:highlight w:val="none"/>
                <w:lang w:val="en-US" w:eastAsia="zh-CN"/>
              </w:rPr>
            </w:pPr>
            <w:r>
              <w:rPr>
                <w:rFonts w:hint="eastAsia"/>
                <w:color w:val="auto"/>
                <w:lang w:val="en-US" w:eastAsia="zh-CN"/>
              </w:rPr>
              <w:t>覆膜砂</w:t>
            </w:r>
            <w:r>
              <w:rPr>
                <w:rFonts w:hint="eastAsia" w:ascii="Times New Roman" w:hAnsi="Times New Roman" w:cs="Times New Roman"/>
                <w:b w:val="0"/>
                <w:bCs w:val="0"/>
                <w:color w:val="auto"/>
                <w:sz w:val="24"/>
                <w:highlight w:val="none"/>
                <w:lang w:val="en-US" w:eastAsia="zh-CN"/>
              </w:rPr>
              <w:t>铸造工艺</w:t>
            </w:r>
            <w:r>
              <w:rPr>
                <w:rFonts w:hint="eastAsia" w:ascii="Times New Roman" w:hAnsi="Times New Roman" w:cs="Times New Roman"/>
                <w:color w:val="auto"/>
                <w:lang w:val="en-US" w:eastAsia="zh-CN"/>
              </w:rPr>
              <w:t>技改后</w:t>
            </w:r>
            <w:r>
              <w:rPr>
                <w:rFonts w:hint="default" w:ascii="Times New Roman" w:hAnsi="Times New Roman" w:cs="Times New Roman"/>
                <w:b w:val="0"/>
                <w:bCs/>
                <w:color w:val="auto"/>
                <w:sz w:val="24"/>
                <w:szCs w:val="24"/>
                <w:highlight w:val="none"/>
                <w:lang w:val="en-US" w:eastAsia="zh-CN"/>
              </w:rPr>
              <w:t>产</w:t>
            </w:r>
            <w:r>
              <w:rPr>
                <w:rFonts w:hint="eastAsia" w:ascii="Times New Roman" w:hAnsi="Times New Roman" w:cs="Times New Roman"/>
                <w:color w:val="auto"/>
                <w:lang w:val="en-US" w:eastAsia="zh-CN"/>
              </w:rPr>
              <w:t>能为2200t/a，浇注废气</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铸造-铸件-造型/浇注(壳型)工艺核算</w:t>
            </w:r>
            <w:r>
              <w:rPr>
                <w:rFonts w:hint="default" w:ascii="Times New Roman" w:hAnsi="Times New Roman" w:eastAsia="宋体" w:cs="Times New Roman"/>
                <w:b w:val="0"/>
                <w:bCs w:val="0"/>
                <w:color w:val="auto"/>
                <w:sz w:val="24"/>
                <w:highlight w:val="none"/>
                <w:lang w:val="en-US" w:eastAsia="zh-CN"/>
              </w:rPr>
              <w:t>环节中颗粒物产生系数</w:t>
            </w:r>
            <w:r>
              <w:rPr>
                <w:rFonts w:hint="eastAsia" w:ascii="Times New Roman" w:hAnsi="Times New Roman" w:cs="Times New Roman"/>
                <w:b w:val="0"/>
                <w:bCs w:val="0"/>
                <w:color w:val="auto"/>
                <w:sz w:val="24"/>
                <w:highlight w:val="none"/>
                <w:lang w:val="en-US" w:eastAsia="zh-CN"/>
              </w:rPr>
              <w:t>0.367</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产品、VOCs</w:t>
            </w:r>
            <w:r>
              <w:rPr>
                <w:rFonts w:hint="default" w:ascii="Times New Roman" w:hAnsi="Times New Roman" w:eastAsia="宋体" w:cs="Times New Roman"/>
                <w:b w:val="0"/>
                <w:bCs w:val="0"/>
                <w:color w:val="auto"/>
                <w:sz w:val="24"/>
                <w:highlight w:val="none"/>
                <w:lang w:val="en-US" w:eastAsia="zh-CN"/>
              </w:rPr>
              <w:t>产生系数</w:t>
            </w:r>
            <w:r>
              <w:rPr>
                <w:rFonts w:hint="eastAsia" w:ascii="Times New Roman" w:hAnsi="Times New Roman" w:cs="Times New Roman"/>
                <w:b w:val="0"/>
                <w:bCs w:val="0"/>
                <w:color w:val="auto"/>
                <w:sz w:val="24"/>
                <w:highlight w:val="none"/>
                <w:lang w:val="en-US" w:eastAsia="zh-CN"/>
              </w:rPr>
              <w:t>0.25</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产品。则每台</w:t>
            </w:r>
            <w:r>
              <w:rPr>
                <w:rFonts w:hint="eastAsia" w:ascii="Times New Roman" w:hAnsi="Times New Roman" w:cs="Times New Roman"/>
                <w:color w:val="auto"/>
                <w:highlight w:val="none"/>
                <w:lang w:val="en-US" w:eastAsia="zh-CN"/>
              </w:rPr>
              <w:t>电炉浇注过程颗粒物产生量为0.404t/a，</w:t>
            </w:r>
            <w:r>
              <w:rPr>
                <w:rFonts w:hint="eastAsia" w:ascii="Times New Roman" w:hAnsi="Times New Roman" w:cs="Times New Roman"/>
                <w:b w:val="0"/>
                <w:bCs w:val="0"/>
                <w:color w:val="auto"/>
                <w:sz w:val="24"/>
                <w:highlight w:val="none"/>
                <w:lang w:val="en-US" w:eastAsia="zh-CN"/>
              </w:rPr>
              <w:t>VOCs</w:t>
            </w:r>
            <w:r>
              <w:rPr>
                <w:rFonts w:hint="default" w:ascii="Times New Roman" w:hAnsi="Times New Roman" w:eastAsia="宋体" w:cs="Times New Roman"/>
                <w:b w:val="0"/>
                <w:bCs w:val="0"/>
                <w:color w:val="auto"/>
                <w:sz w:val="24"/>
                <w:highlight w:val="none"/>
                <w:lang w:val="en-US" w:eastAsia="zh-CN"/>
              </w:rPr>
              <w:t>产生</w:t>
            </w:r>
            <w:r>
              <w:rPr>
                <w:rFonts w:hint="eastAsia" w:ascii="Times New Roman" w:hAnsi="Times New Roman" w:cs="Times New Roman"/>
                <w:color w:val="auto"/>
                <w:highlight w:val="none"/>
                <w:lang w:val="en-US" w:eastAsia="zh-CN"/>
              </w:rPr>
              <w:t>量为0.275t/a。</w:t>
            </w:r>
            <w:r>
              <w:rPr>
                <w:rFonts w:hint="eastAsia" w:ascii="Times New Roman" w:hAnsi="Times New Roman" w:eastAsia="宋体" w:cs="Times New Roman"/>
                <w:b w:val="0"/>
                <w:bCs w:val="0"/>
                <w:color w:val="auto"/>
                <w:sz w:val="24"/>
                <w:highlight w:val="none"/>
                <w:lang w:val="en-US" w:eastAsia="zh-CN"/>
              </w:rPr>
              <w:t>集气罩收集效率为97%，布袋除尘器处理效率为99%，</w:t>
            </w:r>
            <w:r>
              <w:rPr>
                <w:rFonts w:hint="eastAsia" w:ascii="Times New Roman" w:hAnsi="Times New Roman" w:cs="Times New Roman"/>
                <w:color w:val="auto"/>
                <w:lang w:val="en-US" w:eastAsia="zh-CN"/>
              </w:rPr>
              <w:t>二级活性炭吸附装置处理效率为80%，</w:t>
            </w:r>
            <w:r>
              <w:rPr>
                <w:rFonts w:hint="eastAsia" w:ascii="Times New Roman" w:hAnsi="Times New Roman" w:eastAsia="宋体" w:cs="Times New Roman"/>
                <w:b w:val="0"/>
                <w:bCs w:val="0"/>
                <w:color w:val="auto"/>
                <w:sz w:val="24"/>
                <w:highlight w:val="none"/>
                <w:lang w:val="en-US" w:eastAsia="zh-CN"/>
              </w:rPr>
              <w:t>则颗粒物有组织排放量为</w:t>
            </w:r>
            <w:r>
              <w:rPr>
                <w:rFonts w:hint="eastAsia" w:ascii="Times New Roman" w:hAnsi="Times New Roman" w:cs="Times New Roman"/>
                <w:color w:val="auto"/>
                <w:highlight w:val="none"/>
                <w:lang w:val="en-US" w:eastAsia="zh-CN"/>
              </w:rPr>
              <w:t>0.00392t/a，颗粒物无组织排放量为0.0121t/a；</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highlight w:val="none"/>
                <w:lang w:val="en-US" w:eastAsia="zh-CN"/>
              </w:rPr>
              <w:t>有组织排放量为0.0534</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eastAsia="宋体" w:cs="Times New Roman"/>
                <w:b w:val="0"/>
                <w:bCs w:val="0"/>
                <w:color w:val="auto"/>
                <w:sz w:val="24"/>
                <w:highlight w:val="none"/>
                <w:lang w:val="en-US" w:eastAsia="zh-CN"/>
              </w:rPr>
              <w:t>无组织</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0.00825</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color w:val="auto"/>
                <w:highlight w:val="none"/>
                <w:lang w:val="en-US" w:eastAsia="zh-CN"/>
              </w:rPr>
              <w:t>。</w:t>
            </w:r>
          </w:p>
          <w:p w14:paraId="55784E2F">
            <w:pPr>
              <w:keepNext w:val="0"/>
              <w:keepLines w:val="0"/>
              <w:pageBreakBefore w:val="0"/>
              <w:widowControl/>
              <w:suppressLineNumbers w:val="0"/>
              <w:kinsoku/>
              <w:wordWrap/>
              <w:overflowPunct/>
              <w:topLinePunct w:val="0"/>
              <w:autoSpaceDE w:val="0"/>
              <w:autoSpaceDN w:val="0"/>
              <w:bidi w:val="0"/>
              <w:adjustRightInd w:val="0"/>
              <w:snapToGrid w:val="0"/>
              <w:ind w:firstLine="480" w:firstLineChars="200"/>
              <w:jc w:val="both"/>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覆膜砂产生的酚类、甲醛污染物无相关行业产污系数来源，参照淄博博山金田水泵制造有限公司年产5000吨水泵配件技改项目（该项目年生产覆膜砂、树脂砂铸件约1300t，审批文号为博环审字[2017]2061号，2018年1月13日通过自主验收，该项目铸造工艺、原料及产品与本项目基本一致，覆膜砂甲醛、酚类均来自原料砂中的酚醛树脂，产生量视为一致），该项目例行监测数据中，甲醛排放量约为0.033t/a、酚类0.006t/a，本项目年生产覆膜砂铸件2200t，则污染物排放量为甲醛0.056t/a、酚类0.01t/a，废气收集效率按照9</w:t>
            </w:r>
            <w:r>
              <w:rPr>
                <w:rFonts w:hint="eastAsia" w:ascii="Times New Roman" w:hAnsi="Times New Roman" w:cs="Times New Roman"/>
                <w:color w:val="auto"/>
                <w:lang w:val="en-US" w:eastAsia="zh-CN"/>
              </w:rPr>
              <w:t>7</w:t>
            </w:r>
            <w:r>
              <w:rPr>
                <w:rFonts w:hint="default" w:ascii="Times New Roman" w:hAnsi="Times New Roman" w:cs="Times New Roman"/>
                <w:color w:val="auto"/>
                <w:lang w:val="en-US" w:eastAsia="zh-CN"/>
              </w:rPr>
              <w:t>%计，二级活性炭装置处理有机废气效率约为80%，则</w:t>
            </w:r>
            <w:r>
              <w:rPr>
                <w:rFonts w:hint="eastAsia"/>
                <w:color w:val="auto"/>
                <w:lang w:val="en-US" w:eastAsia="zh-CN"/>
              </w:rPr>
              <w:t>覆膜砂</w:t>
            </w:r>
            <w:r>
              <w:rPr>
                <w:rFonts w:hint="eastAsia" w:ascii="Times New Roman" w:hAnsi="Times New Roman" w:cs="Times New Roman"/>
                <w:b w:val="0"/>
                <w:bCs w:val="0"/>
                <w:color w:val="auto"/>
                <w:sz w:val="24"/>
                <w:highlight w:val="none"/>
                <w:lang w:val="en-US" w:eastAsia="zh-CN"/>
              </w:rPr>
              <w:t>铸造工艺</w:t>
            </w:r>
            <w:r>
              <w:rPr>
                <w:rFonts w:hint="default" w:ascii="Times New Roman" w:hAnsi="Times New Roman" w:cs="Times New Roman"/>
                <w:color w:val="auto"/>
                <w:lang w:val="en-US" w:eastAsia="zh-CN"/>
              </w:rPr>
              <w:t>甲醛及酚类产生量为甲醛0.</w:t>
            </w:r>
            <w:r>
              <w:rPr>
                <w:rFonts w:hint="eastAsia" w:ascii="Times New Roman" w:hAnsi="Times New Roman" w:cs="Times New Roman"/>
                <w:color w:val="auto"/>
                <w:lang w:val="en-US" w:eastAsia="zh-CN"/>
              </w:rPr>
              <w:t>289</w:t>
            </w:r>
            <w:r>
              <w:rPr>
                <w:rFonts w:hint="default" w:ascii="Times New Roman" w:hAnsi="Times New Roman" w:cs="Times New Roman"/>
                <w:color w:val="auto"/>
                <w:lang w:val="en-US" w:eastAsia="zh-CN"/>
              </w:rPr>
              <w:t>t/a、酚类 0.05</w:t>
            </w: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t/a。</w:t>
            </w:r>
            <w:r>
              <w:rPr>
                <w:rFonts w:hint="eastAsia" w:ascii="Times New Roman" w:hAnsi="Times New Roman" w:cs="Times New Roman"/>
                <w:color w:val="auto"/>
                <w:highlight w:val="none"/>
                <w:lang w:val="en-US" w:eastAsia="zh-CN"/>
              </w:rPr>
              <w:t>项目按照浇注工艺挥发5/6计算，则有组织甲醛排放量为0.0233</w:t>
            </w:r>
            <w:r>
              <w:rPr>
                <w:rFonts w:hint="default" w:ascii="Times New Roman" w:hAnsi="Times New Roman" w:cs="Times New Roman"/>
                <w:color w:val="auto"/>
                <w:highlight w:val="none"/>
                <w:lang w:val="en-US" w:eastAsia="zh-CN"/>
              </w:rPr>
              <w:t>t/a、酚类</w:t>
            </w:r>
            <w:r>
              <w:rPr>
                <w:rFonts w:hint="eastAsia" w:ascii="Times New Roman" w:hAnsi="Times New Roman" w:cs="Times New Roman"/>
                <w:color w:val="auto"/>
                <w:highlight w:val="none"/>
                <w:lang w:val="en-US" w:eastAsia="zh-CN"/>
              </w:rPr>
              <w:t>0.0042</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，无组织</w:t>
            </w:r>
            <w:r>
              <w:rPr>
                <w:rFonts w:hint="default" w:ascii="Times New Roman" w:hAnsi="Times New Roman" w:cs="Times New Roman"/>
                <w:color w:val="auto"/>
                <w:highlight w:val="none"/>
                <w:lang w:val="en-US" w:eastAsia="zh-CN"/>
              </w:rPr>
              <w:t>甲醛</w:t>
            </w:r>
            <w:r>
              <w:rPr>
                <w:rFonts w:hint="eastAsia" w:ascii="Times New Roman" w:hAnsi="Times New Roman" w:cs="Times New Roman"/>
                <w:color w:val="auto"/>
                <w:highlight w:val="none"/>
                <w:lang w:val="en-US" w:eastAsia="zh-CN"/>
              </w:rPr>
              <w:t>排放量为</w:t>
            </w:r>
            <w:r>
              <w:rPr>
                <w:rFonts w:hint="default" w:ascii="Times New Roman" w:hAnsi="Times New Roman" w:cs="Times New Roman"/>
                <w:color w:val="auto"/>
                <w:highlight w:val="none"/>
                <w:lang w:val="en-US" w:eastAsia="zh-CN"/>
              </w:rPr>
              <w:t>0.</w:t>
            </w:r>
            <w:r>
              <w:rPr>
                <w:rFonts w:hint="eastAsia" w:ascii="Times New Roman" w:hAnsi="Times New Roman" w:cs="Times New Roman"/>
                <w:color w:val="auto"/>
                <w:highlight w:val="none"/>
                <w:lang w:val="en-US" w:eastAsia="zh-CN"/>
              </w:rPr>
              <w:t>0036</w:t>
            </w:r>
            <w:r>
              <w:rPr>
                <w:rFonts w:hint="default" w:ascii="Times New Roman" w:hAnsi="Times New Roman" w:cs="Times New Roman"/>
                <w:color w:val="auto"/>
                <w:highlight w:val="none"/>
                <w:lang w:val="en-US" w:eastAsia="zh-CN"/>
              </w:rPr>
              <w:t>t/a、酚类 0.0</w:t>
            </w:r>
            <w:r>
              <w:rPr>
                <w:rFonts w:hint="eastAsia" w:ascii="Times New Roman" w:hAnsi="Times New Roman" w:cs="Times New Roman"/>
                <w:color w:val="auto"/>
                <w:highlight w:val="none"/>
                <w:lang w:val="en-US" w:eastAsia="zh-CN"/>
              </w:rPr>
              <w:t>0065</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w:t>
            </w:r>
          </w:p>
          <w:p w14:paraId="22AAD177">
            <w:pPr>
              <w:keepNext w:val="0"/>
              <w:keepLines w:val="0"/>
              <w:widowControl/>
              <w:suppressLineNumbers w:val="0"/>
              <w:ind w:firstLine="480" w:firstLineChars="200"/>
              <w:jc w:val="left"/>
              <w:rPr>
                <w:rFonts w:hint="eastAsia" w:ascii="Times New Roman" w:hAnsi="Times New Roman" w:cs="Times New Roman"/>
                <w:color w:val="auto"/>
                <w:highlight w:val="none"/>
                <w:lang w:val="en-US" w:eastAsia="zh-CN"/>
              </w:rPr>
            </w:pPr>
            <w:r>
              <w:rPr>
                <w:rFonts w:hint="eastAsia"/>
                <w:color w:val="auto"/>
                <w:lang w:val="en-US" w:eastAsia="zh-CN"/>
              </w:rPr>
              <w:t>消失模</w:t>
            </w:r>
            <w:r>
              <w:rPr>
                <w:rFonts w:hint="eastAsia" w:ascii="Times New Roman" w:hAnsi="Times New Roman" w:cs="Times New Roman"/>
                <w:b w:val="0"/>
                <w:bCs w:val="0"/>
                <w:color w:val="auto"/>
                <w:sz w:val="24"/>
                <w:highlight w:val="none"/>
                <w:lang w:val="en-US" w:eastAsia="zh-CN"/>
              </w:rPr>
              <w:t>铸造工艺</w:t>
            </w:r>
            <w:r>
              <w:rPr>
                <w:rFonts w:hint="eastAsia" w:ascii="Times New Roman" w:hAnsi="Times New Roman" w:cs="Times New Roman"/>
                <w:color w:val="auto"/>
                <w:lang w:val="en-US" w:eastAsia="zh-CN"/>
              </w:rPr>
              <w:t>技改后</w:t>
            </w:r>
            <w:r>
              <w:rPr>
                <w:rFonts w:hint="default" w:ascii="Times New Roman" w:hAnsi="Times New Roman" w:cs="Times New Roman"/>
                <w:b w:val="0"/>
                <w:bCs/>
                <w:color w:val="auto"/>
                <w:sz w:val="24"/>
                <w:szCs w:val="24"/>
                <w:highlight w:val="none"/>
                <w:lang w:val="en-US" w:eastAsia="zh-CN"/>
              </w:rPr>
              <w:t>产</w:t>
            </w:r>
            <w:r>
              <w:rPr>
                <w:rFonts w:hint="eastAsia" w:ascii="Times New Roman" w:hAnsi="Times New Roman" w:cs="Times New Roman"/>
                <w:color w:val="auto"/>
                <w:lang w:val="en-US" w:eastAsia="zh-CN"/>
              </w:rPr>
              <w:t>能为1000t/a，浇注废气</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铸造-铸件-造型/浇注( 消失模/实型)工艺核算</w:t>
            </w:r>
            <w:r>
              <w:rPr>
                <w:rFonts w:hint="default" w:ascii="Times New Roman" w:hAnsi="Times New Roman" w:eastAsia="宋体" w:cs="Times New Roman"/>
                <w:b w:val="0"/>
                <w:bCs w:val="0"/>
                <w:color w:val="auto"/>
                <w:sz w:val="24"/>
                <w:highlight w:val="none"/>
                <w:lang w:val="en-US" w:eastAsia="zh-CN"/>
              </w:rPr>
              <w:t>环节中颗粒物产生系数</w:t>
            </w:r>
            <w:r>
              <w:rPr>
                <w:rFonts w:hint="eastAsia" w:ascii="Times New Roman" w:hAnsi="Times New Roman" w:cs="Times New Roman"/>
                <w:b w:val="0"/>
                <w:bCs w:val="0"/>
                <w:color w:val="auto"/>
                <w:sz w:val="24"/>
                <w:highlight w:val="none"/>
                <w:lang w:val="en-US" w:eastAsia="zh-CN"/>
              </w:rPr>
              <w:t>0.967</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产品、VOCs</w:t>
            </w:r>
            <w:r>
              <w:rPr>
                <w:rFonts w:hint="default" w:ascii="Times New Roman" w:hAnsi="Times New Roman" w:eastAsia="宋体" w:cs="Times New Roman"/>
                <w:b w:val="0"/>
                <w:bCs w:val="0"/>
                <w:color w:val="auto"/>
                <w:sz w:val="24"/>
                <w:highlight w:val="none"/>
                <w:lang w:val="en-US" w:eastAsia="zh-CN"/>
              </w:rPr>
              <w:t>产生系数</w:t>
            </w:r>
            <w:r>
              <w:rPr>
                <w:rFonts w:hint="eastAsia" w:ascii="Times New Roman" w:hAnsi="Times New Roman" w:cs="Times New Roman"/>
                <w:b w:val="0"/>
                <w:bCs w:val="0"/>
                <w:color w:val="auto"/>
                <w:sz w:val="24"/>
                <w:highlight w:val="none"/>
                <w:lang w:val="en-US" w:eastAsia="zh-CN"/>
              </w:rPr>
              <w:t>0.453</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产品。则每台</w:t>
            </w:r>
            <w:r>
              <w:rPr>
                <w:rFonts w:hint="eastAsia" w:ascii="Times New Roman" w:hAnsi="Times New Roman" w:cs="Times New Roman"/>
                <w:color w:val="auto"/>
                <w:highlight w:val="none"/>
                <w:lang w:val="en-US" w:eastAsia="zh-CN"/>
              </w:rPr>
              <w:t>电炉浇注过程颗粒物产生量为0.484t/a，</w:t>
            </w:r>
            <w:r>
              <w:rPr>
                <w:rFonts w:hint="eastAsia" w:ascii="Times New Roman" w:hAnsi="Times New Roman" w:cs="Times New Roman"/>
                <w:b w:val="0"/>
                <w:bCs w:val="0"/>
                <w:color w:val="auto"/>
                <w:sz w:val="24"/>
                <w:highlight w:val="none"/>
                <w:lang w:val="en-US" w:eastAsia="zh-CN"/>
              </w:rPr>
              <w:t>VOCs</w:t>
            </w:r>
            <w:r>
              <w:rPr>
                <w:rFonts w:hint="default" w:ascii="Times New Roman" w:hAnsi="Times New Roman" w:eastAsia="宋体" w:cs="Times New Roman"/>
                <w:b w:val="0"/>
                <w:bCs w:val="0"/>
                <w:color w:val="auto"/>
                <w:sz w:val="24"/>
                <w:highlight w:val="none"/>
                <w:lang w:val="en-US" w:eastAsia="zh-CN"/>
              </w:rPr>
              <w:t>产生</w:t>
            </w:r>
            <w:r>
              <w:rPr>
                <w:rFonts w:hint="eastAsia" w:ascii="Times New Roman" w:hAnsi="Times New Roman" w:cs="Times New Roman"/>
                <w:color w:val="auto"/>
                <w:highlight w:val="none"/>
                <w:lang w:val="en-US" w:eastAsia="zh-CN"/>
              </w:rPr>
              <w:t>量为0.227t/a。集气罩收集效率为97%，布袋除尘器处理效率为99%，</w:t>
            </w:r>
            <w:r>
              <w:rPr>
                <w:rFonts w:hint="eastAsia" w:ascii="Times New Roman" w:hAnsi="Times New Roman" w:cs="Times New Roman"/>
                <w:color w:val="auto"/>
                <w:lang w:val="en-US" w:eastAsia="zh-CN"/>
              </w:rPr>
              <w:t>二级活性炭吸附装置处理效率为80%，</w:t>
            </w:r>
            <w:r>
              <w:rPr>
                <w:rFonts w:hint="eastAsia" w:ascii="Times New Roman" w:hAnsi="Times New Roman" w:cs="Times New Roman"/>
                <w:color w:val="auto"/>
                <w:highlight w:val="none"/>
                <w:lang w:val="en-US" w:eastAsia="zh-CN"/>
              </w:rPr>
              <w:t>颗粒物有组织排放量为0.0047t/a，</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highlight w:val="none"/>
                <w:lang w:val="en-US" w:eastAsia="zh-CN"/>
              </w:rPr>
              <w:t>有组织排放量为0.044</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eastAsia="宋体" w:cs="Times New Roman"/>
                <w:b w:val="0"/>
                <w:bCs w:val="0"/>
                <w:color w:val="auto"/>
                <w:sz w:val="24"/>
                <w:highlight w:val="none"/>
                <w:lang w:val="en-US" w:eastAsia="zh-CN"/>
              </w:rPr>
              <w:t>无组织颗粒物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0.0145</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，无组织</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0.0068</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color w:val="auto"/>
                <w:highlight w:val="none"/>
                <w:lang w:val="en-US" w:eastAsia="zh-CN"/>
              </w:rPr>
              <w:t>。</w:t>
            </w:r>
          </w:p>
          <w:p w14:paraId="6574598E">
            <w:pPr>
              <w:keepNext w:val="0"/>
              <w:keepLines w:val="0"/>
              <w:pageBreakBefore w:val="0"/>
              <w:widowControl/>
              <w:suppressLineNumbers w:val="0"/>
              <w:kinsoku/>
              <w:wordWrap/>
              <w:overflowPunct/>
              <w:topLinePunct w:val="0"/>
              <w:autoSpaceDE w:val="0"/>
              <w:autoSpaceDN w:val="0"/>
              <w:bidi w:val="0"/>
              <w:adjustRightInd w:val="0"/>
              <w:snapToGrid w:val="0"/>
              <w:ind w:firstLine="480" w:firstLineChars="200"/>
              <w:jc w:val="both"/>
              <w:textAlignment w:val="baseline"/>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消失模浇注过程会产生极少量游离态的苯乙烯、臭气浓度等污染因子，由于产生量极少，本环评不定量分析。由于覆膜砂中含有乌洛托品，乌洛托品受热会散发出恶臭味，产生量较少，本环评不定量分析。</w:t>
            </w:r>
          </w:p>
          <w:p w14:paraId="0E53BE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③</w:t>
            </w:r>
            <w:r>
              <w:rPr>
                <w:rFonts w:hint="eastAsia" w:ascii="Times New Roman" w:hAnsi="Times New Roman" w:cs="Times New Roman"/>
                <w:b w:val="0"/>
                <w:bCs/>
                <w:color w:val="auto"/>
                <w:sz w:val="24"/>
                <w:szCs w:val="24"/>
                <w:highlight w:val="none"/>
                <w:lang w:val="en-US" w:eastAsia="zh-CN"/>
              </w:rPr>
              <w:t>抛丸工序</w:t>
            </w:r>
            <w:r>
              <w:rPr>
                <w:rFonts w:hint="default" w:ascii="Times New Roman" w:hAnsi="Times New Roman" w:cs="Times New Roman"/>
                <w:b w:val="0"/>
                <w:bCs/>
                <w:color w:val="auto"/>
                <w:sz w:val="24"/>
                <w:szCs w:val="24"/>
                <w:highlight w:val="none"/>
                <w:lang w:val="en-US" w:eastAsia="zh-CN"/>
              </w:rPr>
              <w:t>产生的</w:t>
            </w:r>
            <w:r>
              <w:rPr>
                <w:rFonts w:hint="eastAsia" w:ascii="Times New Roman" w:hAnsi="Times New Roman" w:cs="Times New Roman"/>
                <w:b w:val="0"/>
                <w:bCs/>
                <w:color w:val="auto"/>
                <w:sz w:val="24"/>
                <w:szCs w:val="24"/>
                <w:highlight w:val="none"/>
                <w:lang w:val="en-US" w:eastAsia="zh-CN"/>
              </w:rPr>
              <w:t>颗粒物</w:t>
            </w:r>
          </w:p>
          <w:p w14:paraId="2FFD73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highlight w:val="yellow"/>
                <w:lang w:val="en-US" w:eastAsia="zh-CN"/>
              </w:rPr>
            </w:pPr>
            <w:r>
              <w:rPr>
                <w:rFonts w:hint="default" w:ascii="Times New Roman" w:hAnsi="Times New Roman" w:eastAsia="宋体" w:cs="Times New Roman"/>
                <w:b w:val="0"/>
                <w:bCs w:val="0"/>
                <w:color w:val="auto"/>
                <w:sz w:val="24"/>
                <w:highlight w:val="none"/>
                <w:lang w:val="en-US" w:eastAsia="zh-CN"/>
              </w:rPr>
              <w:t>本项目</w:t>
            </w:r>
            <w:r>
              <w:rPr>
                <w:rFonts w:hint="eastAsia" w:ascii="Times New Roman" w:hAnsi="Times New Roman" w:eastAsia="宋体" w:cs="Times New Roman"/>
                <w:b w:val="0"/>
                <w:bCs w:val="0"/>
                <w:color w:val="auto"/>
                <w:sz w:val="24"/>
                <w:highlight w:val="none"/>
                <w:lang w:val="en-US" w:eastAsia="zh-CN"/>
              </w:rPr>
              <w:t>抛丸</w:t>
            </w:r>
            <w:r>
              <w:rPr>
                <w:rFonts w:hint="default" w:ascii="Times New Roman" w:hAnsi="Times New Roman" w:eastAsia="宋体" w:cs="Times New Roman"/>
                <w:b w:val="0"/>
                <w:bCs w:val="0"/>
                <w:color w:val="auto"/>
                <w:sz w:val="24"/>
                <w:highlight w:val="none"/>
                <w:lang w:val="en-US" w:eastAsia="zh-CN"/>
              </w:rPr>
              <w:t>过程会产生颗粒物，</w:t>
            </w:r>
            <w:r>
              <w:rPr>
                <w:rFonts w:hint="eastAsia" w:ascii="Times New Roman" w:hAnsi="Times New Roman" w:eastAsia="宋体" w:cs="Times New Roman"/>
                <w:b w:val="0"/>
                <w:bCs w:val="0"/>
                <w:color w:val="auto"/>
                <w:sz w:val="24"/>
                <w:highlight w:val="none"/>
                <w:lang w:val="en-US" w:eastAsia="zh-CN"/>
              </w:rPr>
              <w:t>抛丸</w:t>
            </w:r>
            <w:r>
              <w:rPr>
                <w:rFonts w:hint="default" w:ascii="Times New Roman" w:hAnsi="Times New Roman" w:eastAsia="宋体" w:cs="Times New Roman"/>
                <w:b w:val="0"/>
                <w:bCs w:val="0"/>
                <w:color w:val="auto"/>
                <w:sz w:val="24"/>
                <w:highlight w:val="none"/>
                <w:lang w:val="en-US" w:eastAsia="zh-CN"/>
              </w:rPr>
              <w:t>粉尘产生系数参考《排放源统计调查产排污核算方法和系数手册》的</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eastAsia="宋体" w:cs="Times New Roman"/>
                <w:b w:val="0"/>
                <w:bCs w:val="0"/>
                <w:color w:val="auto"/>
                <w:sz w:val="24"/>
                <w:highlight w:val="none"/>
                <w:lang w:val="en-US" w:eastAsia="zh-CN"/>
              </w:rPr>
              <w:t>干式预处理件-抛丸工艺</w:t>
            </w:r>
            <w:r>
              <w:rPr>
                <w:rFonts w:hint="default" w:ascii="Times New Roman" w:hAnsi="Times New Roman" w:eastAsia="宋体" w:cs="Times New Roman"/>
                <w:b w:val="0"/>
                <w:bCs w:val="0"/>
                <w:color w:val="auto"/>
                <w:sz w:val="24"/>
                <w:highlight w:val="none"/>
                <w:lang w:val="en-US" w:eastAsia="zh-CN"/>
              </w:rPr>
              <w:t>核算环节中颗粒物产生系数：</w:t>
            </w:r>
            <w:r>
              <w:rPr>
                <w:rFonts w:hint="eastAsia" w:ascii="Times New Roman" w:hAnsi="Times New Roman" w:eastAsia="宋体" w:cs="Times New Roman"/>
                <w:b w:val="0"/>
                <w:bCs w:val="0"/>
                <w:color w:val="auto"/>
                <w:sz w:val="24"/>
                <w:highlight w:val="none"/>
                <w:lang w:val="en-US" w:eastAsia="zh-CN"/>
              </w:rPr>
              <w:t>2.19kg/t</w:t>
            </w:r>
            <w:r>
              <w:rPr>
                <w:rFonts w:hint="default" w:ascii="Times New Roman" w:hAnsi="Times New Roman" w:eastAsia="宋体" w:cs="Times New Roman"/>
                <w:b w:val="0"/>
                <w:bCs w:val="0"/>
                <w:color w:val="auto"/>
                <w:sz w:val="24"/>
                <w:highlight w:val="none"/>
                <w:lang w:val="en-US" w:eastAsia="zh-CN"/>
              </w:rPr>
              <w:t>-原料</w:t>
            </w:r>
            <w:r>
              <w:rPr>
                <w:rFonts w:hint="eastAsia" w:ascii="Times New Roman" w:hAnsi="Times New Roman" w:eastAsia="宋体" w:cs="Times New Roman"/>
                <w:b w:val="0"/>
                <w:bCs w:val="0"/>
                <w:color w:val="auto"/>
                <w:sz w:val="24"/>
                <w:highlight w:val="none"/>
                <w:lang w:val="en-US" w:eastAsia="zh-CN"/>
              </w:rPr>
              <w:t>。本项目</w:t>
            </w:r>
            <w:r>
              <w:rPr>
                <w:rFonts w:hint="eastAsia" w:ascii="Times New Roman" w:hAnsi="Times New Roman" w:cs="Times New Roman"/>
                <w:b w:val="0"/>
                <w:bCs w:val="0"/>
                <w:color w:val="auto"/>
                <w:sz w:val="24"/>
                <w:highlight w:val="none"/>
                <w:lang w:val="en-US" w:eastAsia="zh-CN"/>
              </w:rPr>
              <w:t>每台抛丸机</w:t>
            </w:r>
            <w:r>
              <w:rPr>
                <w:rFonts w:hint="eastAsia" w:ascii="Times New Roman" w:hAnsi="Times New Roman" w:eastAsia="宋体" w:cs="Times New Roman"/>
                <w:b w:val="0"/>
                <w:bCs w:val="0"/>
                <w:color w:val="auto"/>
                <w:sz w:val="24"/>
                <w:highlight w:val="none"/>
                <w:lang w:val="en-US" w:eastAsia="zh-CN"/>
              </w:rPr>
              <w:t>阀体、</w:t>
            </w:r>
            <w:r>
              <w:rPr>
                <w:rFonts w:hint="eastAsia" w:ascii="Times New Roman" w:hAnsi="Times New Roman" w:cs="Times New Roman"/>
                <w:b w:val="0"/>
                <w:bCs w:val="0"/>
                <w:color w:val="auto"/>
                <w:sz w:val="24"/>
                <w:highlight w:val="none"/>
                <w:lang w:val="en-US" w:eastAsia="zh-CN"/>
              </w:rPr>
              <w:t>泵类配件</w:t>
            </w:r>
            <w:r>
              <w:rPr>
                <w:rFonts w:hint="eastAsia" w:ascii="Times New Roman" w:hAnsi="Times New Roman" w:eastAsia="宋体" w:cs="Times New Roman"/>
                <w:b w:val="0"/>
                <w:bCs w:val="0"/>
                <w:color w:val="auto"/>
                <w:sz w:val="24"/>
                <w:highlight w:val="none"/>
                <w:lang w:val="en-US" w:eastAsia="zh-CN"/>
              </w:rPr>
              <w:t>等需抛丸的原料</w:t>
            </w:r>
            <w:r>
              <w:rPr>
                <w:rFonts w:hint="default" w:ascii="Times New Roman" w:hAnsi="Times New Roman" w:eastAsia="宋体" w:cs="Times New Roman"/>
                <w:b w:val="0"/>
                <w:bCs w:val="0"/>
                <w:color w:val="auto"/>
                <w:sz w:val="24"/>
                <w:highlight w:val="none"/>
                <w:lang w:val="en-US" w:eastAsia="zh-CN"/>
              </w:rPr>
              <w:t>使用量为</w:t>
            </w:r>
            <w:r>
              <w:rPr>
                <w:rFonts w:hint="eastAsia" w:ascii="Times New Roman" w:hAnsi="Times New Roman" w:cs="Times New Roman"/>
                <w:b w:val="0"/>
                <w:bCs w:val="0"/>
                <w:color w:val="auto"/>
                <w:sz w:val="24"/>
                <w:highlight w:val="none"/>
                <w:lang w:val="en-US" w:eastAsia="zh-CN"/>
              </w:rPr>
              <w:t>2000</w:t>
            </w:r>
            <w:r>
              <w:rPr>
                <w:rFonts w:hint="eastAsia" w:ascii="Times New Roman" w:hAnsi="Times New Roman" w:eastAsia="宋体" w:cs="Times New Roman"/>
                <w:b w:val="0"/>
                <w:bCs w:val="0"/>
                <w:color w:val="auto"/>
                <w:sz w:val="24"/>
                <w:highlight w:val="none"/>
                <w:lang w:val="en-US" w:eastAsia="zh-CN"/>
              </w:rPr>
              <w:t>t/a</w:t>
            </w:r>
            <w:r>
              <w:rPr>
                <w:rFonts w:hint="default" w:ascii="Times New Roman" w:hAnsi="Times New Roman" w:eastAsia="宋体" w:cs="Times New Roman"/>
                <w:b w:val="0"/>
                <w:bCs w:val="0"/>
                <w:color w:val="auto"/>
                <w:sz w:val="24"/>
                <w:highlight w:val="none"/>
                <w:lang w:val="en-US" w:eastAsia="zh-CN"/>
              </w:rPr>
              <w:t>，则</w:t>
            </w:r>
            <w:r>
              <w:rPr>
                <w:rFonts w:hint="eastAsia" w:ascii="Times New Roman" w:hAnsi="Times New Roman" w:cs="Times New Roman"/>
                <w:b w:val="0"/>
                <w:bCs/>
                <w:color w:val="auto"/>
                <w:sz w:val="24"/>
                <w:szCs w:val="24"/>
                <w:highlight w:val="none"/>
                <w:lang w:val="en-US" w:eastAsia="zh-CN"/>
              </w:rPr>
              <w:t>抛丸工序</w:t>
            </w:r>
            <w:r>
              <w:rPr>
                <w:rFonts w:hint="eastAsia" w:ascii="Times New Roman" w:hAnsi="Times New Roman" w:eastAsia="宋体" w:cs="Times New Roman"/>
                <w:b w:val="0"/>
                <w:bCs w:val="0"/>
                <w:color w:val="auto"/>
                <w:sz w:val="24"/>
                <w:highlight w:val="none"/>
                <w:lang w:val="en-US" w:eastAsia="zh-CN"/>
              </w:rPr>
              <w:t>颗粒物</w:t>
            </w:r>
            <w:r>
              <w:rPr>
                <w:rFonts w:hint="default" w:ascii="Times New Roman" w:hAnsi="Times New Roman" w:eastAsia="宋体" w:cs="Times New Roman"/>
                <w:b w:val="0"/>
                <w:bCs w:val="0"/>
                <w:color w:val="auto"/>
                <w:sz w:val="24"/>
                <w:highlight w:val="none"/>
                <w:lang w:val="en-US" w:eastAsia="zh-CN"/>
              </w:rPr>
              <w:t>产生量为</w:t>
            </w:r>
            <w:r>
              <w:rPr>
                <w:rFonts w:hint="eastAsia" w:ascii="Times New Roman" w:hAnsi="Times New Roman" w:cs="Times New Roman"/>
                <w:b w:val="0"/>
                <w:bCs w:val="0"/>
                <w:color w:val="auto"/>
                <w:sz w:val="24"/>
                <w:highlight w:val="none"/>
                <w:lang w:val="en-US" w:eastAsia="zh-CN"/>
              </w:rPr>
              <w:t>4.38</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，抛丸机为封闭式，</w:t>
            </w:r>
            <w:r>
              <w:rPr>
                <w:rFonts w:hint="default" w:ascii="Times New Roman" w:hAnsi="Times New Roman" w:eastAsia="宋体" w:cs="Times New Roman"/>
                <w:b w:val="0"/>
                <w:bCs w:val="0"/>
                <w:color w:val="auto"/>
                <w:kern w:val="2"/>
                <w:sz w:val="24"/>
                <w:szCs w:val="24"/>
                <w:highlight w:val="none"/>
                <w:lang w:val="en-US" w:eastAsia="zh-CN" w:bidi="ar-SA"/>
              </w:rPr>
              <w:t>配套负压收集管道（收集效率97%）</w:t>
            </w:r>
            <w:r>
              <w:rPr>
                <w:rFonts w:hint="eastAsia" w:ascii="Times New Roman" w:hAnsi="Times New Roman" w:eastAsia="宋体" w:cs="Times New Roman"/>
                <w:b w:val="0"/>
                <w:bCs w:val="0"/>
                <w:color w:val="auto"/>
                <w:kern w:val="2"/>
                <w:sz w:val="24"/>
                <w:szCs w:val="24"/>
                <w:highlight w:val="none"/>
                <w:lang w:val="en-US" w:eastAsia="zh-CN" w:bidi="ar-SA"/>
              </w:rPr>
              <w:t>，则有组织颗粒物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kern w:val="2"/>
                <w:sz w:val="24"/>
                <w:szCs w:val="24"/>
                <w:highlight w:val="none"/>
                <w:lang w:val="en-US" w:eastAsia="zh-CN" w:bidi="ar-SA"/>
              </w:rPr>
              <w:t>量为</w:t>
            </w:r>
            <w:r>
              <w:rPr>
                <w:rFonts w:hint="eastAsia" w:ascii="Times New Roman" w:hAnsi="Times New Roman" w:cs="Times New Roman"/>
                <w:b w:val="0"/>
                <w:bCs w:val="0"/>
                <w:color w:val="auto"/>
                <w:kern w:val="2"/>
                <w:sz w:val="24"/>
                <w:szCs w:val="24"/>
                <w:highlight w:val="none"/>
                <w:lang w:val="en-US" w:eastAsia="zh-CN" w:bidi="ar-SA"/>
              </w:rPr>
              <w:t>0.0425</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，无组织颗粒物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0.131</w:t>
            </w:r>
            <w:r>
              <w:rPr>
                <w:rFonts w:hint="default" w:ascii="Times New Roman" w:hAnsi="Times New Roman" w:eastAsia="宋体" w:cs="Times New Roman"/>
                <w:b w:val="0"/>
                <w:bCs w:val="0"/>
                <w:color w:val="auto"/>
                <w:sz w:val="24"/>
                <w:highlight w:val="none"/>
                <w:lang w:val="en-US" w:eastAsia="zh-CN"/>
              </w:rPr>
              <w:t>t/a。</w:t>
            </w:r>
          </w:p>
          <w:p w14:paraId="003D06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highlight w:val="yellow"/>
                <w:lang w:val="en-US" w:eastAsia="zh-CN"/>
              </w:rPr>
            </w:pPr>
            <w:r>
              <w:rPr>
                <w:rFonts w:hint="eastAsia" w:ascii="Times New Roman" w:hAnsi="Times New Roman" w:cs="Times New Roman"/>
                <w:color w:val="auto"/>
                <w:highlight w:val="none"/>
                <w:lang w:val="en-US" w:eastAsia="zh-CN"/>
              </w:rPr>
              <w:t>DA001排气筒风机风量为5000m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/h，颗粒物排放量为0.068t/a，排放速率为0.0283kg/h，排放浓度为5.67</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highlight w:val="none"/>
                <w:lang w:val="en-US" w:eastAsia="zh-CN"/>
              </w:rPr>
              <w:t>排放量为0.0974t/a，排放速率为0.0406kg/h，排放浓度为8.12</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。甲醛排放量为0.0233</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，排放速率为0.0097kg/h，排放浓度为1.94</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酚类</w:t>
            </w:r>
            <w:r>
              <w:rPr>
                <w:rFonts w:hint="eastAsia" w:ascii="Times New Roman" w:hAnsi="Times New Roman" w:cs="Times New Roman"/>
                <w:color w:val="auto"/>
                <w:highlight w:val="none"/>
                <w:lang w:val="en-US" w:eastAsia="zh-CN"/>
              </w:rPr>
              <w:t>0.0042</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，排放速率为0.00175kg/h，排放浓度为0.35</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p>
          <w:p w14:paraId="1BF5CA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2）DA002排气筒废气核算：</w:t>
            </w:r>
          </w:p>
          <w:p w14:paraId="698DA1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w:t>
            </w:r>
            <w:r>
              <w:rPr>
                <w:rFonts w:hint="eastAsia" w:ascii="Times New Roman" w:hAnsi="Times New Roman" w:cs="Times New Roman"/>
                <w:color w:val="auto"/>
                <w:lang w:val="en-US" w:eastAsia="zh-CN"/>
              </w:rPr>
              <w:t>电炉熔化过程产生的颗粒物、</w:t>
            </w:r>
            <w:r>
              <w:rPr>
                <w:rFonts w:hint="default" w:ascii="Times New Roman" w:hAnsi="Times New Roman" w:cs="Times New Roman"/>
                <w:color w:val="auto"/>
                <w:lang w:val="en-US" w:eastAsia="zh-CN"/>
              </w:rPr>
              <w:t>②</w:t>
            </w:r>
            <w:r>
              <w:rPr>
                <w:rFonts w:hint="eastAsia" w:ascii="Times New Roman" w:hAnsi="Times New Roman" w:cs="Times New Roman"/>
                <w:color w:val="auto"/>
                <w:lang w:val="en-US" w:eastAsia="zh-CN"/>
              </w:rPr>
              <w:t>浇注过程产生的颗粒物</w:t>
            </w:r>
            <w:r>
              <w:rPr>
                <w:rFonts w:hint="eastAsia"/>
                <w:color w:val="auto"/>
                <w:lang w:eastAsia="zh-CN"/>
              </w:rPr>
              <w:t>、</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spacing w:val="-3"/>
                <w:lang w:val="en-US" w:eastAsia="zh-CN"/>
              </w:rPr>
              <w:t>苯乙烯、臭气浓度、甲醛、酚类</w:t>
            </w:r>
            <w:r>
              <w:rPr>
                <w:rFonts w:hint="eastAsia" w:ascii="Times New Roman" w:hAnsi="Times New Roman" w:cs="Times New Roman"/>
                <w:color w:val="auto"/>
                <w:lang w:val="en-US" w:eastAsia="zh-CN"/>
              </w:rPr>
              <w:t>计算过程同DA001。</w:t>
            </w:r>
          </w:p>
          <w:p w14:paraId="28C9A6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lang w:val="en-US" w:eastAsia="zh-CN"/>
              </w:rPr>
            </w:pPr>
            <w:r>
              <w:rPr>
                <w:rFonts w:hint="default" w:ascii="Times New Roman" w:hAnsi="Times New Roman" w:cs="Times New Roman"/>
                <w:color w:val="auto"/>
                <w:lang w:val="en-US" w:eastAsia="zh-CN"/>
              </w:rPr>
              <w:t>③</w:t>
            </w:r>
            <w:r>
              <w:rPr>
                <w:rFonts w:hint="eastAsia" w:ascii="Times New Roman" w:hAnsi="Times New Roman" w:cs="Times New Roman"/>
                <w:color w:val="auto"/>
                <w:spacing w:val="-3"/>
                <w:lang w:val="en-US" w:eastAsia="zh-CN"/>
              </w:rPr>
              <w:t>混砂、</w:t>
            </w:r>
            <w:r>
              <w:rPr>
                <w:rFonts w:hint="default" w:ascii="Times New Roman" w:hAnsi="Times New Roman" w:cs="Times New Roman"/>
                <w:color w:val="auto"/>
                <w:spacing w:val="-3"/>
              </w:rPr>
              <w:t>清模、翻箱落砂（砂处理）</w:t>
            </w:r>
            <w:r>
              <w:rPr>
                <w:rFonts w:hint="eastAsia" w:ascii="Times New Roman" w:hAnsi="Times New Roman" w:cs="Times New Roman"/>
                <w:color w:val="auto"/>
                <w:lang w:val="en-US" w:eastAsia="zh-CN"/>
              </w:rPr>
              <w:t>过程产生的颗粒物</w:t>
            </w:r>
          </w:p>
          <w:p w14:paraId="77B1C3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粘土砂</w:t>
            </w:r>
            <w:r>
              <w:rPr>
                <w:rFonts w:hint="eastAsia" w:ascii="Times New Roman" w:hAnsi="Times New Roman" w:cs="Times New Roman"/>
                <w:b w:val="0"/>
                <w:bCs w:val="0"/>
                <w:color w:val="auto"/>
                <w:sz w:val="24"/>
                <w:highlight w:val="none"/>
                <w:lang w:val="en-US" w:eastAsia="zh-CN"/>
              </w:rPr>
              <w:t>铸造工艺</w:t>
            </w:r>
            <w:r>
              <w:rPr>
                <w:rFonts w:hint="eastAsia" w:ascii="Times New Roman" w:hAnsi="Times New Roman" w:cs="Times New Roman"/>
                <w:color w:val="auto"/>
                <w:lang w:val="en-US" w:eastAsia="zh-CN"/>
              </w:rPr>
              <w:t>技改后</w:t>
            </w:r>
            <w:r>
              <w:rPr>
                <w:rFonts w:hint="eastAsia" w:ascii="Times New Roman" w:hAnsi="Times New Roman" w:cs="Times New Roman"/>
                <w:b w:val="0"/>
                <w:bCs w:val="0"/>
                <w:color w:val="auto"/>
                <w:sz w:val="24"/>
                <w:highlight w:val="none"/>
                <w:lang w:val="en-US" w:eastAsia="zh-CN"/>
              </w:rPr>
              <w:t>产品</w:t>
            </w:r>
            <w:r>
              <w:rPr>
                <w:rFonts w:hint="default" w:ascii="Times New Roman" w:hAnsi="Times New Roman" w:cs="Times New Roman"/>
                <w:b w:val="0"/>
                <w:bCs/>
                <w:color w:val="auto"/>
                <w:sz w:val="24"/>
                <w:szCs w:val="24"/>
                <w:highlight w:val="none"/>
                <w:lang w:val="en-US" w:eastAsia="zh-CN"/>
              </w:rPr>
              <w:t>产</w:t>
            </w:r>
            <w:r>
              <w:rPr>
                <w:rFonts w:hint="eastAsia" w:ascii="Times New Roman" w:hAnsi="Times New Roman" w:cs="Times New Roman"/>
                <w:color w:val="auto"/>
                <w:lang w:val="en-US" w:eastAsia="zh-CN"/>
              </w:rPr>
              <w:t>能为800t/a，</w:t>
            </w:r>
            <w:r>
              <w:rPr>
                <w:rFonts w:hint="eastAsia" w:ascii="Times New Roman" w:hAnsi="Times New Roman" w:cs="Times New Roman"/>
                <w:color w:val="auto"/>
                <w:spacing w:val="-3"/>
                <w:lang w:val="en-US" w:eastAsia="zh-CN"/>
              </w:rPr>
              <w:t>混砂</w:t>
            </w:r>
            <w:r>
              <w:rPr>
                <w:rFonts w:hint="default" w:ascii="Times New Roman" w:hAnsi="Times New Roman" w:cs="Times New Roman"/>
                <w:color w:val="auto"/>
                <w:spacing w:val="-3"/>
              </w:rPr>
              <w:t>（砂处理）</w:t>
            </w:r>
            <w:r>
              <w:rPr>
                <w:rFonts w:hint="eastAsia" w:ascii="Times New Roman" w:hAnsi="Times New Roman" w:cs="Times New Roman"/>
                <w:color w:val="auto"/>
                <w:spacing w:val="-3"/>
                <w:lang w:val="en-US" w:eastAsia="zh-CN"/>
              </w:rPr>
              <w:t>过程</w:t>
            </w:r>
            <w:r>
              <w:rPr>
                <w:rFonts w:hint="eastAsia" w:ascii="Times New Roman" w:hAnsi="Times New Roman" w:cs="Times New Roman"/>
                <w:b w:val="0"/>
                <w:bCs w:val="0"/>
                <w:color w:val="auto"/>
                <w:sz w:val="24"/>
                <w:highlight w:val="none"/>
                <w:lang w:val="en-US" w:eastAsia="zh-CN"/>
              </w:rPr>
              <w:t>颗粒物</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产生系数参考《排放源统计调查产排污核算方法和系数手册》的</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铸造-铸件-砂处理（</w:t>
            </w:r>
            <w:r>
              <w:rPr>
                <w:rFonts w:hint="eastAsia" w:ascii="Times New Roman" w:hAnsi="Times New Roman" w:cs="Times New Roman"/>
                <w:color w:val="auto"/>
                <w:lang w:val="en-US" w:eastAsia="zh-CN"/>
              </w:rPr>
              <w:t>粘土砂</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eastAsia="宋体" w:cs="Times New Roman"/>
                <w:b w:val="0"/>
                <w:bCs w:val="0"/>
                <w:color w:val="auto"/>
                <w:sz w:val="24"/>
                <w:highlight w:val="none"/>
                <w:lang w:val="en-US" w:eastAsia="zh-CN"/>
              </w:rPr>
              <w:t>工艺</w:t>
            </w:r>
            <w:r>
              <w:rPr>
                <w:rFonts w:hint="default" w:ascii="Times New Roman" w:hAnsi="Times New Roman" w:eastAsia="宋体" w:cs="Times New Roman"/>
                <w:b w:val="0"/>
                <w:bCs w:val="0"/>
                <w:color w:val="auto"/>
                <w:sz w:val="24"/>
                <w:highlight w:val="none"/>
                <w:lang w:val="en-US" w:eastAsia="zh-CN"/>
              </w:rPr>
              <w:t>核算环节中颗粒物产生系数：</w:t>
            </w:r>
            <w:r>
              <w:rPr>
                <w:rFonts w:hint="eastAsia" w:ascii="Times New Roman" w:hAnsi="Times New Roman" w:cs="Times New Roman"/>
                <w:b w:val="0"/>
                <w:bCs w:val="0"/>
                <w:color w:val="auto"/>
                <w:sz w:val="24"/>
                <w:highlight w:val="none"/>
                <w:lang w:val="en-US" w:eastAsia="zh-CN"/>
              </w:rPr>
              <w:t>17.2</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产品。则</w:t>
            </w:r>
            <w:r>
              <w:rPr>
                <w:rFonts w:hint="eastAsia" w:ascii="Times New Roman" w:hAnsi="Times New Roman" w:cs="Times New Roman"/>
                <w:color w:val="auto"/>
                <w:spacing w:val="-3"/>
                <w:lang w:val="en-US" w:eastAsia="zh-CN"/>
              </w:rPr>
              <w:t>混砂</w:t>
            </w:r>
            <w:r>
              <w:rPr>
                <w:rFonts w:hint="default" w:ascii="Times New Roman" w:hAnsi="Times New Roman" w:cs="Times New Roman"/>
                <w:color w:val="auto"/>
                <w:spacing w:val="-3"/>
              </w:rPr>
              <w:t>（砂处理）</w:t>
            </w:r>
            <w:r>
              <w:rPr>
                <w:rFonts w:hint="eastAsia" w:ascii="Times New Roman" w:hAnsi="Times New Roman" w:cs="Times New Roman"/>
                <w:color w:val="auto"/>
                <w:spacing w:val="-3"/>
                <w:lang w:val="en-US" w:eastAsia="zh-CN"/>
              </w:rPr>
              <w:t>过程</w:t>
            </w:r>
            <w:r>
              <w:rPr>
                <w:rFonts w:hint="eastAsia" w:ascii="Times New Roman" w:hAnsi="Times New Roman" w:cs="Times New Roman"/>
                <w:b w:val="0"/>
                <w:bCs w:val="0"/>
                <w:color w:val="auto"/>
                <w:sz w:val="24"/>
                <w:highlight w:val="none"/>
                <w:lang w:val="en-US" w:eastAsia="zh-CN"/>
              </w:rPr>
              <w:t>颗粒物产生量为13.76t/a，</w:t>
            </w:r>
            <w:r>
              <w:rPr>
                <w:rFonts w:hint="eastAsia" w:ascii="Times New Roman" w:hAnsi="Times New Roman" w:cs="Times New Roman"/>
                <w:color w:val="auto"/>
                <w:lang w:val="en-US" w:eastAsia="zh-CN"/>
              </w:rPr>
              <w:t>集气罩收集效率为97%，布袋除尘器处理效率为99%，</w:t>
            </w:r>
            <w:r>
              <w:rPr>
                <w:rFonts w:hint="eastAsia" w:ascii="Times New Roman" w:hAnsi="Times New Roman" w:eastAsia="宋体" w:cs="Times New Roman"/>
                <w:b w:val="0"/>
                <w:bCs w:val="0"/>
                <w:color w:val="auto"/>
                <w:kern w:val="2"/>
                <w:sz w:val="24"/>
                <w:szCs w:val="24"/>
                <w:highlight w:val="none"/>
                <w:lang w:val="en-US" w:eastAsia="zh-CN" w:bidi="ar-SA"/>
              </w:rPr>
              <w:t>则有组织颗粒物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kern w:val="2"/>
                <w:sz w:val="24"/>
                <w:szCs w:val="24"/>
                <w:highlight w:val="none"/>
                <w:lang w:val="en-US" w:eastAsia="zh-CN" w:bidi="ar-SA"/>
              </w:rPr>
              <w:t>量为</w:t>
            </w:r>
            <w:r>
              <w:rPr>
                <w:rFonts w:hint="eastAsia" w:ascii="Times New Roman" w:hAnsi="Times New Roman" w:cs="Times New Roman"/>
                <w:b w:val="0"/>
                <w:bCs w:val="0"/>
                <w:color w:val="auto"/>
                <w:kern w:val="2"/>
                <w:sz w:val="24"/>
                <w:szCs w:val="24"/>
                <w:highlight w:val="none"/>
                <w:lang w:val="en-US" w:eastAsia="zh-CN" w:bidi="ar-SA"/>
              </w:rPr>
              <w:t>0.133</w:t>
            </w:r>
            <w:r>
              <w:rPr>
                <w:rFonts w:hint="eastAsia" w:ascii="Times New Roman" w:hAnsi="Times New Roman"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无组织颗粒物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0.413t/a。</w:t>
            </w:r>
          </w:p>
          <w:p w14:paraId="576166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color w:val="auto"/>
                <w:lang w:val="en-US" w:eastAsia="zh-CN"/>
              </w:rPr>
              <w:t>覆膜砂</w:t>
            </w:r>
            <w:r>
              <w:rPr>
                <w:rFonts w:hint="eastAsia" w:ascii="Times New Roman" w:hAnsi="Times New Roman" w:cs="Times New Roman"/>
                <w:b w:val="0"/>
                <w:bCs w:val="0"/>
                <w:color w:val="auto"/>
                <w:sz w:val="24"/>
                <w:highlight w:val="none"/>
                <w:lang w:val="en-US" w:eastAsia="zh-CN"/>
              </w:rPr>
              <w:t>铸造工艺</w:t>
            </w:r>
            <w:r>
              <w:rPr>
                <w:rFonts w:hint="eastAsia" w:ascii="Times New Roman" w:hAnsi="Times New Roman" w:cs="Times New Roman"/>
                <w:color w:val="auto"/>
                <w:lang w:val="en-US" w:eastAsia="zh-CN"/>
              </w:rPr>
              <w:t>技改后</w:t>
            </w:r>
            <w:r>
              <w:rPr>
                <w:rFonts w:hint="eastAsia" w:ascii="Times New Roman" w:hAnsi="Times New Roman" w:cs="Times New Roman"/>
                <w:b w:val="0"/>
                <w:bCs w:val="0"/>
                <w:color w:val="auto"/>
                <w:sz w:val="24"/>
                <w:highlight w:val="none"/>
                <w:lang w:val="en-US" w:eastAsia="zh-CN"/>
              </w:rPr>
              <w:t>产品</w:t>
            </w:r>
            <w:r>
              <w:rPr>
                <w:rFonts w:hint="default" w:ascii="Times New Roman" w:hAnsi="Times New Roman" w:cs="Times New Roman"/>
                <w:b w:val="0"/>
                <w:bCs/>
                <w:color w:val="auto"/>
                <w:sz w:val="24"/>
                <w:szCs w:val="24"/>
                <w:highlight w:val="none"/>
                <w:lang w:val="en-US" w:eastAsia="zh-CN"/>
              </w:rPr>
              <w:t>产</w:t>
            </w:r>
            <w:r>
              <w:rPr>
                <w:rFonts w:hint="eastAsia" w:ascii="Times New Roman" w:hAnsi="Times New Roman" w:cs="Times New Roman"/>
                <w:color w:val="auto"/>
                <w:lang w:val="en-US" w:eastAsia="zh-CN"/>
              </w:rPr>
              <w:t>能为2200t/a，</w:t>
            </w:r>
            <w:r>
              <w:rPr>
                <w:rFonts w:hint="default" w:ascii="Times New Roman" w:hAnsi="Times New Roman" w:cs="Times New Roman"/>
                <w:color w:val="auto"/>
                <w:spacing w:val="-3"/>
              </w:rPr>
              <w:t>清模、翻箱落砂（砂处理）</w:t>
            </w:r>
            <w:r>
              <w:rPr>
                <w:rFonts w:hint="eastAsia" w:ascii="Times New Roman" w:hAnsi="Times New Roman" w:cs="Times New Roman"/>
                <w:color w:val="auto"/>
                <w:spacing w:val="-3"/>
                <w:lang w:val="en-US" w:eastAsia="zh-CN"/>
              </w:rPr>
              <w:t>过程</w:t>
            </w:r>
            <w:r>
              <w:rPr>
                <w:rFonts w:hint="eastAsia" w:ascii="Times New Roman" w:hAnsi="Times New Roman" w:cs="Times New Roman"/>
                <w:b w:val="0"/>
                <w:bCs w:val="0"/>
                <w:color w:val="auto"/>
                <w:sz w:val="24"/>
                <w:highlight w:val="none"/>
                <w:lang w:val="en-US" w:eastAsia="zh-CN"/>
              </w:rPr>
              <w:t>颗粒物</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产生系数参考《排放源统计调查产排污核算方法和系数手册》的</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铸造-铸件-砂处理（</w:t>
            </w:r>
            <w:r>
              <w:rPr>
                <w:rFonts w:hint="eastAsia" w:ascii="Times New Roman" w:hAnsi="Times New Roman" w:cs="Times New Roman"/>
                <w:color w:val="auto"/>
                <w:lang w:val="en-US" w:eastAsia="zh-CN"/>
              </w:rPr>
              <w:t>树脂砂</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eastAsia="宋体" w:cs="Times New Roman"/>
                <w:b w:val="0"/>
                <w:bCs w:val="0"/>
                <w:color w:val="auto"/>
                <w:sz w:val="24"/>
                <w:highlight w:val="none"/>
                <w:lang w:val="en-US" w:eastAsia="zh-CN"/>
              </w:rPr>
              <w:t>工艺</w:t>
            </w:r>
            <w:r>
              <w:rPr>
                <w:rFonts w:hint="default" w:ascii="Times New Roman" w:hAnsi="Times New Roman" w:eastAsia="宋体" w:cs="Times New Roman"/>
                <w:b w:val="0"/>
                <w:bCs w:val="0"/>
                <w:color w:val="auto"/>
                <w:sz w:val="24"/>
                <w:highlight w:val="none"/>
                <w:lang w:val="en-US" w:eastAsia="zh-CN"/>
              </w:rPr>
              <w:t>核算环节中颗粒物产生系数：</w:t>
            </w:r>
            <w:r>
              <w:rPr>
                <w:rFonts w:hint="eastAsia" w:ascii="Times New Roman" w:hAnsi="Times New Roman" w:cs="Times New Roman"/>
                <w:b w:val="0"/>
                <w:bCs w:val="0"/>
                <w:color w:val="auto"/>
                <w:sz w:val="24"/>
                <w:highlight w:val="none"/>
                <w:lang w:val="en-US" w:eastAsia="zh-CN"/>
              </w:rPr>
              <w:t>16.0</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产品。则</w:t>
            </w:r>
            <w:r>
              <w:rPr>
                <w:rFonts w:hint="default" w:ascii="Times New Roman" w:hAnsi="Times New Roman" w:cs="Times New Roman"/>
                <w:color w:val="auto"/>
                <w:spacing w:val="-3"/>
              </w:rPr>
              <w:t>清模、翻箱落砂（砂处理）</w:t>
            </w:r>
            <w:r>
              <w:rPr>
                <w:rFonts w:hint="eastAsia" w:ascii="Times New Roman" w:hAnsi="Times New Roman" w:cs="Times New Roman"/>
                <w:color w:val="auto"/>
                <w:spacing w:val="-3"/>
                <w:lang w:val="en-US" w:eastAsia="zh-CN"/>
              </w:rPr>
              <w:t>过程</w:t>
            </w:r>
            <w:r>
              <w:rPr>
                <w:rFonts w:hint="eastAsia" w:ascii="Times New Roman" w:hAnsi="Times New Roman" w:cs="Times New Roman"/>
                <w:b w:val="0"/>
                <w:bCs w:val="0"/>
                <w:color w:val="auto"/>
                <w:sz w:val="24"/>
                <w:highlight w:val="none"/>
                <w:lang w:val="en-US" w:eastAsia="zh-CN"/>
              </w:rPr>
              <w:t>颗粒物产生量为35.2t/a，</w:t>
            </w:r>
            <w:r>
              <w:rPr>
                <w:rFonts w:hint="eastAsia" w:ascii="Times New Roman" w:hAnsi="Times New Roman" w:cs="Times New Roman"/>
                <w:color w:val="auto"/>
                <w:lang w:val="en-US" w:eastAsia="zh-CN"/>
              </w:rPr>
              <w:t>集气罩收集效率为97%，布袋除尘器处理效率为99%，</w:t>
            </w:r>
            <w:r>
              <w:rPr>
                <w:rFonts w:hint="eastAsia" w:ascii="Times New Roman" w:hAnsi="Times New Roman" w:eastAsia="宋体" w:cs="Times New Roman"/>
                <w:b w:val="0"/>
                <w:bCs w:val="0"/>
                <w:color w:val="auto"/>
                <w:kern w:val="2"/>
                <w:sz w:val="24"/>
                <w:szCs w:val="24"/>
                <w:highlight w:val="none"/>
                <w:lang w:val="en-US" w:eastAsia="zh-CN" w:bidi="ar-SA"/>
              </w:rPr>
              <w:t>则有组织颗粒物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kern w:val="2"/>
                <w:sz w:val="24"/>
                <w:szCs w:val="24"/>
                <w:highlight w:val="none"/>
                <w:lang w:val="en-US" w:eastAsia="zh-CN" w:bidi="ar-SA"/>
              </w:rPr>
              <w:t>量为</w:t>
            </w:r>
            <w:r>
              <w:rPr>
                <w:rFonts w:hint="eastAsia" w:ascii="Times New Roman" w:hAnsi="Times New Roman" w:cs="Times New Roman"/>
                <w:b w:val="0"/>
                <w:bCs w:val="0"/>
                <w:color w:val="auto"/>
                <w:kern w:val="2"/>
                <w:sz w:val="24"/>
                <w:szCs w:val="24"/>
                <w:highlight w:val="none"/>
                <w:lang w:val="en-US" w:eastAsia="zh-CN" w:bidi="ar-SA"/>
              </w:rPr>
              <w:t>0.341</w:t>
            </w:r>
            <w:r>
              <w:rPr>
                <w:rFonts w:hint="eastAsia" w:ascii="Times New Roman" w:hAnsi="Times New Roman"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无组织颗粒物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1.06t/a。</w:t>
            </w:r>
          </w:p>
          <w:p w14:paraId="7689AB0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DA002排气筒</w:t>
            </w:r>
            <w:r>
              <w:rPr>
                <w:rFonts w:hint="eastAsia" w:ascii="Times New Roman" w:hAnsi="Times New Roman" w:cs="Times New Roman"/>
                <w:color w:val="auto"/>
                <w:highlight w:val="none"/>
                <w:lang w:val="en-US" w:eastAsia="zh-CN"/>
              </w:rPr>
              <w:t>风机风量为25000m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/h，颗粒物排放量为0.5t/a，排放速率为0.208</w:t>
            </w:r>
            <w:r>
              <w:rPr>
                <w:rFonts w:hint="eastAsia" w:ascii="Times New Roman" w:hAnsi="Times New Roman" w:cs="Times New Roman"/>
                <w:b w:val="0"/>
                <w:bCs w:val="0"/>
                <w:color w:val="auto"/>
                <w:sz w:val="24"/>
                <w:highlight w:val="none"/>
                <w:lang w:val="en-US" w:eastAsia="zh-CN"/>
              </w:rPr>
              <w:t>kg/h</w:t>
            </w:r>
            <w:r>
              <w:rPr>
                <w:rFonts w:hint="eastAsia"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color w:val="auto"/>
                <w:highlight w:val="none"/>
                <w:lang w:val="en-US" w:eastAsia="zh-CN"/>
              </w:rPr>
              <w:t>排放浓度为8.33</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rPr>
              <w:t>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highlight w:val="none"/>
                <w:lang w:val="en-US" w:eastAsia="zh-CN"/>
              </w:rPr>
              <w:t>排放量为0.0974t/a，排放速率为0.0406kg/h，排放浓度为1.62</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。甲醛排放量为0.0233</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，排放速率为0.0097kg/h，排放浓度为0.39</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酚类</w:t>
            </w:r>
            <w:r>
              <w:rPr>
                <w:rFonts w:hint="eastAsia" w:ascii="Times New Roman" w:hAnsi="Times New Roman" w:cs="Times New Roman"/>
                <w:color w:val="auto"/>
                <w:highlight w:val="none"/>
                <w:lang w:val="en-US" w:eastAsia="zh-CN"/>
              </w:rPr>
              <w:t>0.0042</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，排放速率为0.00175kg/h，排放浓度为0.07</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p>
          <w:p w14:paraId="2E70D2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3）DA003排气筒废气核算：</w:t>
            </w:r>
          </w:p>
          <w:p w14:paraId="44D9600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①</w:t>
            </w:r>
            <w:r>
              <w:rPr>
                <w:rFonts w:hint="default" w:ascii="Times New Roman" w:hAnsi="Times New Roman" w:cs="Times New Roman"/>
                <w:color w:val="auto"/>
                <w:spacing w:val="-3"/>
              </w:rPr>
              <w:t>制芯、制壳</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颗粒物、VOCs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甲醛、酚类：</w:t>
            </w:r>
          </w:p>
          <w:p w14:paraId="7390A1C4">
            <w:pPr>
              <w:keepNext w:val="0"/>
              <w:keepLines w:val="0"/>
              <w:pageBreakBefore w:val="0"/>
              <w:widowControl w:val="0"/>
              <w:kinsoku/>
              <w:wordWrap/>
              <w:overflowPunct/>
              <w:topLinePunct w:val="0"/>
              <w:autoSpaceDE/>
              <w:autoSpaceDN/>
              <w:bidi w:val="0"/>
              <w:adjustRightInd w:val="0"/>
              <w:snapToGrid w:val="0"/>
              <w:spacing w:line="360" w:lineRule="auto"/>
              <w:ind w:firstLine="468" w:firstLineChars="200"/>
              <w:jc w:val="both"/>
              <w:textAlignment w:val="auto"/>
              <w:rPr>
                <w:rFonts w:hint="eastAsia" w:ascii="Times New Roman" w:hAnsi="Times New Roman" w:cs="Times New Roman"/>
                <w:b w:val="0"/>
                <w:bCs w:val="0"/>
                <w:color w:val="auto"/>
                <w:sz w:val="24"/>
                <w:highlight w:val="none"/>
                <w:lang w:val="en-US" w:eastAsia="zh-CN"/>
              </w:rPr>
            </w:pPr>
            <w:r>
              <w:rPr>
                <w:rFonts w:hint="default" w:ascii="Times New Roman" w:hAnsi="Times New Roman" w:cs="Times New Roman"/>
                <w:color w:val="auto"/>
                <w:spacing w:val="-3"/>
              </w:rPr>
              <w:t>制芯、制壳</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颗粒物、VOCs</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产生系数参考《排放源统计调查产排污核算方法和系数手册》的</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w:t>
            </w:r>
            <w:r>
              <w:rPr>
                <w:rFonts w:hint="default" w:ascii="Times New Roman" w:hAnsi="Times New Roman" w:cs="Times New Roman"/>
                <w:color w:val="auto"/>
                <w:spacing w:val="-3"/>
              </w:rPr>
              <w:t>制芯(热芯盒：覆膜砂)</w:t>
            </w:r>
            <w:r>
              <w:rPr>
                <w:rFonts w:hint="eastAsia" w:ascii="Times New Roman" w:hAnsi="Times New Roman" w:eastAsia="宋体" w:cs="Times New Roman"/>
                <w:b w:val="0"/>
                <w:bCs w:val="0"/>
                <w:color w:val="auto"/>
                <w:sz w:val="24"/>
                <w:highlight w:val="none"/>
                <w:lang w:val="en-US" w:eastAsia="zh-CN"/>
              </w:rPr>
              <w:t>工艺</w:t>
            </w:r>
            <w:r>
              <w:rPr>
                <w:rFonts w:hint="default" w:ascii="Times New Roman" w:hAnsi="Times New Roman" w:eastAsia="宋体" w:cs="Times New Roman"/>
                <w:b w:val="0"/>
                <w:bCs w:val="0"/>
                <w:color w:val="auto"/>
                <w:sz w:val="24"/>
                <w:highlight w:val="none"/>
                <w:lang w:val="en-US" w:eastAsia="zh-CN"/>
              </w:rPr>
              <w:t>核算环节中颗粒物产生系数</w:t>
            </w:r>
            <w:r>
              <w:rPr>
                <w:rFonts w:hint="eastAsia" w:ascii="Times New Roman" w:hAnsi="Times New Roman" w:cs="Times New Roman"/>
                <w:b w:val="0"/>
                <w:bCs w:val="0"/>
                <w:color w:val="auto"/>
                <w:sz w:val="24"/>
                <w:highlight w:val="none"/>
                <w:lang w:val="en-US" w:eastAsia="zh-CN"/>
              </w:rPr>
              <w:t>0.330</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产品、VOCs</w:t>
            </w:r>
            <w:r>
              <w:rPr>
                <w:rFonts w:hint="default" w:ascii="Times New Roman" w:hAnsi="Times New Roman" w:eastAsia="宋体" w:cs="Times New Roman"/>
                <w:b w:val="0"/>
                <w:bCs w:val="0"/>
                <w:color w:val="auto"/>
                <w:sz w:val="24"/>
                <w:highlight w:val="none"/>
                <w:lang w:val="en-US" w:eastAsia="zh-CN"/>
              </w:rPr>
              <w:t>产生系数</w:t>
            </w:r>
            <w:r>
              <w:rPr>
                <w:rFonts w:hint="eastAsia" w:ascii="Times New Roman" w:hAnsi="Times New Roman" w:cs="Times New Roman"/>
                <w:b w:val="0"/>
                <w:bCs w:val="0"/>
                <w:color w:val="auto"/>
                <w:sz w:val="24"/>
                <w:highlight w:val="none"/>
                <w:lang w:val="en-US" w:eastAsia="zh-CN"/>
              </w:rPr>
              <w:t>0.050</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w:t>
            </w:r>
            <w:r>
              <w:rPr>
                <w:rFonts w:hint="eastAsia"/>
                <w:color w:val="auto"/>
                <w:lang w:val="en-US" w:eastAsia="zh-CN"/>
              </w:rPr>
              <w:t>覆膜砂</w:t>
            </w:r>
            <w:r>
              <w:rPr>
                <w:rFonts w:hint="eastAsia" w:ascii="Times New Roman" w:hAnsi="Times New Roman" w:cs="Times New Roman"/>
                <w:b w:val="0"/>
                <w:bCs w:val="0"/>
                <w:color w:val="auto"/>
                <w:sz w:val="24"/>
                <w:highlight w:val="none"/>
                <w:lang w:val="en-US" w:eastAsia="zh-CN"/>
              </w:rPr>
              <w:t>铸造工艺</w:t>
            </w:r>
            <w:r>
              <w:rPr>
                <w:rFonts w:hint="eastAsia" w:ascii="Times New Roman" w:hAnsi="Times New Roman" w:cs="Times New Roman"/>
                <w:color w:val="auto"/>
                <w:lang w:val="en-US" w:eastAsia="zh-CN"/>
              </w:rPr>
              <w:t>技改后</w:t>
            </w:r>
            <w:r>
              <w:rPr>
                <w:rFonts w:hint="default" w:ascii="Times New Roman" w:hAnsi="Times New Roman" w:cs="Times New Roman"/>
                <w:b w:val="0"/>
                <w:bCs/>
                <w:color w:val="auto"/>
                <w:sz w:val="24"/>
                <w:szCs w:val="24"/>
                <w:highlight w:val="none"/>
                <w:lang w:val="en-US" w:eastAsia="zh-CN"/>
              </w:rPr>
              <w:t>产</w:t>
            </w:r>
            <w:r>
              <w:rPr>
                <w:rFonts w:hint="eastAsia" w:ascii="Times New Roman" w:hAnsi="Times New Roman" w:cs="Times New Roman"/>
                <w:color w:val="auto"/>
                <w:lang w:val="en-US" w:eastAsia="zh-CN"/>
              </w:rPr>
              <w:t>能为2200t/a</w:t>
            </w:r>
            <w:r>
              <w:rPr>
                <w:rFonts w:hint="eastAsia" w:ascii="Times New Roman" w:hAnsi="Times New Roman" w:cs="Times New Roman"/>
                <w:b w:val="0"/>
                <w:bCs w:val="0"/>
                <w:color w:val="auto"/>
                <w:sz w:val="24"/>
                <w:highlight w:val="none"/>
                <w:lang w:val="en-US" w:eastAsia="zh-CN"/>
              </w:rPr>
              <w:t>，则该工序颗粒物产生量为0.726</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VOCs</w:t>
            </w:r>
            <w:r>
              <w:rPr>
                <w:rFonts w:hint="default" w:ascii="Times New Roman" w:hAnsi="Times New Roman" w:eastAsia="宋体" w:cs="Times New Roman"/>
                <w:b w:val="0"/>
                <w:bCs w:val="0"/>
                <w:color w:val="auto"/>
                <w:sz w:val="24"/>
                <w:highlight w:val="none"/>
                <w:lang w:val="en-US" w:eastAsia="zh-CN"/>
              </w:rPr>
              <w:t>产生</w:t>
            </w:r>
            <w:r>
              <w:rPr>
                <w:rFonts w:hint="eastAsia" w:ascii="Times New Roman" w:hAnsi="Times New Roman" w:cs="Times New Roman"/>
                <w:b w:val="0"/>
                <w:bCs w:val="0"/>
                <w:color w:val="auto"/>
                <w:sz w:val="24"/>
                <w:highlight w:val="none"/>
                <w:lang w:val="en-US" w:eastAsia="zh-CN"/>
              </w:rPr>
              <w:t>量为0.11</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cs="Times New Roman"/>
                <w:color w:val="auto"/>
                <w:lang w:val="en-US" w:eastAsia="zh-CN"/>
              </w:rPr>
              <w:t>集气罩收集效率为97%，布袋除尘器处理效率为99%，二级活性炭吸附装置处理效率为80%，则颗粒物有组织排放量为</w:t>
            </w:r>
            <w:r>
              <w:rPr>
                <w:rFonts w:hint="eastAsia" w:ascii="Times New Roman" w:hAnsi="Times New Roman" w:cs="Times New Roman"/>
                <w:color w:val="auto"/>
                <w:highlight w:val="none"/>
                <w:lang w:val="en-US" w:eastAsia="zh-CN"/>
              </w:rPr>
              <w:t>0.007</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highlight w:val="none"/>
                <w:lang w:val="en-US" w:eastAsia="zh-CN"/>
              </w:rPr>
              <w:t>有组织排放量为0.021</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eastAsia="宋体" w:cs="Times New Roman"/>
                <w:b w:val="0"/>
                <w:bCs w:val="0"/>
                <w:color w:val="auto"/>
                <w:sz w:val="24"/>
                <w:highlight w:val="none"/>
                <w:lang w:val="en-US" w:eastAsia="zh-CN"/>
              </w:rPr>
              <w:t>无组织颗粒物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0.0218</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，无组织</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0.0033</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p>
          <w:p w14:paraId="19E9D19F">
            <w:pPr>
              <w:keepNext w:val="0"/>
              <w:keepLines w:val="0"/>
              <w:pageBreakBefore w:val="0"/>
              <w:widowControl/>
              <w:suppressLineNumbers w:val="0"/>
              <w:kinsoku/>
              <w:wordWrap/>
              <w:overflowPunct/>
              <w:topLinePunct w:val="0"/>
              <w:autoSpaceDE w:val="0"/>
              <w:autoSpaceDN w:val="0"/>
              <w:bidi w:val="0"/>
              <w:adjustRightInd w:val="0"/>
              <w:snapToGrid w:val="0"/>
              <w:ind w:firstLine="480" w:firstLineChars="200"/>
              <w:jc w:val="both"/>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覆膜砂产生的酚类、甲醛污染物无相关行业产污系数来源，参照淄博博山金田水泵制造有限公司年产5000吨水泵配件技改项目（该项目年生产覆膜砂、树脂砂铸件约1300t，审批文号为博环审字[2017]2061号，2018年1月13日通过自主验收，该项目铸造工艺、原料及产品与本项目基本一致，覆膜砂甲醛、酚类均来自原料砂中的酚醛树脂，产生量视为一致），该项目例行监测数据中，甲醛排放量约为0.033t/a、酚类0.006t/a，本项目年生产覆膜砂铸件2200t，则污染物排放量为甲醛0.056t/a、酚类0.01t/a，废气收集效率按照9</w:t>
            </w:r>
            <w:r>
              <w:rPr>
                <w:rFonts w:hint="eastAsia" w:ascii="Times New Roman" w:hAnsi="Times New Roman" w:cs="Times New Roman"/>
                <w:color w:val="auto"/>
                <w:lang w:val="en-US" w:eastAsia="zh-CN"/>
              </w:rPr>
              <w:t>7</w:t>
            </w:r>
            <w:r>
              <w:rPr>
                <w:rFonts w:hint="default" w:ascii="Times New Roman" w:hAnsi="Times New Roman" w:cs="Times New Roman"/>
                <w:color w:val="auto"/>
                <w:lang w:val="en-US" w:eastAsia="zh-CN"/>
              </w:rPr>
              <w:t>%计，二级活性炭装置处理有机废气效率约为80%，则</w:t>
            </w:r>
            <w:r>
              <w:rPr>
                <w:rFonts w:hint="eastAsia"/>
                <w:color w:val="auto"/>
                <w:lang w:val="en-US" w:eastAsia="zh-CN"/>
              </w:rPr>
              <w:t>覆膜砂</w:t>
            </w:r>
            <w:r>
              <w:rPr>
                <w:rFonts w:hint="eastAsia" w:ascii="Times New Roman" w:hAnsi="Times New Roman" w:cs="Times New Roman"/>
                <w:b w:val="0"/>
                <w:bCs w:val="0"/>
                <w:color w:val="auto"/>
                <w:sz w:val="24"/>
                <w:highlight w:val="none"/>
                <w:lang w:val="en-US" w:eastAsia="zh-CN"/>
              </w:rPr>
              <w:t>铸造工艺</w:t>
            </w:r>
            <w:r>
              <w:rPr>
                <w:rFonts w:hint="default" w:ascii="Times New Roman" w:hAnsi="Times New Roman" w:cs="Times New Roman"/>
                <w:color w:val="auto"/>
                <w:lang w:val="en-US" w:eastAsia="zh-CN"/>
              </w:rPr>
              <w:t>甲醛及酚类产生量为甲醛0.</w:t>
            </w:r>
            <w:r>
              <w:rPr>
                <w:rFonts w:hint="eastAsia" w:ascii="Times New Roman" w:hAnsi="Times New Roman" w:cs="Times New Roman"/>
                <w:color w:val="auto"/>
                <w:lang w:val="en-US" w:eastAsia="zh-CN"/>
              </w:rPr>
              <w:t>289</w:t>
            </w:r>
            <w:r>
              <w:rPr>
                <w:rFonts w:hint="default" w:ascii="Times New Roman" w:hAnsi="Times New Roman" w:cs="Times New Roman"/>
                <w:color w:val="auto"/>
                <w:lang w:val="en-US" w:eastAsia="zh-CN"/>
              </w:rPr>
              <w:t>t/a、酚类 0.05</w:t>
            </w: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t/a。</w:t>
            </w:r>
            <w:r>
              <w:rPr>
                <w:rFonts w:hint="eastAsia" w:ascii="Times New Roman" w:hAnsi="Times New Roman" w:cs="Times New Roman"/>
                <w:color w:val="auto"/>
                <w:lang w:val="en-US" w:eastAsia="zh-CN"/>
              </w:rPr>
              <w:t>项目按照制芯制壳工艺挥发1/6计算，则有组织甲醛排放量为0.0093</w:t>
            </w:r>
            <w:r>
              <w:rPr>
                <w:rFonts w:hint="default" w:ascii="Times New Roman" w:hAnsi="Times New Roman" w:cs="Times New Roman"/>
                <w:color w:val="auto"/>
                <w:lang w:val="en-US" w:eastAsia="zh-CN"/>
              </w:rPr>
              <w:t>t/a、酚类</w:t>
            </w:r>
            <w:r>
              <w:rPr>
                <w:rFonts w:hint="eastAsia" w:ascii="Times New Roman" w:hAnsi="Times New Roman" w:cs="Times New Roman"/>
                <w:color w:val="auto"/>
                <w:lang w:val="en-US" w:eastAsia="zh-CN"/>
              </w:rPr>
              <w:t>0.0017</w:t>
            </w:r>
            <w:r>
              <w:rPr>
                <w:rFonts w:hint="default" w:ascii="Times New Roman" w:hAnsi="Times New Roman" w:cs="Times New Roman"/>
                <w:color w:val="auto"/>
                <w:lang w:val="en-US" w:eastAsia="zh-CN"/>
              </w:rPr>
              <w:t>t/a</w:t>
            </w:r>
            <w:r>
              <w:rPr>
                <w:rFonts w:hint="eastAsia" w:ascii="Times New Roman" w:hAnsi="Times New Roman" w:cs="Times New Roman"/>
                <w:color w:val="auto"/>
                <w:lang w:val="en-US" w:eastAsia="zh-CN"/>
              </w:rPr>
              <w:t>。无组织</w:t>
            </w:r>
            <w:r>
              <w:rPr>
                <w:rFonts w:hint="default" w:ascii="Times New Roman" w:hAnsi="Times New Roman" w:cs="Times New Roman"/>
                <w:color w:val="auto"/>
                <w:lang w:val="en-US" w:eastAsia="zh-CN"/>
              </w:rPr>
              <w:t>甲醛</w:t>
            </w:r>
            <w:r>
              <w:rPr>
                <w:rFonts w:hint="eastAsia" w:ascii="Times New Roman" w:hAnsi="Times New Roman" w:cs="Times New Roman"/>
                <w:color w:val="auto"/>
                <w:lang w:val="en-US" w:eastAsia="zh-CN"/>
              </w:rPr>
              <w:t>排放量为</w:t>
            </w:r>
            <w:r>
              <w:rPr>
                <w:rFonts w:hint="default" w:ascii="Times New Roman" w:hAnsi="Times New Roman" w:cs="Times New Roman"/>
                <w:color w:val="auto"/>
                <w:lang w:val="en-US" w:eastAsia="zh-CN"/>
              </w:rPr>
              <w:t>0.</w:t>
            </w:r>
            <w:r>
              <w:rPr>
                <w:rFonts w:hint="eastAsia" w:ascii="Times New Roman" w:hAnsi="Times New Roman" w:cs="Times New Roman"/>
                <w:color w:val="auto"/>
                <w:lang w:val="en-US" w:eastAsia="zh-CN"/>
              </w:rPr>
              <w:t>0014</w:t>
            </w:r>
            <w:r>
              <w:rPr>
                <w:rFonts w:hint="default" w:ascii="Times New Roman" w:hAnsi="Times New Roman" w:cs="Times New Roman"/>
                <w:color w:val="auto"/>
                <w:lang w:val="en-US" w:eastAsia="zh-CN"/>
              </w:rPr>
              <w:t>t/a、酚类 0.0</w:t>
            </w:r>
            <w:r>
              <w:rPr>
                <w:rFonts w:hint="eastAsia" w:ascii="Times New Roman" w:hAnsi="Times New Roman" w:cs="Times New Roman"/>
                <w:color w:val="auto"/>
                <w:lang w:val="en-US" w:eastAsia="zh-CN"/>
              </w:rPr>
              <w:t>0026</w:t>
            </w:r>
            <w:r>
              <w:rPr>
                <w:rFonts w:hint="default" w:ascii="Times New Roman" w:hAnsi="Times New Roman" w:cs="Times New Roman"/>
                <w:color w:val="auto"/>
                <w:lang w:val="en-US" w:eastAsia="zh-CN"/>
              </w:rPr>
              <w:t>t/a</w:t>
            </w:r>
            <w:r>
              <w:rPr>
                <w:rFonts w:hint="eastAsia" w:ascii="Times New Roman" w:hAnsi="Times New Roman" w:cs="Times New Roman"/>
                <w:color w:val="auto"/>
                <w:lang w:val="en-US" w:eastAsia="zh-CN"/>
              </w:rPr>
              <w:t>。</w:t>
            </w:r>
          </w:p>
          <w:p w14:paraId="1D308E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w:t>
            </w:r>
            <w:r>
              <w:rPr>
                <w:rFonts w:hint="default" w:ascii="Times New Roman" w:hAnsi="Times New Roman" w:cs="Times New Roman"/>
                <w:color w:val="auto"/>
                <w:spacing w:val="-3"/>
              </w:rPr>
              <w:t>去冒口</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颗粒物</w:t>
            </w:r>
          </w:p>
          <w:p w14:paraId="21484FA6">
            <w:pPr>
              <w:keepNext w:val="0"/>
              <w:keepLines w:val="0"/>
              <w:pageBreakBefore w:val="0"/>
              <w:widowControl w:val="0"/>
              <w:kinsoku/>
              <w:wordWrap/>
              <w:overflowPunct/>
              <w:topLinePunct w:val="0"/>
              <w:autoSpaceDE/>
              <w:autoSpaceDN/>
              <w:bidi w:val="0"/>
              <w:adjustRightInd w:val="0"/>
              <w:snapToGrid w:val="0"/>
              <w:spacing w:line="360" w:lineRule="auto"/>
              <w:ind w:firstLine="468"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cs="Times New Roman"/>
                <w:color w:val="auto"/>
                <w:spacing w:val="-3"/>
              </w:rPr>
              <w:t>去冒口</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颗粒物</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产生系数参考《排放源统计调查产排污核算方法和系数手册》的</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下料-下料件-砂轮切割机切割</w:t>
            </w:r>
            <w:r>
              <w:rPr>
                <w:rFonts w:hint="eastAsia" w:ascii="Times New Roman" w:hAnsi="Times New Roman" w:eastAsia="宋体" w:cs="Times New Roman"/>
                <w:b w:val="0"/>
                <w:bCs w:val="0"/>
                <w:color w:val="auto"/>
                <w:sz w:val="24"/>
                <w:highlight w:val="none"/>
                <w:lang w:val="en-US" w:eastAsia="zh-CN"/>
              </w:rPr>
              <w:t>工艺</w:t>
            </w:r>
            <w:r>
              <w:rPr>
                <w:rFonts w:hint="default" w:ascii="Times New Roman" w:hAnsi="Times New Roman" w:eastAsia="宋体" w:cs="Times New Roman"/>
                <w:b w:val="0"/>
                <w:bCs w:val="0"/>
                <w:color w:val="auto"/>
                <w:sz w:val="24"/>
                <w:highlight w:val="none"/>
                <w:lang w:val="en-US" w:eastAsia="zh-CN"/>
              </w:rPr>
              <w:t>核算环节中颗粒物产生系数</w:t>
            </w:r>
            <w:r>
              <w:rPr>
                <w:rFonts w:hint="eastAsia" w:ascii="Times New Roman" w:hAnsi="Times New Roman" w:cs="Times New Roman"/>
                <w:b w:val="0"/>
                <w:bCs w:val="0"/>
                <w:color w:val="auto"/>
                <w:sz w:val="24"/>
                <w:highlight w:val="none"/>
                <w:lang w:val="en-US" w:eastAsia="zh-CN"/>
              </w:rPr>
              <w:t>5.30</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原料。项目每件产品上仅一处冒口，切割废气参照产污系数的1%进行计算。则去冒口过程颗粒物产生量为0.212</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cs="Times New Roman"/>
                <w:color w:val="auto"/>
                <w:lang w:val="en-US" w:eastAsia="zh-CN"/>
              </w:rPr>
              <w:t>集气罩收集效率为97%，布袋除尘器处理效率为99%，则颗粒物有组织排放量为0.00206</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，无组织颗粒物</w:t>
            </w:r>
            <w:r>
              <w:rPr>
                <w:rFonts w:hint="eastAsia" w:ascii="Times New Roman" w:hAnsi="Times New Roman" w:cs="Times New Roman"/>
                <w:color w:val="auto"/>
                <w:lang w:val="en-US" w:eastAsia="zh-CN"/>
              </w:rPr>
              <w:t>排放量为0.00636</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p>
          <w:p w14:paraId="3E35D10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w:t>
            </w:r>
            <w:r>
              <w:rPr>
                <w:rFonts w:hint="default" w:ascii="Times New Roman" w:hAnsi="Times New Roman" w:cs="Times New Roman"/>
                <w:color w:val="auto"/>
                <w:spacing w:val="-3"/>
              </w:rPr>
              <w:t>装箱</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颗粒物</w:t>
            </w:r>
          </w:p>
          <w:p w14:paraId="73F025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eastAsia" w:ascii="Times New Roman" w:hAnsi="Times New Roman" w:cs="Times New Roman"/>
                <w:b w:val="0"/>
                <w:bCs w:val="0"/>
                <w:color w:val="auto"/>
                <w:sz w:val="24"/>
                <w:highlight w:val="none"/>
                <w:lang w:val="en-US" w:eastAsia="zh-CN"/>
              </w:rPr>
              <w:t>项目消失模铸造工序产品产能为1000t/a，</w:t>
            </w:r>
            <w:r>
              <w:rPr>
                <w:rFonts w:hint="default" w:ascii="Times New Roman" w:hAnsi="Times New Roman" w:cs="Times New Roman"/>
                <w:color w:val="auto"/>
                <w:spacing w:val="-3"/>
              </w:rPr>
              <w:t>装箱</w:t>
            </w:r>
            <w:r>
              <w:rPr>
                <w:rFonts w:hint="eastAsia" w:ascii="Times New Roman" w:hAnsi="Times New Roman" w:cs="Times New Roman"/>
                <w:color w:val="auto"/>
                <w:spacing w:val="-3"/>
                <w:lang w:val="en-US" w:eastAsia="zh-CN"/>
              </w:rPr>
              <w:t>工序</w:t>
            </w:r>
            <w:r>
              <w:rPr>
                <w:rFonts w:hint="eastAsia" w:ascii="Times New Roman" w:hAnsi="Times New Roman" w:cs="Times New Roman"/>
                <w:b w:val="0"/>
                <w:bCs w:val="0"/>
                <w:color w:val="auto"/>
                <w:sz w:val="24"/>
                <w:highlight w:val="none"/>
                <w:lang w:val="en-US" w:eastAsia="zh-CN"/>
              </w:rPr>
              <w:t>颗粒物</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产生系数参考《排放源统计调查产排污核算方法和系数手册》的</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cs="Times New Roman"/>
                <w:b w:val="0"/>
                <w:bCs w:val="0"/>
                <w:color w:val="auto"/>
                <w:sz w:val="24"/>
                <w:highlight w:val="none"/>
                <w:lang w:val="en-US" w:eastAsia="zh-CN"/>
              </w:rPr>
              <w:t>铸造-铸件-砂处理(干砂:消失模/V 法）</w:t>
            </w:r>
            <w:r>
              <w:rPr>
                <w:rFonts w:hint="eastAsia" w:ascii="Times New Roman" w:hAnsi="Times New Roman" w:eastAsia="宋体" w:cs="Times New Roman"/>
                <w:b w:val="0"/>
                <w:bCs w:val="0"/>
                <w:color w:val="auto"/>
                <w:sz w:val="24"/>
                <w:highlight w:val="none"/>
                <w:lang w:val="en-US" w:eastAsia="zh-CN"/>
              </w:rPr>
              <w:t>工艺</w:t>
            </w:r>
            <w:r>
              <w:rPr>
                <w:rFonts w:hint="default" w:ascii="Times New Roman" w:hAnsi="Times New Roman" w:eastAsia="宋体" w:cs="Times New Roman"/>
                <w:b w:val="0"/>
                <w:bCs w:val="0"/>
                <w:color w:val="auto"/>
                <w:sz w:val="24"/>
                <w:highlight w:val="none"/>
                <w:lang w:val="en-US" w:eastAsia="zh-CN"/>
              </w:rPr>
              <w:t>核算环节中颗粒物产生系数：</w:t>
            </w:r>
            <w:r>
              <w:rPr>
                <w:rFonts w:hint="eastAsia" w:ascii="Times New Roman" w:hAnsi="Times New Roman" w:cs="Times New Roman"/>
                <w:b w:val="0"/>
                <w:bCs w:val="0"/>
                <w:color w:val="auto"/>
                <w:sz w:val="24"/>
                <w:highlight w:val="none"/>
                <w:lang w:val="en-US" w:eastAsia="zh-CN"/>
              </w:rPr>
              <w:t>7.9</w:t>
            </w:r>
            <w:r>
              <w:rPr>
                <w:rFonts w:hint="eastAsia" w:ascii="Times New Roman" w:hAnsi="Times New Roman" w:eastAsia="宋体" w:cs="Times New Roman"/>
                <w:b w:val="0"/>
                <w:bCs w:val="0"/>
                <w:color w:val="auto"/>
                <w:sz w:val="24"/>
                <w:highlight w:val="none"/>
                <w:lang w:val="en-US" w:eastAsia="zh-CN"/>
              </w:rPr>
              <w:t>kg/t</w:t>
            </w:r>
            <w:r>
              <w:rPr>
                <w:rFonts w:hint="default"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b w:val="0"/>
                <w:bCs w:val="0"/>
                <w:color w:val="auto"/>
                <w:sz w:val="24"/>
                <w:highlight w:val="none"/>
                <w:lang w:val="en-US" w:eastAsia="zh-CN"/>
              </w:rPr>
              <w:t>产品，则</w:t>
            </w:r>
            <w:r>
              <w:rPr>
                <w:rFonts w:hint="default" w:ascii="Times New Roman" w:hAnsi="Times New Roman" w:cs="Times New Roman"/>
                <w:color w:val="auto"/>
                <w:spacing w:val="-3"/>
              </w:rPr>
              <w:t>装箱</w:t>
            </w:r>
            <w:r>
              <w:rPr>
                <w:rFonts w:hint="eastAsia" w:ascii="Times New Roman" w:hAnsi="Times New Roman" w:cs="Times New Roman"/>
                <w:color w:val="auto"/>
                <w:spacing w:val="-3"/>
                <w:lang w:val="en-US" w:eastAsia="zh-CN"/>
              </w:rPr>
              <w:t>工序</w:t>
            </w:r>
            <w:r>
              <w:rPr>
                <w:rFonts w:hint="eastAsia" w:ascii="Times New Roman" w:hAnsi="Times New Roman" w:cs="Times New Roman"/>
                <w:b w:val="0"/>
                <w:bCs w:val="0"/>
                <w:color w:val="auto"/>
                <w:sz w:val="24"/>
                <w:highlight w:val="none"/>
                <w:lang w:val="en-US" w:eastAsia="zh-CN"/>
              </w:rPr>
              <w:t>颗粒物产生量为7.9t/a，</w:t>
            </w:r>
            <w:r>
              <w:rPr>
                <w:rFonts w:hint="eastAsia" w:ascii="Times New Roman" w:hAnsi="Times New Roman" w:cs="Times New Roman"/>
                <w:color w:val="auto"/>
                <w:lang w:val="en-US" w:eastAsia="zh-CN"/>
              </w:rPr>
              <w:t>集气罩收集效率为97%，布袋除尘器处理效率为99%，</w:t>
            </w:r>
            <w:r>
              <w:rPr>
                <w:rFonts w:hint="eastAsia" w:ascii="Times New Roman" w:hAnsi="Times New Roman" w:eastAsia="宋体" w:cs="Times New Roman"/>
                <w:b w:val="0"/>
                <w:bCs w:val="0"/>
                <w:color w:val="auto"/>
                <w:kern w:val="2"/>
                <w:sz w:val="24"/>
                <w:szCs w:val="24"/>
                <w:highlight w:val="none"/>
                <w:lang w:val="en-US" w:eastAsia="zh-CN" w:bidi="ar-SA"/>
              </w:rPr>
              <w:t>则有组织颗粒物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kern w:val="2"/>
                <w:sz w:val="24"/>
                <w:szCs w:val="24"/>
                <w:highlight w:val="none"/>
                <w:lang w:val="en-US" w:eastAsia="zh-CN" w:bidi="ar-SA"/>
              </w:rPr>
              <w:t>量为</w:t>
            </w:r>
            <w:r>
              <w:rPr>
                <w:rFonts w:hint="eastAsia" w:ascii="Times New Roman" w:hAnsi="Times New Roman" w:cs="Times New Roman"/>
                <w:b w:val="0"/>
                <w:bCs w:val="0"/>
                <w:color w:val="auto"/>
                <w:kern w:val="2"/>
                <w:sz w:val="24"/>
                <w:szCs w:val="24"/>
                <w:highlight w:val="none"/>
                <w:lang w:val="en-US" w:eastAsia="zh-CN" w:bidi="ar-SA"/>
              </w:rPr>
              <w:t>0.0766</w:t>
            </w:r>
            <w:r>
              <w:rPr>
                <w:rFonts w:hint="eastAsia" w:ascii="Times New Roman" w:hAnsi="Times New Roman"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无组织颗粒物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量为</w:t>
            </w:r>
            <w:r>
              <w:rPr>
                <w:rFonts w:hint="eastAsia" w:ascii="Times New Roman" w:hAnsi="Times New Roman" w:cs="Times New Roman"/>
                <w:b w:val="0"/>
                <w:bCs w:val="0"/>
                <w:color w:val="auto"/>
                <w:sz w:val="24"/>
                <w:highlight w:val="none"/>
                <w:lang w:val="en-US" w:eastAsia="zh-CN"/>
              </w:rPr>
              <w:t>0.237t/a。</w:t>
            </w:r>
          </w:p>
          <w:p w14:paraId="059262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3"/>
                <w:lang w:eastAsia="zh-CN"/>
              </w:rPr>
            </w:pPr>
            <w:r>
              <w:rPr>
                <w:rFonts w:hint="default" w:ascii="Times New Roman" w:hAnsi="Times New Roman" w:cs="Times New Roman"/>
                <w:color w:val="auto"/>
                <w:lang w:val="en-US" w:eastAsia="zh-CN"/>
              </w:rPr>
              <w:t>④</w:t>
            </w:r>
            <w:r>
              <w:rPr>
                <w:rFonts w:hint="default" w:ascii="Times New Roman" w:hAnsi="Times New Roman" w:cs="Times New Roman"/>
                <w:color w:val="auto"/>
                <w:spacing w:val="-3"/>
              </w:rPr>
              <w:t>模型切割</w:t>
            </w:r>
            <w:r>
              <w:rPr>
                <w:rFonts w:hint="eastAsia" w:ascii="Times New Roman" w:hAnsi="Times New Roman" w:cs="Times New Roman"/>
                <w:color w:val="auto"/>
                <w:spacing w:val="-3"/>
                <w:lang w:val="en-US" w:eastAsia="zh-CN"/>
              </w:rPr>
              <w:t>产生的</w:t>
            </w:r>
            <w:r>
              <w:rPr>
                <w:rFonts w:hint="default" w:ascii="Times New Roman" w:hAnsi="Times New Roman" w:cs="Times New Roman"/>
                <w:color w:val="auto"/>
                <w:spacing w:val="-3"/>
              </w:rPr>
              <w:t>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苯乙烯、臭气浓度</w:t>
            </w:r>
          </w:p>
          <w:p w14:paraId="2721E005">
            <w:pPr>
              <w:keepNext w:val="0"/>
              <w:keepLines w:val="0"/>
              <w:pageBreakBefore w:val="0"/>
              <w:widowControl w:val="0"/>
              <w:kinsoku/>
              <w:wordWrap/>
              <w:overflowPunct/>
              <w:topLinePunct w:val="0"/>
              <w:autoSpaceDE/>
              <w:autoSpaceDN/>
              <w:bidi w:val="0"/>
              <w:adjustRightInd w:val="0"/>
              <w:snapToGrid w:val="0"/>
              <w:spacing w:line="360" w:lineRule="auto"/>
              <w:ind w:firstLine="468"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cs="Times New Roman"/>
                <w:color w:val="auto"/>
                <w:spacing w:val="-3"/>
              </w:rPr>
              <w:t>模型切割</w:t>
            </w:r>
            <w:r>
              <w:rPr>
                <w:rFonts w:hint="eastAsia" w:ascii="Times New Roman" w:hAnsi="Times New Roman" w:cs="Times New Roman"/>
                <w:color w:val="auto"/>
                <w:spacing w:val="-3"/>
                <w:lang w:val="en-US" w:eastAsia="zh-CN"/>
              </w:rPr>
              <w:t>产生的</w:t>
            </w:r>
            <w:r>
              <w:rPr>
                <w:rFonts w:hint="default" w:ascii="Times New Roman" w:hAnsi="Times New Roman" w:cs="Times New Roman"/>
                <w:color w:val="auto"/>
                <w:spacing w:val="-3"/>
              </w:rPr>
              <w:t>VOCs</w:t>
            </w:r>
            <w:r>
              <w:rPr>
                <w:rFonts w:hint="default" w:ascii="Times New Roman" w:hAnsi="Times New Roman" w:eastAsia="宋体" w:cs="Times New Roman"/>
                <w:b w:val="0"/>
                <w:bCs w:val="0"/>
                <w:color w:val="auto"/>
                <w:sz w:val="24"/>
                <w:highlight w:val="none"/>
                <w:lang w:val="en-US" w:eastAsia="zh-CN"/>
              </w:rPr>
              <w:t>产生系数参考《排放源统计调查产排污核算方法和系数手册》的塑料制品行业系数手册</w:t>
            </w:r>
            <w:r>
              <w:rPr>
                <w:rFonts w:hint="eastAsia" w:ascii="Times New Roman" w:hAnsi="Times New Roman" w:cs="Times New Roman"/>
                <w:b w:val="0"/>
                <w:bCs w:val="0"/>
                <w:color w:val="auto"/>
                <w:sz w:val="24"/>
                <w:highlight w:val="none"/>
                <w:lang w:val="en-US" w:eastAsia="zh-CN"/>
              </w:rPr>
              <w:t>中泡沫塑料</w:t>
            </w:r>
            <w:r>
              <w:rPr>
                <w:rFonts w:hint="default" w:ascii="Times New Roman" w:hAnsi="Times New Roman" w:eastAsia="宋体" w:cs="Times New Roman"/>
                <w:b w:val="0"/>
                <w:bCs w:val="0"/>
                <w:color w:val="auto"/>
                <w:sz w:val="24"/>
                <w:highlight w:val="none"/>
                <w:lang w:val="en-US" w:eastAsia="zh-CN"/>
              </w:rPr>
              <w:t>核算环节中</w:t>
            </w:r>
            <w:r>
              <w:rPr>
                <w:rFonts w:hint="eastAsia" w:ascii="Times New Roman" w:hAnsi="Times New Roman" w:cs="Times New Roman"/>
                <w:b w:val="0"/>
                <w:bCs w:val="0"/>
                <w:color w:val="auto"/>
                <w:sz w:val="24"/>
                <w:highlight w:val="none"/>
                <w:lang w:val="en-US" w:eastAsia="zh-CN"/>
              </w:rPr>
              <w:t>VOCs</w:t>
            </w:r>
            <w:r>
              <w:rPr>
                <w:rFonts w:hint="default" w:ascii="Times New Roman" w:hAnsi="Times New Roman" w:eastAsia="宋体" w:cs="Times New Roman"/>
                <w:b w:val="0"/>
                <w:bCs w:val="0"/>
                <w:color w:val="auto"/>
                <w:sz w:val="24"/>
                <w:highlight w:val="none"/>
                <w:lang w:val="en-US" w:eastAsia="zh-CN"/>
              </w:rPr>
              <w:t>产生系数</w:t>
            </w:r>
            <w:r>
              <w:rPr>
                <w:rFonts w:hint="eastAsia" w:ascii="Times New Roman" w:hAnsi="Times New Roman" w:cs="Times New Roman"/>
                <w:b w:val="0"/>
                <w:bCs w:val="0"/>
                <w:color w:val="auto"/>
                <w:sz w:val="24"/>
                <w:highlight w:val="none"/>
                <w:lang w:val="en-US" w:eastAsia="zh-CN"/>
              </w:rPr>
              <w:t>30kg/t-产品，项目需切割的聚苯乙烯泡沫年用量为1t，则VOCs产生量为0.03</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cs="Times New Roman"/>
                <w:color w:val="auto"/>
                <w:lang w:val="en-US" w:eastAsia="zh-CN"/>
              </w:rPr>
              <w:t>集气罩收集效率为97%，二级活性炭吸附装置处理效率为80%，则</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lang w:val="en-US" w:eastAsia="zh-CN"/>
              </w:rPr>
              <w:t>有组织排放量为0.00582t/a，</w:t>
            </w:r>
            <w:r>
              <w:rPr>
                <w:rFonts w:hint="eastAsia" w:ascii="Times New Roman" w:hAnsi="Times New Roman" w:cs="Times New Roman"/>
                <w:b w:val="0"/>
                <w:bCs w:val="0"/>
                <w:color w:val="auto"/>
                <w:sz w:val="24"/>
                <w:highlight w:val="none"/>
                <w:lang w:val="en-US" w:eastAsia="zh-CN"/>
              </w:rPr>
              <w:t>无组织排放量为0.0009</w:t>
            </w:r>
            <w:r>
              <w:rPr>
                <w:rFonts w:hint="eastAsia" w:ascii="Times New Roman" w:hAnsi="Times New Roman" w:cs="Times New Roman"/>
                <w:color w:val="auto"/>
                <w:lang w:val="en-US" w:eastAsia="zh-CN"/>
              </w:rPr>
              <w:t>t/a。</w:t>
            </w:r>
          </w:p>
          <w:p w14:paraId="02EDDAF8">
            <w:pPr>
              <w:keepNext w:val="0"/>
              <w:keepLines w:val="0"/>
              <w:pageBreakBefore w:val="0"/>
              <w:widowControl w:val="0"/>
              <w:kinsoku/>
              <w:wordWrap/>
              <w:overflowPunct/>
              <w:topLinePunct w:val="0"/>
              <w:autoSpaceDE/>
              <w:autoSpaceDN/>
              <w:bidi w:val="0"/>
              <w:adjustRightInd w:val="0"/>
              <w:snapToGrid w:val="0"/>
              <w:spacing w:line="360" w:lineRule="auto"/>
              <w:ind w:firstLine="468"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spacing w:val="-3"/>
              </w:rPr>
              <w:t>⑤</w:t>
            </w:r>
            <w:r>
              <w:rPr>
                <w:rFonts w:hint="eastAsia" w:ascii="Times New Roman" w:hAnsi="Times New Roman" w:cs="Times New Roman"/>
                <w:color w:val="auto"/>
                <w:spacing w:val="-3"/>
                <w:lang w:val="en-US" w:eastAsia="zh-CN"/>
              </w:rPr>
              <w:t>消失模</w:t>
            </w:r>
            <w:r>
              <w:rPr>
                <w:rFonts w:hint="default" w:ascii="Times New Roman" w:hAnsi="Times New Roman" w:cs="Times New Roman"/>
                <w:color w:val="auto"/>
                <w:spacing w:val="-3"/>
              </w:rPr>
              <w:t>烘干</w:t>
            </w:r>
            <w:r>
              <w:rPr>
                <w:rFonts w:hint="eastAsia" w:ascii="Times New Roman" w:hAnsi="Times New Roman" w:cs="Times New Roman"/>
                <w:color w:val="auto"/>
                <w:spacing w:val="-3"/>
                <w:lang w:val="en-US" w:eastAsia="zh-CN"/>
              </w:rPr>
              <w:t>工序产生的</w:t>
            </w:r>
            <w:r>
              <w:rPr>
                <w:rFonts w:hint="default" w:ascii="Times New Roman" w:hAnsi="Times New Roman" w:cs="Times New Roman"/>
                <w:color w:val="auto"/>
                <w:spacing w:val="-3"/>
              </w:rPr>
              <w:t>VOCs</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苯乙烯、臭气浓度</w:t>
            </w:r>
          </w:p>
          <w:p w14:paraId="5895CB67">
            <w:pPr>
              <w:keepNext w:val="0"/>
              <w:keepLines w:val="0"/>
              <w:pageBreakBefore w:val="0"/>
              <w:widowControl w:val="0"/>
              <w:kinsoku/>
              <w:wordWrap/>
              <w:overflowPunct/>
              <w:topLinePunct w:val="0"/>
              <w:autoSpaceDE/>
              <w:autoSpaceDN/>
              <w:bidi w:val="0"/>
              <w:adjustRightInd w:val="0"/>
              <w:snapToGrid w:val="0"/>
              <w:spacing w:line="360" w:lineRule="auto"/>
              <w:ind w:firstLine="468"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spacing w:val="-3"/>
              </w:rPr>
              <w:t>本项目消失模涂料主要成分为锆英粉、膨润土、硅溶胶，是一种优良的耐火材料，经配比后人工涂抹于塑料模具表面。粘合剂(含量为涂料的 10%左右)中含有少量游离的有机物，常温下较为稳定，不易挥发，人工涂装作业时间较短，该过程产生的有机废气可忽略不计。模具涂料会在干燥过程中产生一定的有机废气 VOCs和水分。参照《空气污染物排放和控制手册》(美国国家环保局)中的推荐公式:该手册认为在无控制措施时，VOCs 的排放系数为 0.35kg/吨原料，</w:t>
            </w:r>
            <w:r>
              <w:rPr>
                <w:rFonts w:hint="eastAsia" w:ascii="Times New Roman" w:hAnsi="Times New Roman" w:cs="Times New Roman"/>
                <w:b w:val="0"/>
                <w:bCs w:val="0"/>
                <w:color w:val="auto"/>
                <w:sz w:val="24"/>
                <w:highlight w:val="none"/>
                <w:lang w:val="en-US" w:eastAsia="zh-CN"/>
              </w:rPr>
              <w:t>项目耐火涂料年用量为5t，则VOCs产生量为0.00175</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r>
              <w:rPr>
                <w:rFonts w:hint="eastAsia" w:ascii="Times New Roman" w:hAnsi="Times New Roman" w:cs="Times New Roman"/>
                <w:color w:val="auto"/>
                <w:highlight w:val="none"/>
                <w:lang w:val="en-US" w:eastAsia="zh-CN"/>
              </w:rPr>
              <w:t>集气罩收集效率为97%，二级活性炭吸附装置处理效率为80%，则</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highlight w:val="none"/>
                <w:lang w:val="en-US" w:eastAsia="zh-CN"/>
              </w:rPr>
              <w:t>有组织排放量为0.00034</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，无组织排放量为0.0000525</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cs="Times New Roman"/>
                <w:b w:val="0"/>
                <w:bCs w:val="0"/>
                <w:color w:val="auto"/>
                <w:sz w:val="24"/>
                <w:highlight w:val="none"/>
                <w:lang w:val="en-US" w:eastAsia="zh-CN"/>
              </w:rPr>
              <w:t>。</w:t>
            </w:r>
          </w:p>
          <w:p w14:paraId="0C1712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⑥</w:t>
            </w:r>
            <w:r>
              <w:rPr>
                <w:rFonts w:hint="eastAsia" w:ascii="Times New Roman" w:hAnsi="Times New Roman" w:cs="Times New Roman"/>
                <w:b w:val="0"/>
                <w:bCs/>
                <w:color w:val="auto"/>
                <w:sz w:val="24"/>
                <w:szCs w:val="24"/>
                <w:highlight w:val="none"/>
                <w:lang w:val="en-US" w:eastAsia="zh-CN"/>
              </w:rPr>
              <w:t>抛丸工序</w:t>
            </w:r>
            <w:r>
              <w:rPr>
                <w:rFonts w:hint="default" w:ascii="Times New Roman" w:hAnsi="Times New Roman" w:cs="Times New Roman"/>
                <w:b w:val="0"/>
                <w:bCs/>
                <w:color w:val="auto"/>
                <w:sz w:val="24"/>
                <w:szCs w:val="24"/>
                <w:highlight w:val="none"/>
                <w:lang w:val="en-US" w:eastAsia="zh-CN"/>
              </w:rPr>
              <w:t>产生的</w:t>
            </w:r>
            <w:r>
              <w:rPr>
                <w:rFonts w:hint="eastAsia" w:ascii="Times New Roman" w:hAnsi="Times New Roman" w:cs="Times New Roman"/>
                <w:b w:val="0"/>
                <w:bCs/>
                <w:color w:val="auto"/>
                <w:sz w:val="24"/>
                <w:szCs w:val="24"/>
                <w:highlight w:val="none"/>
                <w:lang w:val="en-US" w:eastAsia="zh-CN"/>
              </w:rPr>
              <w:t>颗粒物</w:t>
            </w:r>
          </w:p>
          <w:p w14:paraId="0FAC6E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sz w:val="24"/>
                <w:highlight w:val="none"/>
                <w:lang w:val="en-US" w:eastAsia="zh-CN"/>
              </w:rPr>
              <w:t>本项目</w:t>
            </w:r>
            <w:r>
              <w:rPr>
                <w:rFonts w:hint="eastAsia" w:ascii="Times New Roman" w:hAnsi="Times New Roman" w:eastAsia="宋体" w:cs="Times New Roman"/>
                <w:b w:val="0"/>
                <w:bCs w:val="0"/>
                <w:color w:val="auto"/>
                <w:sz w:val="24"/>
                <w:highlight w:val="none"/>
                <w:lang w:val="en-US" w:eastAsia="zh-CN"/>
              </w:rPr>
              <w:t>抛丸</w:t>
            </w:r>
            <w:r>
              <w:rPr>
                <w:rFonts w:hint="default" w:ascii="Times New Roman" w:hAnsi="Times New Roman" w:eastAsia="宋体" w:cs="Times New Roman"/>
                <w:b w:val="0"/>
                <w:bCs w:val="0"/>
                <w:color w:val="auto"/>
                <w:sz w:val="24"/>
                <w:highlight w:val="none"/>
                <w:lang w:val="en-US" w:eastAsia="zh-CN"/>
              </w:rPr>
              <w:t>过程会产生颗粒物，</w:t>
            </w:r>
            <w:r>
              <w:rPr>
                <w:rFonts w:hint="eastAsia" w:ascii="Times New Roman" w:hAnsi="Times New Roman" w:eastAsia="宋体" w:cs="Times New Roman"/>
                <w:b w:val="0"/>
                <w:bCs w:val="0"/>
                <w:color w:val="auto"/>
                <w:sz w:val="24"/>
                <w:highlight w:val="none"/>
                <w:lang w:val="en-US" w:eastAsia="zh-CN"/>
              </w:rPr>
              <w:t>抛丸</w:t>
            </w:r>
            <w:r>
              <w:rPr>
                <w:rFonts w:hint="default" w:ascii="Times New Roman" w:hAnsi="Times New Roman" w:eastAsia="宋体" w:cs="Times New Roman"/>
                <w:b w:val="0"/>
                <w:bCs w:val="0"/>
                <w:color w:val="auto"/>
                <w:sz w:val="24"/>
                <w:highlight w:val="none"/>
                <w:lang w:val="en-US" w:eastAsia="zh-CN"/>
              </w:rPr>
              <w:t>粉尘产生系数参考《排放源统计调查产排污核算方法和系数手册》的</w:t>
            </w:r>
            <w:r>
              <w:rPr>
                <w:rFonts w:hint="eastAsia" w:ascii="Times New Roman" w:hAnsi="Times New Roman" w:eastAsia="宋体" w:cs="Times New Roman"/>
                <w:b w:val="0"/>
                <w:bCs w:val="0"/>
                <w:color w:val="auto"/>
                <w:sz w:val="24"/>
                <w:highlight w:val="none"/>
                <w:lang w:val="en-US" w:eastAsia="zh-CN"/>
              </w:rPr>
              <w:t>机械</w:t>
            </w:r>
            <w:r>
              <w:rPr>
                <w:rFonts w:hint="default" w:ascii="Times New Roman" w:hAnsi="Times New Roman" w:eastAsia="宋体" w:cs="Times New Roman"/>
                <w:b w:val="0"/>
                <w:bCs w:val="0"/>
                <w:color w:val="auto"/>
                <w:sz w:val="24"/>
                <w:highlight w:val="none"/>
                <w:lang w:val="en-US" w:eastAsia="zh-CN"/>
              </w:rPr>
              <w:t>行业系数手册中</w:t>
            </w:r>
            <w:r>
              <w:rPr>
                <w:rFonts w:hint="eastAsia" w:ascii="Times New Roman" w:hAnsi="Times New Roman" w:eastAsia="宋体" w:cs="Times New Roman"/>
                <w:b w:val="0"/>
                <w:bCs w:val="0"/>
                <w:color w:val="auto"/>
                <w:sz w:val="24"/>
                <w:highlight w:val="none"/>
                <w:lang w:val="en-US" w:eastAsia="zh-CN"/>
              </w:rPr>
              <w:t>干式预处理件-抛丸工艺</w:t>
            </w:r>
            <w:r>
              <w:rPr>
                <w:rFonts w:hint="default" w:ascii="Times New Roman" w:hAnsi="Times New Roman" w:eastAsia="宋体" w:cs="Times New Roman"/>
                <w:b w:val="0"/>
                <w:bCs w:val="0"/>
                <w:color w:val="auto"/>
                <w:sz w:val="24"/>
                <w:highlight w:val="none"/>
                <w:lang w:val="en-US" w:eastAsia="zh-CN"/>
              </w:rPr>
              <w:t>核算环节中颗粒物产生系数：</w:t>
            </w:r>
            <w:r>
              <w:rPr>
                <w:rFonts w:hint="eastAsia" w:ascii="Times New Roman" w:hAnsi="Times New Roman" w:eastAsia="宋体" w:cs="Times New Roman"/>
                <w:b w:val="0"/>
                <w:bCs w:val="0"/>
                <w:color w:val="auto"/>
                <w:sz w:val="24"/>
                <w:highlight w:val="none"/>
                <w:lang w:val="en-US" w:eastAsia="zh-CN"/>
              </w:rPr>
              <w:t>2.19kg/t</w:t>
            </w:r>
            <w:r>
              <w:rPr>
                <w:rFonts w:hint="default" w:ascii="Times New Roman" w:hAnsi="Times New Roman" w:eastAsia="宋体" w:cs="Times New Roman"/>
                <w:b w:val="0"/>
                <w:bCs w:val="0"/>
                <w:color w:val="auto"/>
                <w:sz w:val="24"/>
                <w:highlight w:val="none"/>
                <w:lang w:val="en-US" w:eastAsia="zh-CN"/>
              </w:rPr>
              <w:t>-原料</w:t>
            </w:r>
            <w:r>
              <w:rPr>
                <w:rFonts w:hint="eastAsia" w:ascii="Times New Roman" w:hAnsi="Times New Roman" w:eastAsia="宋体" w:cs="Times New Roman"/>
                <w:b w:val="0"/>
                <w:bCs w:val="0"/>
                <w:color w:val="auto"/>
                <w:sz w:val="24"/>
                <w:highlight w:val="none"/>
                <w:lang w:val="en-US" w:eastAsia="zh-CN"/>
              </w:rPr>
              <w:t>。本项目</w:t>
            </w:r>
            <w:r>
              <w:rPr>
                <w:rFonts w:hint="eastAsia" w:ascii="Times New Roman" w:hAnsi="Times New Roman" w:cs="Times New Roman"/>
                <w:b w:val="0"/>
                <w:bCs w:val="0"/>
                <w:color w:val="auto"/>
                <w:sz w:val="24"/>
                <w:highlight w:val="none"/>
                <w:lang w:val="en-US" w:eastAsia="zh-CN"/>
              </w:rPr>
              <w:t>每台抛丸机</w:t>
            </w:r>
            <w:r>
              <w:rPr>
                <w:rFonts w:hint="eastAsia" w:ascii="Times New Roman" w:hAnsi="Times New Roman" w:eastAsia="宋体" w:cs="Times New Roman"/>
                <w:b w:val="0"/>
                <w:bCs w:val="0"/>
                <w:color w:val="auto"/>
                <w:sz w:val="24"/>
                <w:highlight w:val="none"/>
                <w:lang w:val="en-US" w:eastAsia="zh-CN"/>
              </w:rPr>
              <w:t>阀体、</w:t>
            </w:r>
            <w:r>
              <w:rPr>
                <w:rFonts w:hint="eastAsia" w:ascii="Times New Roman" w:hAnsi="Times New Roman" w:cs="Times New Roman"/>
                <w:b w:val="0"/>
                <w:bCs w:val="0"/>
                <w:color w:val="auto"/>
                <w:sz w:val="24"/>
                <w:highlight w:val="none"/>
                <w:lang w:val="en-US" w:eastAsia="zh-CN"/>
              </w:rPr>
              <w:t>泵类配件</w:t>
            </w:r>
            <w:r>
              <w:rPr>
                <w:rFonts w:hint="eastAsia" w:ascii="Times New Roman" w:hAnsi="Times New Roman" w:eastAsia="宋体" w:cs="Times New Roman"/>
                <w:b w:val="0"/>
                <w:bCs w:val="0"/>
                <w:color w:val="auto"/>
                <w:sz w:val="24"/>
                <w:highlight w:val="none"/>
                <w:lang w:val="en-US" w:eastAsia="zh-CN"/>
              </w:rPr>
              <w:t>等需抛丸的原料</w:t>
            </w:r>
            <w:r>
              <w:rPr>
                <w:rFonts w:hint="default" w:ascii="Times New Roman" w:hAnsi="Times New Roman" w:eastAsia="宋体" w:cs="Times New Roman"/>
                <w:b w:val="0"/>
                <w:bCs w:val="0"/>
                <w:color w:val="auto"/>
                <w:sz w:val="24"/>
                <w:highlight w:val="none"/>
                <w:lang w:val="en-US" w:eastAsia="zh-CN"/>
              </w:rPr>
              <w:t>使用量为</w:t>
            </w:r>
            <w:r>
              <w:rPr>
                <w:rFonts w:hint="eastAsia" w:ascii="Times New Roman" w:hAnsi="Times New Roman" w:cs="Times New Roman"/>
                <w:b w:val="0"/>
                <w:bCs w:val="0"/>
                <w:color w:val="auto"/>
                <w:sz w:val="24"/>
                <w:highlight w:val="none"/>
                <w:lang w:val="en-US" w:eastAsia="zh-CN"/>
              </w:rPr>
              <w:t>2000</w:t>
            </w:r>
            <w:r>
              <w:rPr>
                <w:rFonts w:hint="eastAsia" w:ascii="Times New Roman" w:hAnsi="Times New Roman" w:eastAsia="宋体" w:cs="Times New Roman"/>
                <w:b w:val="0"/>
                <w:bCs w:val="0"/>
                <w:color w:val="auto"/>
                <w:sz w:val="24"/>
                <w:highlight w:val="none"/>
                <w:lang w:val="en-US" w:eastAsia="zh-CN"/>
              </w:rPr>
              <w:t>t/a</w:t>
            </w:r>
            <w:r>
              <w:rPr>
                <w:rFonts w:hint="default" w:ascii="Times New Roman" w:hAnsi="Times New Roman" w:eastAsia="宋体" w:cs="Times New Roman"/>
                <w:b w:val="0"/>
                <w:bCs w:val="0"/>
                <w:color w:val="auto"/>
                <w:sz w:val="24"/>
                <w:highlight w:val="none"/>
                <w:lang w:val="en-US" w:eastAsia="zh-CN"/>
              </w:rPr>
              <w:t>，则</w:t>
            </w:r>
            <w:r>
              <w:rPr>
                <w:rFonts w:hint="eastAsia" w:ascii="Times New Roman" w:hAnsi="Times New Roman" w:cs="Times New Roman"/>
                <w:b w:val="0"/>
                <w:bCs/>
                <w:color w:val="auto"/>
                <w:sz w:val="24"/>
                <w:szCs w:val="24"/>
                <w:highlight w:val="none"/>
                <w:lang w:val="en-US" w:eastAsia="zh-CN"/>
              </w:rPr>
              <w:t>抛丸工序</w:t>
            </w:r>
            <w:r>
              <w:rPr>
                <w:rFonts w:hint="eastAsia" w:ascii="Times New Roman" w:hAnsi="Times New Roman" w:eastAsia="宋体" w:cs="Times New Roman"/>
                <w:b w:val="0"/>
                <w:bCs w:val="0"/>
                <w:color w:val="auto"/>
                <w:sz w:val="24"/>
                <w:highlight w:val="none"/>
                <w:lang w:val="en-US" w:eastAsia="zh-CN"/>
              </w:rPr>
              <w:t>颗粒物</w:t>
            </w:r>
            <w:r>
              <w:rPr>
                <w:rFonts w:hint="default" w:ascii="Times New Roman" w:hAnsi="Times New Roman" w:eastAsia="宋体" w:cs="Times New Roman"/>
                <w:b w:val="0"/>
                <w:bCs w:val="0"/>
                <w:color w:val="auto"/>
                <w:sz w:val="24"/>
                <w:highlight w:val="none"/>
                <w:lang w:val="en-US" w:eastAsia="zh-CN"/>
              </w:rPr>
              <w:t>产生量为</w:t>
            </w:r>
            <w:r>
              <w:rPr>
                <w:rFonts w:hint="eastAsia" w:ascii="Times New Roman" w:hAnsi="Times New Roman" w:cs="Times New Roman"/>
                <w:b w:val="0"/>
                <w:bCs w:val="0"/>
                <w:color w:val="auto"/>
                <w:sz w:val="24"/>
                <w:highlight w:val="none"/>
                <w:lang w:val="en-US" w:eastAsia="zh-CN"/>
              </w:rPr>
              <w:t>4.38</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，抛丸机为封闭式，</w:t>
            </w:r>
            <w:r>
              <w:rPr>
                <w:rFonts w:hint="default" w:ascii="Times New Roman" w:hAnsi="Times New Roman" w:eastAsia="宋体" w:cs="Times New Roman"/>
                <w:b w:val="0"/>
                <w:bCs w:val="0"/>
                <w:color w:val="auto"/>
                <w:kern w:val="2"/>
                <w:sz w:val="24"/>
                <w:szCs w:val="24"/>
                <w:highlight w:val="none"/>
                <w:lang w:val="en-US" w:eastAsia="zh-CN" w:bidi="ar-SA"/>
              </w:rPr>
              <w:t>配套负压收集管道（收集效率97%）</w:t>
            </w:r>
            <w:r>
              <w:rPr>
                <w:rFonts w:hint="eastAsia" w:ascii="Times New Roman" w:hAnsi="Times New Roman" w:eastAsia="宋体" w:cs="Times New Roman"/>
                <w:b w:val="0"/>
                <w:bCs w:val="0"/>
                <w:color w:val="auto"/>
                <w:kern w:val="2"/>
                <w:sz w:val="24"/>
                <w:szCs w:val="24"/>
                <w:highlight w:val="none"/>
                <w:lang w:val="en-US" w:eastAsia="zh-CN" w:bidi="ar-SA"/>
              </w:rPr>
              <w:t>，则有组织颗粒物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kern w:val="2"/>
                <w:sz w:val="24"/>
                <w:szCs w:val="24"/>
                <w:highlight w:val="none"/>
                <w:lang w:val="en-US" w:eastAsia="zh-CN" w:bidi="ar-SA"/>
              </w:rPr>
              <w:t>量为</w:t>
            </w:r>
            <w:r>
              <w:rPr>
                <w:rFonts w:hint="eastAsia" w:ascii="Times New Roman" w:hAnsi="Times New Roman" w:cs="Times New Roman"/>
                <w:b w:val="0"/>
                <w:bCs w:val="0"/>
                <w:color w:val="auto"/>
                <w:kern w:val="2"/>
                <w:sz w:val="24"/>
                <w:szCs w:val="24"/>
                <w:highlight w:val="none"/>
                <w:lang w:val="en-US" w:eastAsia="zh-CN" w:bidi="ar-SA"/>
              </w:rPr>
              <w:t>0.0425</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，无组织颗粒物</w:t>
            </w:r>
            <w:r>
              <w:rPr>
                <w:rFonts w:hint="eastAsia" w:ascii="Times New Roman" w:hAnsi="Times New Roman" w:cs="Times New Roman"/>
                <w:b w:val="0"/>
                <w:bCs w:val="0"/>
                <w:color w:val="auto"/>
                <w:kern w:val="2"/>
                <w:sz w:val="24"/>
                <w:szCs w:val="24"/>
                <w:highlight w:val="none"/>
                <w:lang w:val="en-US" w:eastAsia="zh-CN" w:bidi="ar-SA"/>
              </w:rPr>
              <w:t>排放</w:t>
            </w:r>
            <w:r>
              <w:rPr>
                <w:rFonts w:hint="eastAsia" w:ascii="Times New Roman" w:hAnsi="Times New Roman" w:eastAsia="宋体" w:cs="Times New Roman"/>
                <w:b w:val="0"/>
                <w:bCs w:val="0"/>
                <w:color w:val="auto"/>
                <w:sz w:val="24"/>
                <w:highlight w:val="none"/>
                <w:lang w:val="en-US" w:eastAsia="zh-CN"/>
              </w:rPr>
              <w:t>量</w:t>
            </w:r>
            <w:r>
              <w:rPr>
                <w:rFonts w:hint="eastAsia" w:ascii="Times New Roman" w:hAnsi="Times New Roman" w:eastAsia="宋体" w:cs="Times New Roman"/>
                <w:b w:val="0"/>
                <w:bCs w:val="0"/>
                <w:color w:val="auto"/>
                <w:kern w:val="2"/>
                <w:sz w:val="24"/>
                <w:szCs w:val="24"/>
                <w:highlight w:val="none"/>
                <w:lang w:val="en-US" w:eastAsia="zh-CN" w:bidi="ar-SA"/>
              </w:rPr>
              <w:t>为0.131</w:t>
            </w:r>
            <w:r>
              <w:rPr>
                <w:rFonts w:hint="default" w:ascii="Times New Roman" w:hAnsi="Times New Roman" w:eastAsia="宋体" w:cs="Times New Roman"/>
                <w:b w:val="0"/>
                <w:bCs w:val="0"/>
                <w:color w:val="auto"/>
                <w:kern w:val="2"/>
                <w:sz w:val="24"/>
                <w:szCs w:val="24"/>
                <w:highlight w:val="none"/>
                <w:lang w:val="en-US" w:eastAsia="zh-CN" w:bidi="ar-SA"/>
              </w:rPr>
              <w:t>t/a。</w:t>
            </w:r>
          </w:p>
          <w:p w14:paraId="7EE3D5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DA003排气筒风机风量为10000m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/h，颗粒物排放量为0.128t/a，排放速率为0.0533</w:t>
            </w:r>
            <w:r>
              <w:rPr>
                <w:rFonts w:hint="default" w:ascii="Times New Roman" w:hAnsi="Times New Roman" w:eastAsia="宋体" w:cs="Times New Roman"/>
                <w:b w:val="0"/>
                <w:bCs w:val="0"/>
                <w:color w:val="auto"/>
                <w:sz w:val="24"/>
                <w:highlight w:val="none"/>
                <w:lang w:val="en-US" w:eastAsia="zh-CN"/>
              </w:rPr>
              <w:t>t/a</w:t>
            </w:r>
            <w:r>
              <w:rPr>
                <w:rFonts w:hint="eastAsia" w:ascii="Times New Roman" w:hAnsi="Times New Roman" w:eastAsia="宋体" w:cs="Times New Roman"/>
                <w:b w:val="0"/>
                <w:bCs w:val="0"/>
                <w:color w:val="auto"/>
                <w:sz w:val="24"/>
                <w:highlight w:val="none"/>
                <w:lang w:val="en-US" w:eastAsia="zh-CN"/>
              </w:rPr>
              <w:t>，</w:t>
            </w:r>
            <w:r>
              <w:rPr>
                <w:rFonts w:hint="eastAsia" w:ascii="Times New Roman" w:hAnsi="Times New Roman" w:cs="Times New Roman"/>
                <w:color w:val="auto"/>
                <w:highlight w:val="none"/>
                <w:lang w:val="en-US" w:eastAsia="zh-CN"/>
              </w:rPr>
              <w:t>排放浓度为5.33</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rPr>
              <w:t>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r>
              <w:rPr>
                <w:rFonts w:hint="eastAsia" w:ascii="Times New Roman" w:hAnsi="Times New Roman" w:cs="Times New Roman"/>
                <w:b w:val="0"/>
                <w:bCs w:val="0"/>
                <w:color w:val="auto"/>
                <w:sz w:val="24"/>
                <w:highlight w:val="none"/>
                <w:lang w:val="en-US" w:eastAsia="zh-CN"/>
              </w:rPr>
              <w:t>VOCs</w:t>
            </w:r>
            <w:r>
              <w:rPr>
                <w:rFonts w:hint="eastAsia" w:ascii="Times New Roman" w:hAnsi="Times New Roman" w:cs="Times New Roman"/>
                <w:color w:val="auto"/>
                <w:highlight w:val="none"/>
                <w:lang w:val="en-US" w:eastAsia="zh-CN"/>
              </w:rPr>
              <w:t>排放量为0.0272t/a，排放速率为0.0113kg/h，排放浓度为1.13</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lang w:val="en-US" w:eastAsia="zh-CN"/>
              </w:rPr>
              <w:t>甲醛排放量为0.0093</w:t>
            </w:r>
            <w:r>
              <w:rPr>
                <w:rFonts w:hint="default" w:ascii="Times New Roman" w:hAnsi="Times New Roman" w:cs="Times New Roman"/>
                <w:color w:val="auto"/>
                <w:lang w:val="en-US" w:eastAsia="zh-CN"/>
              </w:rPr>
              <w:t>t/a</w:t>
            </w:r>
            <w:r>
              <w:rPr>
                <w:rFonts w:hint="eastAsia" w:ascii="Times New Roman" w:hAnsi="Times New Roman" w:cs="Times New Roman"/>
                <w:color w:val="auto"/>
                <w:lang w:val="en-US" w:eastAsia="zh-CN"/>
              </w:rPr>
              <w:t>，</w:t>
            </w:r>
            <w:r>
              <w:rPr>
                <w:rFonts w:hint="eastAsia" w:ascii="Times New Roman" w:hAnsi="Times New Roman" w:cs="Times New Roman"/>
                <w:color w:val="auto"/>
                <w:highlight w:val="none"/>
                <w:lang w:val="en-US" w:eastAsia="zh-CN"/>
              </w:rPr>
              <w:t>排放速率为0.0039kg/h，排放浓度为0.39</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lang w:val="en-US" w:eastAsia="zh-CN"/>
              </w:rPr>
              <w:t>酚类</w:t>
            </w:r>
            <w:r>
              <w:rPr>
                <w:rFonts w:hint="eastAsia" w:ascii="Times New Roman" w:hAnsi="Times New Roman" w:cs="Times New Roman"/>
                <w:color w:val="auto"/>
                <w:lang w:val="en-US" w:eastAsia="zh-CN"/>
              </w:rPr>
              <w:t>0.0017</w:t>
            </w:r>
            <w:r>
              <w:rPr>
                <w:rFonts w:hint="default" w:ascii="Times New Roman" w:hAnsi="Times New Roman" w:cs="Times New Roman"/>
                <w:color w:val="auto"/>
                <w:lang w:val="en-US" w:eastAsia="zh-CN"/>
              </w:rPr>
              <w:t>t/a</w:t>
            </w:r>
            <w:r>
              <w:rPr>
                <w:rFonts w:hint="eastAsia" w:ascii="Times New Roman" w:hAnsi="Times New Roman" w:cs="Times New Roman"/>
                <w:color w:val="auto"/>
                <w:lang w:val="en-US" w:eastAsia="zh-CN"/>
              </w:rPr>
              <w:t>，</w:t>
            </w:r>
            <w:r>
              <w:rPr>
                <w:rFonts w:hint="eastAsia" w:ascii="Times New Roman" w:hAnsi="Times New Roman" w:cs="Times New Roman"/>
                <w:color w:val="auto"/>
                <w:highlight w:val="none"/>
                <w:lang w:val="en-US" w:eastAsia="zh-CN"/>
              </w:rPr>
              <w:t>排放速率为0.00071kg/h，排放浓度为0.071</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eastAsia" w:ascii="Times New Roman" w:hAnsi="Times New Roman" w:cs="Times New Roman"/>
                <w:color w:val="auto"/>
                <w:highlight w:val="none"/>
                <w:lang w:val="en-US" w:eastAsia="zh-CN"/>
              </w:rPr>
              <w:t>。</w:t>
            </w:r>
          </w:p>
          <w:p w14:paraId="7B184E0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（2）无组织废气源强核算</w:t>
            </w:r>
          </w:p>
          <w:p w14:paraId="50F870B2">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①焊接烟尘</w:t>
            </w:r>
          </w:p>
          <w:p w14:paraId="1DEE446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焊接烟尘是由金属及非金属物质在过热条件下产生的蒸气经氧化和冷凝而形成的。根据《排放源统计调查产排污核算方法和系数手册》的机械行业系数手册中焊接核算环节中手工电弧焊颗粒物产生系数：</w:t>
            </w:r>
            <w:r>
              <w:rPr>
                <w:rFonts w:hint="eastAsia" w:ascii="Times New Roman" w:hAnsi="Times New Roman" w:cs="Times New Roman"/>
                <w:color w:val="auto"/>
                <w:highlight w:val="none"/>
                <w:lang w:val="en-US" w:eastAsia="zh-CN"/>
              </w:rPr>
              <w:t>20.2</w:t>
            </w:r>
            <w:r>
              <w:rPr>
                <w:rFonts w:hint="default" w:ascii="Times New Roman" w:hAnsi="Times New Roman" w:cs="Times New Roman"/>
                <w:color w:val="auto"/>
                <w:highlight w:val="none"/>
                <w:lang w:val="en-US" w:eastAsia="zh-CN"/>
              </w:rPr>
              <w:t>kg/吨-原料。</w:t>
            </w:r>
          </w:p>
          <w:p w14:paraId="2CF7B7C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本项目新增焊条用量0.01t/a，则焊接烟尘产生量0.</w:t>
            </w:r>
            <w:r>
              <w:rPr>
                <w:rFonts w:hint="eastAsia" w:ascii="Times New Roman" w:hAnsi="Times New Roman" w:cs="Times New Roman"/>
                <w:color w:val="auto"/>
                <w:highlight w:val="none"/>
                <w:lang w:val="en-US" w:eastAsia="zh-CN"/>
              </w:rPr>
              <w:t>000202t</w:t>
            </w:r>
            <w:r>
              <w:rPr>
                <w:rFonts w:hint="default" w:ascii="Times New Roman" w:hAnsi="Times New Roman" w:cs="Times New Roman"/>
                <w:color w:val="auto"/>
                <w:highlight w:val="none"/>
                <w:lang w:val="en-US" w:eastAsia="zh-CN"/>
              </w:rPr>
              <w:t>/a，经集气罩收集、焊烟净化器处理后车间内无组织排放，集气罩的收集效率为90%，焊烟净化器对烟尘的处理效率为95%，则颗粒物无组织排放量为0.0000</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t/a。</w:t>
            </w:r>
          </w:p>
          <w:p w14:paraId="098A949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w:t>
            </w:r>
            <w:r>
              <w:rPr>
                <w:rFonts w:hint="eastAsia" w:ascii="Times New Roman" w:hAnsi="Times New Roman" w:cs="Times New Roman"/>
                <w:color w:val="auto"/>
                <w:highlight w:val="none"/>
                <w:lang w:val="en-US" w:eastAsia="zh-CN"/>
              </w:rPr>
              <w:t>未收集颗粒物、VOCs、甲醛及酚类</w:t>
            </w:r>
          </w:p>
          <w:p w14:paraId="6744AE9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根据上述计算，项目未收集颗粒物产生量为2.16t/a，VOCs产生量为0.0344t/a，</w:t>
            </w:r>
            <w:r>
              <w:rPr>
                <w:rFonts w:hint="default" w:ascii="Times New Roman" w:hAnsi="Times New Roman" w:cs="Times New Roman"/>
                <w:color w:val="auto"/>
                <w:lang w:val="en-US" w:eastAsia="zh-CN"/>
              </w:rPr>
              <w:t>甲醛</w:t>
            </w:r>
            <w:r>
              <w:rPr>
                <w:rFonts w:hint="eastAsia" w:ascii="Times New Roman" w:hAnsi="Times New Roman" w:cs="Times New Roman"/>
                <w:color w:val="auto"/>
                <w:lang w:val="en-US" w:eastAsia="zh-CN"/>
              </w:rPr>
              <w:t>产生量为</w:t>
            </w:r>
            <w:r>
              <w:rPr>
                <w:rFonts w:hint="default" w:ascii="Times New Roman" w:hAnsi="Times New Roman" w:cs="Times New Roman"/>
                <w:color w:val="auto"/>
                <w:lang w:val="en-US" w:eastAsia="zh-CN"/>
              </w:rPr>
              <w:t>0.</w:t>
            </w:r>
            <w:r>
              <w:rPr>
                <w:rFonts w:hint="eastAsia" w:ascii="Times New Roman" w:hAnsi="Times New Roman" w:cs="Times New Roman"/>
                <w:color w:val="auto"/>
                <w:lang w:val="en-US" w:eastAsia="zh-CN"/>
              </w:rPr>
              <w:t>0086</w:t>
            </w:r>
            <w:r>
              <w:rPr>
                <w:rFonts w:hint="default" w:ascii="Times New Roman" w:hAnsi="Times New Roman" w:cs="Times New Roman"/>
                <w:color w:val="auto"/>
                <w:lang w:val="en-US" w:eastAsia="zh-CN"/>
              </w:rPr>
              <w:t>t/a、酚类</w:t>
            </w:r>
            <w:r>
              <w:rPr>
                <w:rFonts w:hint="eastAsia" w:ascii="Times New Roman" w:hAnsi="Times New Roman" w:cs="Times New Roman"/>
                <w:color w:val="auto"/>
                <w:lang w:val="en-US" w:eastAsia="zh-CN"/>
              </w:rPr>
              <w:t>产生量为</w:t>
            </w:r>
            <w:r>
              <w:rPr>
                <w:rFonts w:hint="default" w:ascii="Times New Roman" w:hAnsi="Times New Roman" w:cs="Times New Roman"/>
                <w:color w:val="auto"/>
                <w:lang w:val="en-US" w:eastAsia="zh-CN"/>
              </w:rPr>
              <w:t xml:space="preserve"> 0.0</w:t>
            </w:r>
            <w:r>
              <w:rPr>
                <w:rFonts w:hint="eastAsia" w:ascii="Times New Roman" w:hAnsi="Times New Roman" w:cs="Times New Roman"/>
                <w:color w:val="auto"/>
                <w:lang w:val="en-US" w:eastAsia="zh-CN"/>
              </w:rPr>
              <w:t>0156</w:t>
            </w:r>
            <w:r>
              <w:rPr>
                <w:rFonts w:hint="default" w:ascii="Times New Roman" w:hAnsi="Times New Roman" w:cs="Times New Roman"/>
                <w:color w:val="auto"/>
                <w:lang w:val="en-US" w:eastAsia="zh-CN"/>
              </w:rPr>
              <w:t>t/a</w:t>
            </w:r>
            <w:r>
              <w:rPr>
                <w:rFonts w:hint="eastAsia" w:ascii="Times New Roman" w:hAnsi="Times New Roman" w:eastAsia="宋体" w:cs="Times New Roman"/>
                <w:color w:val="auto"/>
                <w:highlight w:val="none"/>
                <w:lang w:eastAsia="zh-CN"/>
              </w:rPr>
              <w:t>。</w:t>
            </w:r>
          </w:p>
          <w:p w14:paraId="6CACA85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yellow"/>
                <w:lang w:val="en-US" w:eastAsia="zh-CN"/>
              </w:rPr>
            </w:pPr>
            <w:r>
              <w:rPr>
                <w:rFonts w:hint="eastAsia" w:ascii="Times New Roman" w:hAnsi="Times New Roman" w:cs="Times New Roman"/>
                <w:color w:val="auto"/>
                <w:highlight w:val="none"/>
                <w:lang w:val="en-US" w:eastAsia="zh-CN"/>
              </w:rPr>
              <w:t>项目采取定期洒水降尘、生产设施设置围挡等措施降低颗粒物产生，参照《固体物料堆存颗粒物产排污核算系数手册》，采取相应措施后可降低颗粒物产生量约80%，经密闭式车间阻挡后，可削减颗粒物排放量约70%，通过以上措施，本项目无组织颗粒物排放量约为0.130t/a，排放速率为0.054kg/h，VOCs排放量为0.0344t/a，排放速率为0.0143kg/h。无组织</w:t>
            </w:r>
            <w:r>
              <w:rPr>
                <w:rFonts w:hint="default" w:ascii="Times New Roman" w:hAnsi="Times New Roman" w:cs="Times New Roman"/>
                <w:color w:val="auto"/>
                <w:highlight w:val="none"/>
                <w:lang w:val="en-US" w:eastAsia="zh-CN"/>
              </w:rPr>
              <w:t>甲醛</w:t>
            </w:r>
            <w:r>
              <w:rPr>
                <w:rFonts w:hint="eastAsia" w:ascii="Times New Roman" w:hAnsi="Times New Roman" w:cs="Times New Roman"/>
                <w:color w:val="auto"/>
                <w:highlight w:val="none"/>
                <w:lang w:val="en-US" w:eastAsia="zh-CN"/>
              </w:rPr>
              <w:t>排放量为</w:t>
            </w:r>
            <w:r>
              <w:rPr>
                <w:rFonts w:hint="default" w:ascii="Times New Roman" w:hAnsi="Times New Roman" w:cs="Times New Roman"/>
                <w:color w:val="auto"/>
                <w:highlight w:val="none"/>
                <w:lang w:val="en-US" w:eastAsia="zh-CN"/>
              </w:rPr>
              <w:t>0.</w:t>
            </w:r>
            <w:r>
              <w:rPr>
                <w:rFonts w:hint="eastAsia" w:ascii="Times New Roman" w:hAnsi="Times New Roman" w:cs="Times New Roman"/>
                <w:color w:val="auto"/>
                <w:highlight w:val="none"/>
                <w:lang w:val="en-US" w:eastAsia="zh-CN"/>
              </w:rPr>
              <w:t>0086</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，排放速率为0.0036kg/h。</w:t>
            </w:r>
            <w:r>
              <w:rPr>
                <w:rFonts w:hint="default" w:ascii="Times New Roman" w:hAnsi="Times New Roman" w:cs="Times New Roman"/>
                <w:color w:val="auto"/>
                <w:highlight w:val="none"/>
                <w:lang w:val="en-US" w:eastAsia="zh-CN"/>
              </w:rPr>
              <w:t>酚类</w:t>
            </w:r>
            <w:r>
              <w:rPr>
                <w:rFonts w:hint="eastAsia" w:ascii="Times New Roman" w:hAnsi="Times New Roman" w:cs="Times New Roman"/>
                <w:color w:val="auto"/>
                <w:highlight w:val="none"/>
                <w:lang w:val="en-US" w:eastAsia="zh-CN"/>
              </w:rPr>
              <w:t>排放量为</w:t>
            </w:r>
            <w:r>
              <w:rPr>
                <w:rFonts w:hint="default" w:ascii="Times New Roman" w:hAnsi="Times New Roman" w:cs="Times New Roman"/>
                <w:color w:val="auto"/>
                <w:highlight w:val="none"/>
                <w:lang w:val="en-US" w:eastAsia="zh-CN"/>
              </w:rPr>
              <w:t xml:space="preserve"> 0.0</w:t>
            </w:r>
            <w:r>
              <w:rPr>
                <w:rFonts w:hint="eastAsia" w:ascii="Times New Roman" w:hAnsi="Times New Roman" w:cs="Times New Roman"/>
                <w:color w:val="auto"/>
                <w:highlight w:val="none"/>
                <w:lang w:val="en-US" w:eastAsia="zh-CN"/>
              </w:rPr>
              <w:t>0156</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，排放速率为0.00065kg/h。</w:t>
            </w:r>
          </w:p>
          <w:p w14:paraId="53367C4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rPr>
              <w:t>综上，本项目厂界无组织VOCs排放量为</w:t>
            </w:r>
            <w:r>
              <w:rPr>
                <w:rFonts w:hint="eastAsia" w:ascii="Times New Roman" w:hAnsi="Times New Roman" w:cs="Times New Roman"/>
                <w:color w:val="auto"/>
                <w:highlight w:val="none"/>
                <w:lang w:val="en-US" w:eastAsia="zh-CN"/>
              </w:rPr>
              <w:t>0.0344t/a，排放速率为0.0143kg/h</w:t>
            </w:r>
            <w:r>
              <w:rPr>
                <w:rFonts w:hint="default" w:ascii="Times New Roman" w:hAnsi="Times New Roman" w:cs="Times New Roman"/>
                <w:color w:val="auto"/>
                <w:highlight w:val="none"/>
              </w:rPr>
              <w:t>。</w:t>
            </w:r>
            <w:r>
              <w:rPr>
                <w:rFonts w:hint="eastAsia" w:ascii="Times New Roman" w:hAnsi="Times New Roman" w:eastAsia="宋体" w:cs="Times New Roman"/>
                <w:color w:val="auto"/>
                <w:highlight w:val="none"/>
                <w:lang w:val="en-US" w:eastAsia="zh-CN"/>
              </w:rPr>
              <w:t>无组织颗粒物</w:t>
            </w:r>
            <w:r>
              <w:rPr>
                <w:rFonts w:hint="default" w:ascii="Times New Roman" w:hAnsi="Times New Roman" w:cs="Times New Roman"/>
                <w:color w:val="auto"/>
                <w:highlight w:val="none"/>
              </w:rPr>
              <w:t>排放量为</w:t>
            </w:r>
            <w:r>
              <w:rPr>
                <w:rFonts w:hint="eastAsia" w:ascii="Times New Roman" w:hAnsi="Times New Roman" w:cs="Times New Roman"/>
                <w:color w:val="auto"/>
                <w:highlight w:val="none"/>
                <w:lang w:val="en-US" w:eastAsia="zh-CN"/>
              </w:rPr>
              <w:t>0.130t/a，排放速率为0.054kg/h</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无组织</w:t>
            </w:r>
            <w:r>
              <w:rPr>
                <w:rFonts w:hint="default" w:ascii="Times New Roman" w:hAnsi="Times New Roman" w:cs="Times New Roman"/>
                <w:color w:val="auto"/>
                <w:highlight w:val="none"/>
                <w:lang w:val="en-US" w:eastAsia="zh-CN"/>
              </w:rPr>
              <w:t>甲醛</w:t>
            </w:r>
            <w:r>
              <w:rPr>
                <w:rFonts w:hint="eastAsia" w:ascii="Times New Roman" w:hAnsi="Times New Roman" w:cs="Times New Roman"/>
                <w:color w:val="auto"/>
                <w:highlight w:val="none"/>
                <w:lang w:val="en-US" w:eastAsia="zh-CN"/>
              </w:rPr>
              <w:t>排放量为</w:t>
            </w:r>
            <w:r>
              <w:rPr>
                <w:rFonts w:hint="default" w:ascii="Times New Roman" w:hAnsi="Times New Roman" w:cs="Times New Roman"/>
                <w:color w:val="auto"/>
                <w:highlight w:val="none"/>
                <w:lang w:val="en-US" w:eastAsia="zh-CN"/>
              </w:rPr>
              <w:t>0.</w:t>
            </w:r>
            <w:r>
              <w:rPr>
                <w:rFonts w:hint="eastAsia" w:ascii="Times New Roman" w:hAnsi="Times New Roman" w:cs="Times New Roman"/>
                <w:color w:val="auto"/>
                <w:highlight w:val="none"/>
                <w:lang w:val="en-US" w:eastAsia="zh-CN"/>
              </w:rPr>
              <w:t>0086</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，排放速率为0.0036kg/h。</w:t>
            </w:r>
            <w:r>
              <w:rPr>
                <w:rFonts w:hint="default" w:ascii="Times New Roman" w:hAnsi="Times New Roman" w:cs="Times New Roman"/>
                <w:color w:val="auto"/>
                <w:highlight w:val="none"/>
                <w:lang w:val="en-US" w:eastAsia="zh-CN"/>
              </w:rPr>
              <w:t>酚类</w:t>
            </w:r>
            <w:r>
              <w:rPr>
                <w:rFonts w:hint="eastAsia" w:ascii="Times New Roman" w:hAnsi="Times New Roman" w:cs="Times New Roman"/>
                <w:color w:val="auto"/>
                <w:highlight w:val="none"/>
                <w:lang w:val="en-US" w:eastAsia="zh-CN"/>
              </w:rPr>
              <w:t>排放量为</w:t>
            </w:r>
            <w:r>
              <w:rPr>
                <w:rFonts w:hint="default" w:ascii="Times New Roman" w:hAnsi="Times New Roman" w:cs="Times New Roman"/>
                <w:color w:val="auto"/>
                <w:highlight w:val="none"/>
                <w:lang w:val="en-US" w:eastAsia="zh-CN"/>
              </w:rPr>
              <w:t xml:space="preserve"> 0.0</w:t>
            </w:r>
            <w:r>
              <w:rPr>
                <w:rFonts w:hint="eastAsia" w:ascii="Times New Roman" w:hAnsi="Times New Roman" w:cs="Times New Roman"/>
                <w:color w:val="auto"/>
                <w:highlight w:val="none"/>
                <w:lang w:val="en-US" w:eastAsia="zh-CN"/>
              </w:rPr>
              <w:t>0156</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，排放速率为0.00065kg/h</w:t>
            </w:r>
            <w:r>
              <w:rPr>
                <w:rFonts w:hint="eastAsia" w:ascii="Times New Roman" w:hAnsi="Times New Roman" w:eastAsia="宋体" w:cs="Times New Roman"/>
                <w:color w:val="auto"/>
                <w:highlight w:val="none"/>
                <w:lang w:eastAsia="zh-CN"/>
              </w:rPr>
              <w:t>。</w:t>
            </w:r>
          </w:p>
          <w:p w14:paraId="7A128AF3">
            <w:pPr>
              <w:rPr>
                <w:rFonts w:hint="eastAsia" w:ascii="Times New Roman" w:hAnsi="Times New Roman" w:cs="Times New Roman"/>
                <w:color w:val="auto"/>
                <w:lang w:val="en-US" w:eastAsia="zh-CN"/>
              </w:rPr>
            </w:pPr>
          </w:p>
          <w:p w14:paraId="779F6985">
            <w:pPr>
              <w:rPr>
                <w:rFonts w:hint="eastAsia"/>
                <w:color w:val="auto"/>
                <w:lang w:val="en-US" w:eastAsia="zh-CN"/>
              </w:rPr>
            </w:pPr>
          </w:p>
          <w:p w14:paraId="628DB883">
            <w:pPr>
              <w:rPr>
                <w:rFonts w:hint="eastAsia"/>
                <w:color w:val="auto"/>
                <w:lang w:val="en-US" w:eastAsia="zh-CN"/>
              </w:rPr>
            </w:pPr>
          </w:p>
          <w:p w14:paraId="3F51973B">
            <w:pPr>
              <w:rPr>
                <w:rFonts w:hint="eastAsia"/>
                <w:color w:val="auto"/>
                <w:lang w:val="en-US" w:eastAsia="zh-CN"/>
              </w:rPr>
            </w:pPr>
          </w:p>
          <w:p w14:paraId="0461B0FC">
            <w:pPr>
              <w:rPr>
                <w:rFonts w:hint="eastAsia"/>
                <w:color w:val="auto"/>
                <w:lang w:val="en-US" w:eastAsia="zh-CN"/>
              </w:rPr>
            </w:pPr>
          </w:p>
          <w:p w14:paraId="683B43CB">
            <w:pPr>
              <w:rPr>
                <w:rFonts w:hint="eastAsia"/>
                <w:color w:val="auto"/>
                <w:lang w:val="en-US" w:eastAsia="zh-CN"/>
              </w:rPr>
            </w:pPr>
          </w:p>
          <w:p w14:paraId="6219BC94">
            <w:pPr>
              <w:rPr>
                <w:rFonts w:hint="eastAsia"/>
                <w:color w:val="auto"/>
                <w:lang w:val="en-US" w:eastAsia="zh-CN"/>
              </w:rPr>
            </w:pPr>
          </w:p>
          <w:p w14:paraId="41FFCD47">
            <w:pPr>
              <w:rPr>
                <w:rFonts w:hint="eastAsia"/>
                <w:color w:val="auto"/>
                <w:lang w:val="en-US" w:eastAsia="zh-CN"/>
              </w:rPr>
            </w:pPr>
          </w:p>
          <w:p w14:paraId="328306B7">
            <w:pPr>
              <w:rPr>
                <w:rFonts w:hint="eastAsia"/>
                <w:color w:val="auto"/>
                <w:lang w:val="en-US" w:eastAsia="zh-CN"/>
              </w:rPr>
            </w:pPr>
          </w:p>
          <w:p w14:paraId="68031A41">
            <w:pPr>
              <w:rPr>
                <w:rFonts w:hint="eastAsia"/>
                <w:color w:val="auto"/>
                <w:lang w:val="en-US" w:eastAsia="zh-CN"/>
              </w:rPr>
            </w:pPr>
          </w:p>
          <w:p w14:paraId="5B724363">
            <w:pPr>
              <w:rPr>
                <w:rFonts w:hint="eastAsia"/>
                <w:color w:val="auto"/>
                <w:lang w:val="en-US" w:eastAsia="zh-CN"/>
              </w:rPr>
            </w:pPr>
          </w:p>
          <w:p w14:paraId="4A3A8DCB">
            <w:pPr>
              <w:rPr>
                <w:rFonts w:hint="eastAsia"/>
                <w:color w:val="auto"/>
                <w:lang w:val="en-US" w:eastAsia="zh-CN"/>
              </w:rPr>
            </w:pPr>
          </w:p>
          <w:p w14:paraId="3BD2E111">
            <w:pPr>
              <w:rPr>
                <w:rFonts w:hint="eastAsia"/>
                <w:color w:val="auto"/>
                <w:lang w:val="en-US" w:eastAsia="zh-CN"/>
              </w:rPr>
            </w:pPr>
          </w:p>
          <w:p w14:paraId="204AE8A0">
            <w:pPr>
              <w:rPr>
                <w:rFonts w:hint="eastAsia"/>
                <w:color w:val="auto"/>
                <w:lang w:val="en-US" w:eastAsia="zh-CN"/>
              </w:rPr>
            </w:pPr>
          </w:p>
          <w:p w14:paraId="572EB1DB">
            <w:pPr>
              <w:rPr>
                <w:rFonts w:hint="eastAsia"/>
                <w:color w:val="auto"/>
                <w:lang w:val="en-US" w:eastAsia="zh-CN"/>
              </w:rPr>
            </w:pPr>
          </w:p>
          <w:p w14:paraId="0E41FEFD">
            <w:pPr>
              <w:rPr>
                <w:rFonts w:hint="eastAsia"/>
                <w:color w:val="auto"/>
                <w:lang w:val="en-US" w:eastAsia="zh-CN"/>
              </w:rPr>
            </w:pPr>
          </w:p>
          <w:p w14:paraId="145E3410">
            <w:pPr>
              <w:rPr>
                <w:rFonts w:hint="eastAsia"/>
                <w:color w:val="auto"/>
                <w:lang w:val="en-US" w:eastAsia="zh-CN"/>
              </w:rPr>
            </w:pPr>
          </w:p>
          <w:p w14:paraId="4BD46E9F">
            <w:pPr>
              <w:rPr>
                <w:rFonts w:hint="eastAsia"/>
                <w:color w:val="auto"/>
                <w:lang w:val="en-US" w:eastAsia="zh-CN"/>
              </w:rPr>
            </w:pPr>
          </w:p>
          <w:p w14:paraId="10EB383C">
            <w:pPr>
              <w:rPr>
                <w:rFonts w:hint="eastAsia"/>
                <w:color w:val="auto"/>
                <w:lang w:val="en-US" w:eastAsia="zh-CN"/>
              </w:rPr>
            </w:pPr>
          </w:p>
          <w:p w14:paraId="2377555A">
            <w:pPr>
              <w:rPr>
                <w:rFonts w:hint="eastAsia"/>
                <w:color w:val="auto"/>
                <w:lang w:val="en-US" w:eastAsia="zh-CN"/>
              </w:rPr>
            </w:pPr>
          </w:p>
          <w:p w14:paraId="2ADBFED1">
            <w:pPr>
              <w:rPr>
                <w:rFonts w:hint="eastAsia"/>
                <w:color w:val="auto"/>
                <w:lang w:val="en-US" w:eastAsia="zh-CN"/>
              </w:rPr>
            </w:pPr>
          </w:p>
          <w:p w14:paraId="68A93B82">
            <w:pPr>
              <w:rPr>
                <w:rFonts w:hint="eastAsia"/>
                <w:color w:val="auto"/>
                <w:lang w:val="en-US" w:eastAsia="zh-CN"/>
              </w:rPr>
            </w:pPr>
          </w:p>
          <w:p w14:paraId="4CA20E9A">
            <w:pPr>
              <w:rPr>
                <w:rFonts w:hint="eastAsia"/>
                <w:color w:val="auto"/>
                <w:lang w:val="en-US" w:eastAsia="zh-CN"/>
              </w:rPr>
            </w:pPr>
          </w:p>
          <w:p w14:paraId="182BE205">
            <w:pPr>
              <w:rPr>
                <w:rFonts w:hint="eastAsia"/>
                <w:color w:val="auto"/>
                <w:lang w:val="en-US" w:eastAsia="zh-CN"/>
              </w:rPr>
            </w:pPr>
          </w:p>
        </w:tc>
      </w:tr>
    </w:tbl>
    <w:p w14:paraId="3C047C62">
      <w:pPr>
        <w:pStyle w:val="5"/>
        <w:rPr>
          <w:rFonts w:hint="default" w:ascii="Times New Roman" w:hAnsi="Times New Roman" w:cs="Times New Roman"/>
          <w:color w:val="auto"/>
        </w:rPr>
      </w:pPr>
    </w:p>
    <w:p w14:paraId="75A1B5C3">
      <w:pPr>
        <w:rPr>
          <w:rFonts w:hint="default" w:ascii="Times New Roman" w:hAnsi="Times New Roman" w:cs="Times New Roman"/>
          <w:color w:val="auto"/>
        </w:rPr>
        <w:sectPr>
          <w:footerReference r:id="rId6" w:type="default"/>
          <w:pgSz w:w="11905" w:h="16839"/>
          <w:pgMar w:top="1440" w:right="1417" w:bottom="1440" w:left="1080" w:header="0" w:footer="1079" w:gutter="0"/>
          <w:pgBorders>
            <w:top w:val="none" w:sz="0" w:space="0"/>
            <w:left w:val="none" w:sz="0" w:space="0"/>
            <w:bottom w:val="none" w:sz="0" w:space="0"/>
            <w:right w:val="none" w:sz="0" w:space="0"/>
          </w:pgBorders>
          <w:pgNumType w:fmt="decimal"/>
          <w:cols w:space="720" w:num="1"/>
        </w:sectPr>
      </w:pPr>
    </w:p>
    <w:tbl>
      <w:tblPr>
        <w:tblStyle w:val="21"/>
        <w:tblW w:w="13606"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35"/>
        <w:gridCol w:w="13271"/>
      </w:tblGrid>
      <w:tr w14:paraId="207CC8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00" w:hRule="atLeast"/>
          <w:jc w:val="center"/>
        </w:trPr>
        <w:tc>
          <w:tcPr>
            <w:tcW w:w="372" w:type="dxa"/>
            <w:tcBorders>
              <w:right w:val="single" w:color="000000" w:sz="2" w:space="0"/>
            </w:tcBorders>
            <w:textDirection w:val="tbRlV"/>
            <w:vAlign w:val="top"/>
          </w:tcPr>
          <w:p w14:paraId="1FB80A9E">
            <w:pPr>
              <w:pStyle w:val="22"/>
              <w:spacing w:before="66" w:line="209" w:lineRule="auto"/>
              <w:ind w:left="3039"/>
              <w:rPr>
                <w:rFonts w:hint="default" w:ascii="Times New Roman" w:hAnsi="Times New Roman" w:cs="Times New Roman"/>
                <w:color w:val="auto"/>
              </w:rPr>
            </w:pPr>
            <w:r>
              <w:rPr>
                <w:rFonts w:hint="default" w:ascii="Times New Roman" w:hAnsi="Times New Roman" w:cs="Times New Roman"/>
                <w:color w:val="auto"/>
              </w:rPr>
              <w:t>运营期环境影响和保护措施</w:t>
            </w:r>
          </w:p>
        </w:tc>
        <w:tc>
          <w:tcPr>
            <w:tcW w:w="14822" w:type="dxa"/>
            <w:tcBorders>
              <w:left w:val="single" w:color="000000" w:sz="2" w:space="0"/>
            </w:tcBorders>
            <w:vAlign w:val="top"/>
          </w:tcPr>
          <w:p w14:paraId="19F32CB0">
            <w:pPr>
              <w:pStyle w:val="22"/>
              <w:spacing w:before="160" w:line="220" w:lineRule="auto"/>
              <w:ind w:left="584"/>
              <w:rPr>
                <w:rFonts w:hint="default" w:ascii="Times New Roman" w:hAnsi="Times New Roman" w:cs="Times New Roman"/>
                <w:color w:val="auto"/>
              </w:rPr>
            </w:pPr>
            <w:r>
              <w:rPr>
                <w:rFonts w:hint="default" w:ascii="Times New Roman" w:hAnsi="Times New Roman" w:eastAsia="宋体" w:cs="Times New Roman"/>
                <w:color w:val="auto"/>
                <w:spacing w:val="-2"/>
                <w:lang w:val="en-US" w:eastAsia="zh-CN"/>
              </w:rPr>
              <w:t>3</w:t>
            </w:r>
            <w:r>
              <w:rPr>
                <w:rFonts w:hint="default" w:ascii="Times New Roman" w:hAnsi="Times New Roman" w:cs="Times New Roman"/>
                <w:color w:val="auto"/>
                <w:spacing w:val="-2"/>
              </w:rPr>
              <w:t>、排放源信息表</w:t>
            </w:r>
          </w:p>
          <w:p w14:paraId="27DFE5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ascii="Times New Roman" w:hAnsi="Times New Roman" w:cs="Times New Roman"/>
                <w:b/>
                <w:bCs/>
                <w:color w:val="auto"/>
                <w:lang w:val="en-US" w:eastAsia="zh-CN"/>
              </w:rPr>
              <w:t>4</w:t>
            </w:r>
            <w:r>
              <w:rPr>
                <w:rFonts w:hint="default" w:ascii="Times New Roman" w:hAnsi="Times New Roman" w:cs="Times New Roman"/>
                <w:b/>
                <w:bCs/>
                <w:color w:val="auto"/>
              </w:rPr>
              <w:t>项目废气污染物排放源信息表</w:t>
            </w:r>
          </w:p>
          <w:p w14:paraId="55D3E944">
            <w:pPr>
              <w:spacing w:line="150" w:lineRule="exact"/>
              <w:rPr>
                <w:rFonts w:hint="default" w:ascii="Times New Roman" w:hAnsi="Times New Roman" w:cs="Times New Roman"/>
                <w:color w:val="auto"/>
              </w:rPr>
            </w:pPr>
          </w:p>
          <w:tbl>
            <w:tblPr>
              <w:tblStyle w:val="21"/>
              <w:tblW w:w="13039"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787"/>
              <w:gridCol w:w="582"/>
              <w:gridCol w:w="763"/>
              <w:gridCol w:w="1107"/>
              <w:gridCol w:w="779"/>
              <w:gridCol w:w="572"/>
              <w:gridCol w:w="800"/>
              <w:gridCol w:w="841"/>
              <w:gridCol w:w="943"/>
              <w:gridCol w:w="813"/>
              <w:gridCol w:w="750"/>
              <w:gridCol w:w="773"/>
              <w:gridCol w:w="1104"/>
              <w:gridCol w:w="933"/>
              <w:gridCol w:w="804"/>
              <w:gridCol w:w="688"/>
            </w:tblGrid>
            <w:tr w14:paraId="3DAB9D4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454" w:hRule="atLeast"/>
                <w:jc w:val="center"/>
              </w:trPr>
              <w:tc>
                <w:tcPr>
                  <w:tcW w:w="1369" w:type="dxa"/>
                  <w:gridSpan w:val="2"/>
                  <w:tcBorders>
                    <w:tl2br w:val="nil"/>
                    <w:tr2bl w:val="nil"/>
                  </w:tcBorders>
                  <w:vAlign w:val="center"/>
                </w:tcPr>
                <w:p w14:paraId="6E3224B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
                      <w:sz w:val="21"/>
                      <w:szCs w:val="21"/>
                    </w:rPr>
                    <w:t>产排污环节</w:t>
                  </w:r>
                </w:p>
              </w:tc>
              <w:tc>
                <w:tcPr>
                  <w:tcW w:w="763" w:type="dxa"/>
                  <w:vMerge w:val="restart"/>
                  <w:tcBorders>
                    <w:tl2br w:val="nil"/>
                    <w:tr2bl w:val="nil"/>
                  </w:tcBorders>
                  <w:vAlign w:val="center"/>
                </w:tcPr>
                <w:p w14:paraId="56B862C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污染物种</w:t>
                  </w:r>
                  <w:r>
                    <w:rPr>
                      <w:rFonts w:hint="default" w:ascii="Times New Roman" w:hAnsi="Times New Roman" w:eastAsia="宋体" w:cs="Times New Roman"/>
                      <w:b/>
                      <w:bCs/>
                      <w:color w:val="auto"/>
                      <w:sz w:val="21"/>
                      <w:szCs w:val="21"/>
                    </w:rPr>
                    <w:t>类</w:t>
                  </w:r>
                </w:p>
              </w:tc>
              <w:tc>
                <w:tcPr>
                  <w:tcW w:w="1886" w:type="dxa"/>
                  <w:gridSpan w:val="2"/>
                  <w:tcBorders>
                    <w:tl2br w:val="nil"/>
                    <w:tr2bl w:val="nil"/>
                  </w:tcBorders>
                  <w:vAlign w:val="center"/>
                </w:tcPr>
                <w:p w14:paraId="4447DB7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污染物产生</w:t>
                  </w:r>
                </w:p>
              </w:tc>
              <w:tc>
                <w:tcPr>
                  <w:tcW w:w="572" w:type="dxa"/>
                  <w:vMerge w:val="restart"/>
                  <w:tcBorders>
                    <w:tl2br w:val="nil"/>
                    <w:tr2bl w:val="nil"/>
                  </w:tcBorders>
                  <w:vAlign w:val="center"/>
                </w:tcPr>
                <w:p w14:paraId="22BE99C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6"/>
                      <w:sz w:val="21"/>
                      <w:szCs w:val="21"/>
                    </w:rPr>
                    <w:t>收集措施</w:t>
                  </w:r>
                </w:p>
              </w:tc>
              <w:tc>
                <w:tcPr>
                  <w:tcW w:w="800" w:type="dxa"/>
                  <w:vMerge w:val="restart"/>
                  <w:tcBorders>
                    <w:tl2br w:val="nil"/>
                    <w:tr2bl w:val="nil"/>
                  </w:tcBorders>
                  <w:vAlign w:val="center"/>
                </w:tcPr>
                <w:p w14:paraId="137DEC8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5"/>
                      <w:sz w:val="21"/>
                      <w:szCs w:val="21"/>
                    </w:rPr>
                    <w:t>收集效</w:t>
                  </w:r>
                  <w:r>
                    <w:rPr>
                      <w:rFonts w:hint="default" w:ascii="Times New Roman" w:hAnsi="Times New Roman" w:eastAsia="宋体" w:cs="Times New Roman"/>
                      <w:b/>
                      <w:bCs/>
                      <w:color w:val="auto"/>
                      <w:spacing w:val="-18"/>
                      <w:sz w:val="21"/>
                      <w:szCs w:val="21"/>
                    </w:rPr>
                    <w:t>率（%）</w:t>
                  </w:r>
                </w:p>
              </w:tc>
              <w:tc>
                <w:tcPr>
                  <w:tcW w:w="841" w:type="dxa"/>
                  <w:vMerge w:val="restart"/>
                  <w:tcBorders>
                    <w:tl2br w:val="nil"/>
                    <w:tr2bl w:val="nil"/>
                  </w:tcBorders>
                  <w:vAlign w:val="center"/>
                </w:tcPr>
                <w:p w14:paraId="21487BC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排放形</w:t>
                  </w:r>
                  <w:r>
                    <w:rPr>
                      <w:rFonts w:hint="default" w:ascii="Times New Roman" w:hAnsi="Times New Roman" w:eastAsia="宋体" w:cs="Times New Roman"/>
                      <w:b/>
                      <w:bCs/>
                      <w:color w:val="auto"/>
                      <w:spacing w:val="-3"/>
                      <w:sz w:val="21"/>
                      <w:szCs w:val="21"/>
                    </w:rPr>
                    <w:t>式/编号</w:t>
                  </w:r>
                </w:p>
              </w:tc>
              <w:tc>
                <w:tcPr>
                  <w:tcW w:w="943" w:type="dxa"/>
                  <w:vMerge w:val="restart"/>
                  <w:tcBorders>
                    <w:tl2br w:val="nil"/>
                    <w:tr2bl w:val="nil"/>
                  </w:tcBorders>
                  <w:vAlign w:val="center"/>
                </w:tcPr>
                <w:p w14:paraId="6CA55E0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处理</w:t>
                  </w:r>
                  <w:r>
                    <w:rPr>
                      <w:rFonts w:hint="default" w:ascii="Times New Roman" w:hAnsi="Times New Roman" w:eastAsia="宋体" w:cs="Times New Roman"/>
                      <w:b/>
                      <w:bCs/>
                      <w:color w:val="auto"/>
                      <w:spacing w:val="-2"/>
                      <w:sz w:val="21"/>
                      <w:szCs w:val="21"/>
                    </w:rPr>
                    <w:t>措施</w:t>
                  </w:r>
                </w:p>
              </w:tc>
              <w:tc>
                <w:tcPr>
                  <w:tcW w:w="813" w:type="dxa"/>
                  <w:vMerge w:val="restart"/>
                  <w:tcBorders>
                    <w:tl2br w:val="nil"/>
                    <w:tr2bl w:val="nil"/>
                  </w:tcBorders>
                  <w:vAlign w:val="center"/>
                </w:tcPr>
                <w:p w14:paraId="628056C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处理能</w:t>
                  </w:r>
                  <w:r>
                    <w:rPr>
                      <w:rFonts w:hint="default" w:ascii="Times New Roman" w:hAnsi="Times New Roman" w:eastAsia="宋体" w:cs="Times New Roman"/>
                      <w:b/>
                      <w:bCs/>
                      <w:color w:val="auto"/>
                      <w:spacing w:val="-26"/>
                      <w:w w:val="93"/>
                      <w:sz w:val="21"/>
                      <w:szCs w:val="21"/>
                    </w:rPr>
                    <w:t>力（m</w:t>
                  </w:r>
                  <w:r>
                    <w:rPr>
                      <w:rFonts w:hint="default" w:ascii="Times New Roman" w:hAnsi="Times New Roman" w:eastAsia="宋体" w:cs="Times New Roman"/>
                      <w:b/>
                      <w:bCs/>
                      <w:color w:val="auto"/>
                      <w:spacing w:val="-4"/>
                      <w:sz w:val="21"/>
                      <w:szCs w:val="21"/>
                      <w:vertAlign w:val="superscript"/>
                      <w:lang w:val="en-US" w:eastAsia="zh-CN"/>
                    </w:rPr>
                    <w:t>3</w:t>
                  </w:r>
                  <w:r>
                    <w:rPr>
                      <w:rFonts w:hint="default" w:ascii="Times New Roman" w:hAnsi="Times New Roman" w:eastAsia="宋体" w:cs="Times New Roman"/>
                      <w:b/>
                      <w:bCs/>
                      <w:color w:val="auto"/>
                      <w:spacing w:val="-3"/>
                      <w:sz w:val="21"/>
                      <w:szCs w:val="21"/>
                    </w:rPr>
                    <w:t>/h）</w:t>
                  </w:r>
                </w:p>
              </w:tc>
              <w:tc>
                <w:tcPr>
                  <w:tcW w:w="750" w:type="dxa"/>
                  <w:vMerge w:val="restart"/>
                  <w:tcBorders>
                    <w:tl2br w:val="nil"/>
                    <w:tr2bl w:val="nil"/>
                  </w:tcBorders>
                  <w:vAlign w:val="center"/>
                </w:tcPr>
                <w:p w14:paraId="54AE9F1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5"/>
                      <w:sz w:val="21"/>
                      <w:szCs w:val="21"/>
                    </w:rPr>
                    <w:t>去除</w:t>
                  </w:r>
                  <w:r>
                    <w:rPr>
                      <w:rFonts w:hint="default" w:ascii="Times New Roman" w:hAnsi="Times New Roman" w:eastAsia="宋体" w:cs="Times New Roman"/>
                      <w:b/>
                      <w:bCs/>
                      <w:color w:val="auto"/>
                      <w:spacing w:val="37"/>
                      <w:sz w:val="21"/>
                      <w:szCs w:val="21"/>
                    </w:rPr>
                    <w:t>效率</w:t>
                  </w:r>
                  <w:r>
                    <w:rPr>
                      <w:rFonts w:hint="default" w:ascii="Times New Roman" w:hAnsi="Times New Roman" w:eastAsia="宋体" w:cs="Times New Roman"/>
                      <w:b/>
                      <w:bCs/>
                      <w:color w:val="auto"/>
                      <w:spacing w:val="-9"/>
                      <w:sz w:val="21"/>
                      <w:szCs w:val="21"/>
                    </w:rPr>
                    <w:t>（%）</w:t>
                  </w:r>
                </w:p>
              </w:tc>
              <w:tc>
                <w:tcPr>
                  <w:tcW w:w="773" w:type="dxa"/>
                  <w:vMerge w:val="restart"/>
                  <w:tcBorders>
                    <w:tl2br w:val="nil"/>
                    <w:tr2bl w:val="nil"/>
                  </w:tcBorders>
                  <w:vAlign w:val="center"/>
                </w:tcPr>
                <w:p w14:paraId="2B1A68A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是否为可</w:t>
                  </w:r>
                  <w:r>
                    <w:rPr>
                      <w:rFonts w:hint="default" w:ascii="Times New Roman" w:hAnsi="Times New Roman" w:eastAsia="宋体" w:cs="Times New Roman"/>
                      <w:b/>
                      <w:bCs/>
                      <w:color w:val="auto"/>
                      <w:sz w:val="21"/>
                      <w:szCs w:val="21"/>
                    </w:rPr>
                    <w:t>行</w:t>
                  </w:r>
                  <w:r>
                    <w:rPr>
                      <w:rFonts w:hint="default" w:ascii="Times New Roman" w:hAnsi="Times New Roman" w:eastAsia="宋体" w:cs="Times New Roman"/>
                      <w:b/>
                      <w:bCs/>
                      <w:color w:val="auto"/>
                      <w:spacing w:val="-2"/>
                      <w:sz w:val="21"/>
                      <w:szCs w:val="21"/>
                    </w:rPr>
                    <w:t>技术</w:t>
                  </w:r>
                </w:p>
              </w:tc>
              <w:tc>
                <w:tcPr>
                  <w:tcW w:w="2841" w:type="dxa"/>
                  <w:gridSpan w:val="3"/>
                  <w:tcBorders>
                    <w:tl2br w:val="nil"/>
                    <w:tr2bl w:val="nil"/>
                  </w:tcBorders>
                  <w:vAlign w:val="center"/>
                </w:tcPr>
                <w:p w14:paraId="15AED9F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排放情况</w:t>
                  </w:r>
                </w:p>
              </w:tc>
              <w:tc>
                <w:tcPr>
                  <w:tcW w:w="688" w:type="dxa"/>
                  <w:vMerge w:val="restart"/>
                  <w:tcBorders>
                    <w:tl2br w:val="nil"/>
                    <w:tr2bl w:val="nil"/>
                  </w:tcBorders>
                  <w:vAlign w:val="center"/>
                </w:tcPr>
                <w:p w14:paraId="08B273F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排放</w:t>
                  </w:r>
                  <w:r>
                    <w:rPr>
                      <w:rFonts w:hint="default" w:ascii="Times New Roman" w:hAnsi="Times New Roman" w:eastAsia="宋体" w:cs="Times New Roman"/>
                      <w:b/>
                      <w:bCs/>
                      <w:color w:val="auto"/>
                      <w:spacing w:val="20"/>
                      <w:sz w:val="21"/>
                      <w:szCs w:val="21"/>
                    </w:rPr>
                    <w:t>时间</w:t>
                  </w:r>
                  <w:r>
                    <w:rPr>
                      <w:rFonts w:hint="default" w:ascii="Times New Roman" w:hAnsi="Times New Roman" w:eastAsia="宋体" w:cs="Times New Roman"/>
                      <w:b/>
                      <w:bCs/>
                      <w:color w:val="auto"/>
                      <w:spacing w:val="-9"/>
                      <w:sz w:val="21"/>
                      <w:szCs w:val="21"/>
                    </w:rPr>
                    <w:t>（h）</w:t>
                  </w:r>
                </w:p>
              </w:tc>
            </w:tr>
            <w:tr w14:paraId="5517982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vAlign w:val="center"/>
                </w:tcPr>
                <w:p w14:paraId="1264945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工序</w:t>
                  </w:r>
                </w:p>
              </w:tc>
              <w:tc>
                <w:tcPr>
                  <w:tcW w:w="582" w:type="dxa"/>
                  <w:tcBorders>
                    <w:tl2br w:val="nil"/>
                    <w:tr2bl w:val="nil"/>
                  </w:tcBorders>
                  <w:vAlign w:val="center"/>
                </w:tcPr>
                <w:p w14:paraId="3F7BCB6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1"/>
                      <w:sz w:val="21"/>
                      <w:szCs w:val="21"/>
                    </w:rPr>
                    <w:t>装置</w:t>
                  </w:r>
                </w:p>
              </w:tc>
              <w:tc>
                <w:tcPr>
                  <w:tcW w:w="763" w:type="dxa"/>
                  <w:vMerge w:val="continue"/>
                  <w:tcBorders>
                    <w:tl2br w:val="nil"/>
                    <w:tr2bl w:val="nil"/>
                  </w:tcBorders>
                  <w:vAlign w:val="center"/>
                </w:tcPr>
                <w:p w14:paraId="742090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1107" w:type="dxa"/>
                  <w:tcBorders>
                    <w:tl2br w:val="nil"/>
                    <w:tr2bl w:val="nil"/>
                  </w:tcBorders>
                  <w:vAlign w:val="center"/>
                </w:tcPr>
                <w:p w14:paraId="5CCE22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废气浓度</w:t>
                  </w:r>
                </w:p>
                <w:p w14:paraId="1CB934D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（mg/m</w:t>
                  </w:r>
                  <w:r>
                    <w:rPr>
                      <w:rFonts w:hint="default" w:ascii="Times New Roman" w:hAnsi="Times New Roman" w:eastAsia="宋体" w:cs="Times New Roman"/>
                      <w:b/>
                      <w:bCs/>
                      <w:color w:val="auto"/>
                      <w:spacing w:val="-4"/>
                      <w:sz w:val="21"/>
                      <w:szCs w:val="21"/>
                      <w:vertAlign w:val="superscript"/>
                      <w:lang w:val="en-US" w:eastAsia="zh-CN"/>
                    </w:rPr>
                    <w:t>3</w:t>
                  </w:r>
                  <w:r>
                    <w:rPr>
                      <w:rFonts w:hint="default" w:ascii="Times New Roman" w:hAnsi="Times New Roman" w:eastAsia="宋体" w:cs="Times New Roman"/>
                      <w:b/>
                      <w:bCs/>
                      <w:color w:val="auto"/>
                      <w:spacing w:val="-4"/>
                      <w:sz w:val="21"/>
                      <w:szCs w:val="21"/>
                    </w:rPr>
                    <w:t>）</w:t>
                  </w:r>
                </w:p>
              </w:tc>
              <w:tc>
                <w:tcPr>
                  <w:tcW w:w="779" w:type="dxa"/>
                  <w:tcBorders>
                    <w:tl2br w:val="nil"/>
                    <w:tr2bl w:val="nil"/>
                  </w:tcBorders>
                  <w:vAlign w:val="center"/>
                </w:tcPr>
                <w:p w14:paraId="32ACA21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产生量</w:t>
                  </w:r>
                  <w:r>
                    <w:rPr>
                      <w:rFonts w:hint="default" w:ascii="Times New Roman" w:hAnsi="Times New Roman" w:eastAsia="宋体" w:cs="Times New Roman"/>
                      <w:b/>
                      <w:bCs/>
                      <w:color w:val="auto"/>
                      <w:spacing w:val="-3"/>
                      <w:sz w:val="21"/>
                      <w:szCs w:val="21"/>
                    </w:rPr>
                    <w:t>（t/a）</w:t>
                  </w:r>
                </w:p>
              </w:tc>
              <w:tc>
                <w:tcPr>
                  <w:tcW w:w="572" w:type="dxa"/>
                  <w:vMerge w:val="continue"/>
                  <w:tcBorders>
                    <w:tl2br w:val="nil"/>
                    <w:tr2bl w:val="nil"/>
                  </w:tcBorders>
                  <w:vAlign w:val="center"/>
                </w:tcPr>
                <w:p w14:paraId="05B002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800" w:type="dxa"/>
                  <w:vMerge w:val="continue"/>
                  <w:tcBorders>
                    <w:tl2br w:val="nil"/>
                    <w:tr2bl w:val="nil"/>
                  </w:tcBorders>
                  <w:vAlign w:val="center"/>
                </w:tcPr>
                <w:p w14:paraId="0305C4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841" w:type="dxa"/>
                  <w:vMerge w:val="continue"/>
                  <w:tcBorders>
                    <w:tl2br w:val="nil"/>
                    <w:tr2bl w:val="nil"/>
                  </w:tcBorders>
                  <w:vAlign w:val="center"/>
                </w:tcPr>
                <w:p w14:paraId="54D240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943" w:type="dxa"/>
                  <w:vMerge w:val="continue"/>
                  <w:tcBorders>
                    <w:tl2br w:val="nil"/>
                    <w:tr2bl w:val="nil"/>
                  </w:tcBorders>
                  <w:vAlign w:val="center"/>
                </w:tcPr>
                <w:p w14:paraId="28AF42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813" w:type="dxa"/>
                  <w:vMerge w:val="continue"/>
                  <w:tcBorders>
                    <w:tl2br w:val="nil"/>
                    <w:tr2bl w:val="nil"/>
                  </w:tcBorders>
                  <w:vAlign w:val="center"/>
                </w:tcPr>
                <w:p w14:paraId="1E563F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750" w:type="dxa"/>
                  <w:vMerge w:val="continue"/>
                  <w:tcBorders>
                    <w:tl2br w:val="nil"/>
                    <w:tr2bl w:val="nil"/>
                  </w:tcBorders>
                  <w:vAlign w:val="center"/>
                </w:tcPr>
                <w:p w14:paraId="3DE4E9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773" w:type="dxa"/>
                  <w:vMerge w:val="continue"/>
                  <w:tcBorders>
                    <w:tl2br w:val="nil"/>
                    <w:tr2bl w:val="nil"/>
                  </w:tcBorders>
                  <w:vAlign w:val="center"/>
                </w:tcPr>
                <w:p w14:paraId="1BB6B2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1104" w:type="dxa"/>
                  <w:tcBorders>
                    <w:tl2br w:val="nil"/>
                    <w:tr2bl w:val="nil"/>
                  </w:tcBorders>
                  <w:vAlign w:val="center"/>
                </w:tcPr>
                <w:p w14:paraId="2BF6375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排放浓度</w:t>
                  </w:r>
                  <w:r>
                    <w:rPr>
                      <w:rFonts w:hint="default" w:ascii="Times New Roman" w:hAnsi="Times New Roman" w:eastAsia="宋体" w:cs="Times New Roman"/>
                      <w:b/>
                      <w:bCs/>
                      <w:color w:val="auto"/>
                      <w:spacing w:val="-4"/>
                      <w:sz w:val="21"/>
                      <w:szCs w:val="21"/>
                    </w:rPr>
                    <w:t>（mg/m</w:t>
                  </w:r>
                  <w:r>
                    <w:rPr>
                      <w:rFonts w:hint="default" w:ascii="Times New Roman" w:hAnsi="Times New Roman" w:eastAsia="宋体" w:cs="Times New Roman"/>
                      <w:b/>
                      <w:bCs/>
                      <w:color w:val="auto"/>
                      <w:spacing w:val="-4"/>
                      <w:sz w:val="21"/>
                      <w:szCs w:val="21"/>
                      <w:vertAlign w:val="superscript"/>
                      <w:lang w:val="en-US" w:eastAsia="zh-CN"/>
                    </w:rPr>
                    <w:t>3</w:t>
                  </w:r>
                  <w:r>
                    <w:rPr>
                      <w:rFonts w:hint="default" w:ascii="Times New Roman" w:hAnsi="Times New Roman" w:eastAsia="宋体" w:cs="Times New Roman"/>
                      <w:b/>
                      <w:bCs/>
                      <w:color w:val="auto"/>
                      <w:spacing w:val="-4"/>
                      <w:sz w:val="21"/>
                      <w:szCs w:val="21"/>
                    </w:rPr>
                    <w:t>）</w:t>
                  </w:r>
                </w:p>
              </w:tc>
              <w:tc>
                <w:tcPr>
                  <w:tcW w:w="933" w:type="dxa"/>
                  <w:tcBorders>
                    <w:tl2br w:val="nil"/>
                    <w:tr2bl w:val="nil"/>
                  </w:tcBorders>
                  <w:vAlign w:val="center"/>
                </w:tcPr>
                <w:p w14:paraId="31F59EB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排放速</w:t>
                  </w:r>
                  <w:r>
                    <w:rPr>
                      <w:rFonts w:hint="default" w:ascii="Times New Roman" w:hAnsi="Times New Roman" w:eastAsia="宋体" w:cs="Times New Roman"/>
                      <w:b/>
                      <w:bCs/>
                      <w:color w:val="auto"/>
                      <w:spacing w:val="-18"/>
                      <w:sz w:val="21"/>
                      <w:szCs w:val="21"/>
                    </w:rPr>
                    <w:t>率（kg/h）</w:t>
                  </w:r>
                </w:p>
              </w:tc>
              <w:tc>
                <w:tcPr>
                  <w:tcW w:w="804" w:type="dxa"/>
                  <w:tcBorders>
                    <w:tl2br w:val="nil"/>
                    <w:tr2bl w:val="nil"/>
                  </w:tcBorders>
                  <w:vAlign w:val="center"/>
                </w:tcPr>
                <w:p w14:paraId="661DCBE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排放量</w:t>
                  </w:r>
                  <w:r>
                    <w:rPr>
                      <w:rFonts w:hint="default" w:ascii="Times New Roman" w:hAnsi="Times New Roman" w:eastAsia="宋体" w:cs="Times New Roman"/>
                      <w:b/>
                      <w:bCs/>
                      <w:color w:val="auto"/>
                      <w:spacing w:val="-3"/>
                      <w:sz w:val="21"/>
                      <w:szCs w:val="21"/>
                    </w:rPr>
                    <w:t>（t/a）</w:t>
                  </w:r>
                </w:p>
              </w:tc>
              <w:tc>
                <w:tcPr>
                  <w:tcW w:w="688" w:type="dxa"/>
                  <w:vMerge w:val="continue"/>
                  <w:tcBorders>
                    <w:tl2br w:val="nil"/>
                    <w:tr2bl w:val="nil"/>
                  </w:tcBorders>
                  <w:vAlign w:val="center"/>
                </w:tcPr>
                <w:p w14:paraId="2E80AF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r w14:paraId="0131690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vAlign w:val="center"/>
                </w:tcPr>
                <w:p w14:paraId="6F3424C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熔化</w:t>
                  </w:r>
                </w:p>
              </w:tc>
              <w:tc>
                <w:tcPr>
                  <w:tcW w:w="582" w:type="dxa"/>
                  <w:tcBorders>
                    <w:tl2br w:val="nil"/>
                    <w:tr2bl w:val="nil"/>
                  </w:tcBorders>
                  <w:vAlign w:val="center"/>
                </w:tcPr>
                <w:p w14:paraId="44C8EA7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电炉</w:t>
                  </w:r>
                </w:p>
              </w:tc>
              <w:tc>
                <w:tcPr>
                  <w:tcW w:w="763" w:type="dxa"/>
                  <w:tcBorders>
                    <w:tl2br w:val="nil"/>
                    <w:tr2bl w:val="nil"/>
                  </w:tcBorders>
                  <w:vAlign w:val="center"/>
                </w:tcPr>
                <w:p w14:paraId="6AF8D6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vAlign w:val="center"/>
                </w:tcPr>
                <w:p w14:paraId="4B5C482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77.42</w:t>
                  </w:r>
                </w:p>
              </w:tc>
              <w:tc>
                <w:tcPr>
                  <w:tcW w:w="779" w:type="dxa"/>
                  <w:tcBorders>
                    <w:tl2br w:val="nil"/>
                    <w:tr2bl w:val="nil"/>
                  </w:tcBorders>
                  <w:vAlign w:val="center"/>
                </w:tcPr>
                <w:p w14:paraId="1025439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0.929</w:t>
                  </w:r>
                </w:p>
              </w:tc>
              <w:tc>
                <w:tcPr>
                  <w:tcW w:w="572" w:type="dxa"/>
                  <w:vMerge w:val="restart"/>
                  <w:tcBorders>
                    <w:tl2br w:val="nil"/>
                    <w:tr2bl w:val="nil"/>
                  </w:tcBorders>
                  <w:vAlign w:val="center"/>
                </w:tcPr>
                <w:p w14:paraId="5078C88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2"/>
                      <w:sz w:val="21"/>
                      <w:szCs w:val="21"/>
                      <w:highlight w:val="none"/>
                      <w:lang w:val="en-US"/>
                    </w:rPr>
                  </w:pPr>
                  <w:r>
                    <w:rPr>
                      <w:rFonts w:hint="eastAsia" w:ascii="Times New Roman" w:hAnsi="Times New Roman" w:cs="Times New Roman"/>
                      <w:color w:val="auto"/>
                      <w:spacing w:val="42"/>
                      <w:sz w:val="21"/>
                      <w:szCs w:val="21"/>
                      <w:highlight w:val="none"/>
                      <w:lang w:val="en-US" w:eastAsia="zh-CN"/>
                    </w:rPr>
                    <w:t>集气管道/集气罩</w:t>
                  </w:r>
                </w:p>
              </w:tc>
              <w:tc>
                <w:tcPr>
                  <w:tcW w:w="800" w:type="dxa"/>
                  <w:vMerge w:val="restart"/>
                  <w:tcBorders>
                    <w:tl2br w:val="nil"/>
                    <w:tr2bl w:val="nil"/>
                  </w:tcBorders>
                  <w:vAlign w:val="center"/>
                </w:tcPr>
                <w:p w14:paraId="73B131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2"/>
                      <w:sz w:val="21"/>
                      <w:szCs w:val="21"/>
                      <w:highlight w:val="none"/>
                      <w:lang w:val="en-US" w:eastAsia="zh-CN"/>
                    </w:rPr>
                    <w:t>97</w:t>
                  </w:r>
                </w:p>
              </w:tc>
              <w:tc>
                <w:tcPr>
                  <w:tcW w:w="841" w:type="dxa"/>
                  <w:vMerge w:val="restart"/>
                  <w:tcBorders>
                    <w:tl2br w:val="nil"/>
                    <w:tr2bl w:val="nil"/>
                  </w:tcBorders>
                  <w:shd w:val="clear" w:color="auto" w:fill="auto"/>
                  <w:vAlign w:val="center"/>
                </w:tcPr>
                <w:p w14:paraId="6BB8971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pacing w:val="-1"/>
                      <w:sz w:val="21"/>
                      <w:szCs w:val="21"/>
                      <w:highlight w:val="none"/>
                    </w:rPr>
                    <w:t>DA001</w:t>
                  </w:r>
                  <w:r>
                    <w:rPr>
                      <w:rFonts w:hint="default" w:ascii="Times New Roman" w:hAnsi="Times New Roman" w:eastAsia="宋体" w:cs="Times New Roman"/>
                      <w:color w:val="auto"/>
                      <w:spacing w:val="-2"/>
                      <w:sz w:val="21"/>
                      <w:szCs w:val="21"/>
                      <w:highlight w:val="none"/>
                    </w:rPr>
                    <w:t>有组织</w:t>
                  </w:r>
                </w:p>
              </w:tc>
              <w:tc>
                <w:tcPr>
                  <w:tcW w:w="943" w:type="dxa"/>
                  <w:vMerge w:val="restart"/>
                  <w:tcBorders>
                    <w:tl2br w:val="nil"/>
                    <w:tr2bl w:val="nil"/>
                  </w:tcBorders>
                  <w:vAlign w:val="center"/>
                </w:tcPr>
                <w:p w14:paraId="2859C76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r>
                    <w:rPr>
                      <w:rFonts w:hint="eastAsia" w:ascii="Times New Roman" w:hAnsi="Times New Roman" w:cs="Times New Roman"/>
                      <w:color w:val="auto"/>
                      <w:spacing w:val="-3"/>
                      <w:sz w:val="21"/>
                      <w:szCs w:val="21"/>
                      <w:highlight w:val="none"/>
                      <w:lang w:val="en-US" w:eastAsia="zh-CN"/>
                    </w:rPr>
                    <w:t>布袋除尘器</w:t>
                  </w:r>
                </w:p>
              </w:tc>
              <w:tc>
                <w:tcPr>
                  <w:tcW w:w="813" w:type="dxa"/>
                  <w:vMerge w:val="restart"/>
                  <w:tcBorders>
                    <w:tl2br w:val="nil"/>
                    <w:tr2bl w:val="nil"/>
                  </w:tcBorders>
                  <w:vAlign w:val="center"/>
                </w:tcPr>
                <w:p w14:paraId="2F78C8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r>
                    <w:rPr>
                      <w:rFonts w:hint="eastAsia" w:ascii="Times New Roman" w:hAnsi="Times New Roman" w:cs="Times New Roman"/>
                      <w:color w:val="auto"/>
                      <w:spacing w:val="-6"/>
                      <w:sz w:val="21"/>
                      <w:szCs w:val="21"/>
                      <w:highlight w:val="none"/>
                      <w:lang w:val="en-US" w:eastAsia="zh-CN"/>
                    </w:rPr>
                    <w:t>5</w:t>
                  </w:r>
                  <w:r>
                    <w:rPr>
                      <w:rFonts w:hint="default" w:ascii="Times New Roman" w:hAnsi="Times New Roman" w:cs="Times New Roman"/>
                      <w:color w:val="auto"/>
                      <w:spacing w:val="-6"/>
                      <w:sz w:val="21"/>
                      <w:szCs w:val="21"/>
                      <w:highlight w:val="none"/>
                      <w:lang w:val="en-US" w:eastAsia="zh-CN"/>
                    </w:rPr>
                    <w:t>000</w:t>
                  </w:r>
                </w:p>
              </w:tc>
              <w:tc>
                <w:tcPr>
                  <w:tcW w:w="750" w:type="dxa"/>
                  <w:vMerge w:val="restart"/>
                  <w:tcBorders>
                    <w:tl2br w:val="nil"/>
                    <w:tr2bl w:val="nil"/>
                  </w:tcBorders>
                  <w:vAlign w:val="center"/>
                </w:tcPr>
                <w:p w14:paraId="06B35F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eastAsia" w:ascii="Times New Roman" w:hAnsi="Times New Roman" w:cs="Times New Roman"/>
                      <w:color w:val="auto"/>
                      <w:spacing w:val="-3"/>
                      <w:sz w:val="21"/>
                      <w:szCs w:val="21"/>
                      <w:highlight w:val="none"/>
                      <w:lang w:val="en-US" w:eastAsia="zh-CN"/>
                    </w:rPr>
                    <w:t>99</w:t>
                  </w:r>
                </w:p>
              </w:tc>
              <w:tc>
                <w:tcPr>
                  <w:tcW w:w="773" w:type="dxa"/>
                  <w:vMerge w:val="restart"/>
                  <w:tcBorders>
                    <w:tl2br w:val="nil"/>
                    <w:tr2bl w:val="nil"/>
                  </w:tcBorders>
                  <w:vAlign w:val="center"/>
                </w:tcPr>
                <w:p w14:paraId="3F3B1AD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vMerge w:val="restart"/>
                  <w:tcBorders>
                    <w:tl2br w:val="nil"/>
                    <w:tr2bl w:val="nil"/>
                  </w:tcBorders>
                  <w:vAlign w:val="center"/>
                </w:tcPr>
                <w:p w14:paraId="205039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5.67 </w:t>
                  </w:r>
                </w:p>
              </w:tc>
              <w:tc>
                <w:tcPr>
                  <w:tcW w:w="933" w:type="dxa"/>
                  <w:vMerge w:val="restart"/>
                  <w:tcBorders>
                    <w:tl2br w:val="nil"/>
                    <w:tr2bl w:val="nil"/>
                  </w:tcBorders>
                  <w:vAlign w:val="center"/>
                </w:tcPr>
                <w:p w14:paraId="6D8F92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0.0283 </w:t>
                  </w:r>
                </w:p>
              </w:tc>
              <w:tc>
                <w:tcPr>
                  <w:tcW w:w="804" w:type="dxa"/>
                  <w:vMerge w:val="restart"/>
                  <w:tcBorders>
                    <w:tl2br w:val="nil"/>
                    <w:tr2bl w:val="nil"/>
                  </w:tcBorders>
                  <w:vAlign w:val="center"/>
                </w:tcPr>
                <w:p w14:paraId="4880BE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0.068</w:t>
                  </w:r>
                </w:p>
              </w:tc>
              <w:tc>
                <w:tcPr>
                  <w:tcW w:w="688" w:type="dxa"/>
                  <w:vMerge w:val="restart"/>
                  <w:tcBorders>
                    <w:tl2br w:val="nil"/>
                    <w:tr2bl w:val="nil"/>
                  </w:tcBorders>
                  <w:vAlign w:val="center"/>
                </w:tcPr>
                <w:p w14:paraId="1B840B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20205AB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787" w:type="dxa"/>
                  <w:tcBorders>
                    <w:tl2br w:val="nil"/>
                    <w:tr2bl w:val="nil"/>
                  </w:tcBorders>
                  <w:vAlign w:val="center"/>
                </w:tcPr>
                <w:p w14:paraId="5666B6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抛丸</w:t>
                  </w:r>
                </w:p>
              </w:tc>
              <w:tc>
                <w:tcPr>
                  <w:tcW w:w="582" w:type="dxa"/>
                  <w:tcBorders>
                    <w:tl2br w:val="nil"/>
                    <w:tr2bl w:val="nil"/>
                  </w:tcBorders>
                  <w:vAlign w:val="center"/>
                </w:tcPr>
                <w:p w14:paraId="4ADFDA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抛丸机</w:t>
                  </w:r>
                </w:p>
              </w:tc>
              <w:tc>
                <w:tcPr>
                  <w:tcW w:w="763" w:type="dxa"/>
                  <w:tcBorders>
                    <w:tl2br w:val="nil"/>
                    <w:tr2bl w:val="nil"/>
                  </w:tcBorders>
                  <w:vAlign w:val="center"/>
                </w:tcPr>
                <w:p w14:paraId="369262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vAlign w:val="center"/>
                </w:tcPr>
                <w:p w14:paraId="19D9772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354.17</w:t>
                  </w:r>
                </w:p>
              </w:tc>
              <w:tc>
                <w:tcPr>
                  <w:tcW w:w="779" w:type="dxa"/>
                  <w:tcBorders>
                    <w:tl2br w:val="nil"/>
                    <w:tr2bl w:val="nil"/>
                  </w:tcBorders>
                  <w:vAlign w:val="center"/>
                </w:tcPr>
                <w:p w14:paraId="09C58E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4.25</w:t>
                  </w:r>
                </w:p>
              </w:tc>
              <w:tc>
                <w:tcPr>
                  <w:tcW w:w="572" w:type="dxa"/>
                  <w:vMerge w:val="continue"/>
                  <w:tcBorders>
                    <w:tl2br w:val="nil"/>
                    <w:tr2bl w:val="nil"/>
                  </w:tcBorders>
                  <w:vAlign w:val="center"/>
                </w:tcPr>
                <w:p w14:paraId="7CA07DA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42"/>
                      <w:sz w:val="21"/>
                      <w:szCs w:val="21"/>
                      <w:highlight w:val="none"/>
                      <w:lang w:val="en-US" w:eastAsia="zh-CN"/>
                    </w:rPr>
                  </w:pPr>
                </w:p>
              </w:tc>
              <w:tc>
                <w:tcPr>
                  <w:tcW w:w="800" w:type="dxa"/>
                  <w:vMerge w:val="continue"/>
                  <w:tcBorders>
                    <w:tl2br w:val="nil"/>
                    <w:tr2bl w:val="nil"/>
                  </w:tcBorders>
                  <w:vAlign w:val="center"/>
                </w:tcPr>
                <w:p w14:paraId="5E546C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p>
              </w:tc>
              <w:tc>
                <w:tcPr>
                  <w:tcW w:w="841" w:type="dxa"/>
                  <w:vMerge w:val="continue"/>
                  <w:tcBorders>
                    <w:tl2br w:val="nil"/>
                    <w:tr2bl w:val="nil"/>
                  </w:tcBorders>
                  <w:vAlign w:val="center"/>
                </w:tcPr>
                <w:p w14:paraId="7A60F8A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highlight w:val="none"/>
                    </w:rPr>
                  </w:pPr>
                </w:p>
              </w:tc>
              <w:tc>
                <w:tcPr>
                  <w:tcW w:w="943" w:type="dxa"/>
                  <w:vMerge w:val="continue"/>
                  <w:tcBorders>
                    <w:tl2br w:val="nil"/>
                    <w:tr2bl w:val="nil"/>
                  </w:tcBorders>
                  <w:vAlign w:val="center"/>
                </w:tcPr>
                <w:p w14:paraId="44A3F2F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813" w:type="dxa"/>
                  <w:vMerge w:val="continue"/>
                  <w:tcBorders>
                    <w:tl2br w:val="nil"/>
                    <w:tr2bl w:val="nil"/>
                  </w:tcBorders>
                  <w:vAlign w:val="center"/>
                </w:tcPr>
                <w:p w14:paraId="1C7F81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50" w:type="dxa"/>
                  <w:vMerge w:val="continue"/>
                  <w:tcBorders>
                    <w:tl2br w:val="nil"/>
                    <w:tr2bl w:val="nil"/>
                  </w:tcBorders>
                  <w:vAlign w:val="center"/>
                </w:tcPr>
                <w:p w14:paraId="6FCED6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76DE32E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76AF7E71">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933" w:type="dxa"/>
                  <w:vMerge w:val="continue"/>
                  <w:tcBorders>
                    <w:tl2br w:val="nil"/>
                    <w:tr2bl w:val="nil"/>
                  </w:tcBorders>
                  <w:vAlign w:val="center"/>
                </w:tcPr>
                <w:p w14:paraId="39B1CFC9">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804" w:type="dxa"/>
                  <w:vMerge w:val="continue"/>
                  <w:tcBorders>
                    <w:tl2br w:val="nil"/>
                    <w:tr2bl w:val="nil"/>
                  </w:tcBorders>
                  <w:vAlign w:val="center"/>
                </w:tcPr>
                <w:p w14:paraId="03DB3ED1">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688" w:type="dxa"/>
                  <w:vMerge w:val="continue"/>
                  <w:tcBorders>
                    <w:tl2br w:val="nil"/>
                    <w:tr2bl w:val="nil"/>
                  </w:tcBorders>
                  <w:vAlign w:val="center"/>
                </w:tcPr>
                <w:p w14:paraId="25F136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62B81BB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787" w:type="dxa"/>
                  <w:vMerge w:val="restart"/>
                  <w:tcBorders>
                    <w:tl2br w:val="nil"/>
                    <w:tr2bl w:val="nil"/>
                  </w:tcBorders>
                  <w:vAlign w:val="center"/>
                </w:tcPr>
                <w:p w14:paraId="008043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浇注</w:t>
                  </w:r>
                </w:p>
              </w:tc>
              <w:tc>
                <w:tcPr>
                  <w:tcW w:w="582" w:type="dxa"/>
                  <w:vMerge w:val="restart"/>
                  <w:tcBorders>
                    <w:tl2br w:val="nil"/>
                    <w:tr2bl w:val="nil"/>
                  </w:tcBorders>
                  <w:vAlign w:val="center"/>
                </w:tcPr>
                <w:p w14:paraId="0AE1BA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浇注</w:t>
                  </w:r>
                </w:p>
              </w:tc>
              <w:tc>
                <w:tcPr>
                  <w:tcW w:w="763" w:type="dxa"/>
                  <w:tcBorders>
                    <w:tl2br w:val="nil"/>
                    <w:tr2bl w:val="nil"/>
                  </w:tcBorders>
                  <w:vAlign w:val="center"/>
                </w:tcPr>
                <w:p w14:paraId="612680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vAlign w:val="center"/>
                </w:tcPr>
                <w:p w14:paraId="5350AEB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135.50</w:t>
                  </w:r>
                </w:p>
              </w:tc>
              <w:tc>
                <w:tcPr>
                  <w:tcW w:w="779" w:type="dxa"/>
                  <w:tcBorders>
                    <w:tl2br w:val="nil"/>
                    <w:tr2bl w:val="nil"/>
                  </w:tcBorders>
                  <w:vAlign w:val="center"/>
                </w:tcPr>
                <w:p w14:paraId="244738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1.626</w:t>
                  </w:r>
                </w:p>
              </w:tc>
              <w:tc>
                <w:tcPr>
                  <w:tcW w:w="572" w:type="dxa"/>
                  <w:vMerge w:val="continue"/>
                  <w:tcBorders>
                    <w:tl2br w:val="nil"/>
                    <w:tr2bl w:val="nil"/>
                  </w:tcBorders>
                  <w:vAlign w:val="center"/>
                </w:tcPr>
                <w:p w14:paraId="78D651C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42"/>
                      <w:sz w:val="21"/>
                      <w:szCs w:val="21"/>
                      <w:highlight w:val="none"/>
                      <w:lang w:val="en-US" w:eastAsia="zh-CN"/>
                    </w:rPr>
                  </w:pPr>
                </w:p>
              </w:tc>
              <w:tc>
                <w:tcPr>
                  <w:tcW w:w="800" w:type="dxa"/>
                  <w:vMerge w:val="continue"/>
                  <w:tcBorders>
                    <w:tl2br w:val="nil"/>
                    <w:tr2bl w:val="nil"/>
                  </w:tcBorders>
                  <w:vAlign w:val="center"/>
                </w:tcPr>
                <w:p w14:paraId="216972A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p>
              </w:tc>
              <w:tc>
                <w:tcPr>
                  <w:tcW w:w="841" w:type="dxa"/>
                  <w:vMerge w:val="continue"/>
                  <w:tcBorders>
                    <w:tl2br w:val="nil"/>
                    <w:tr2bl w:val="nil"/>
                  </w:tcBorders>
                  <w:vAlign w:val="center"/>
                </w:tcPr>
                <w:p w14:paraId="0D190A3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highlight w:val="none"/>
                    </w:rPr>
                  </w:pPr>
                </w:p>
              </w:tc>
              <w:tc>
                <w:tcPr>
                  <w:tcW w:w="943" w:type="dxa"/>
                  <w:vMerge w:val="continue"/>
                  <w:tcBorders>
                    <w:tl2br w:val="nil"/>
                    <w:tr2bl w:val="nil"/>
                  </w:tcBorders>
                  <w:vAlign w:val="center"/>
                </w:tcPr>
                <w:p w14:paraId="3B8C8BF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813" w:type="dxa"/>
                  <w:vMerge w:val="continue"/>
                  <w:tcBorders>
                    <w:tl2br w:val="nil"/>
                    <w:tr2bl w:val="nil"/>
                  </w:tcBorders>
                  <w:vAlign w:val="center"/>
                </w:tcPr>
                <w:p w14:paraId="3E6FC67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50" w:type="dxa"/>
                  <w:vMerge w:val="continue"/>
                  <w:tcBorders>
                    <w:tl2br w:val="nil"/>
                    <w:tr2bl w:val="nil"/>
                  </w:tcBorders>
                  <w:vAlign w:val="center"/>
                </w:tcPr>
                <w:p w14:paraId="669D6D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6670723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61C8AD35">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933" w:type="dxa"/>
                  <w:vMerge w:val="continue"/>
                  <w:tcBorders>
                    <w:tl2br w:val="nil"/>
                    <w:tr2bl w:val="nil"/>
                  </w:tcBorders>
                  <w:vAlign w:val="center"/>
                </w:tcPr>
                <w:p w14:paraId="764B455F">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804" w:type="dxa"/>
                  <w:vMerge w:val="continue"/>
                  <w:tcBorders>
                    <w:tl2br w:val="nil"/>
                    <w:tr2bl w:val="nil"/>
                  </w:tcBorders>
                  <w:vAlign w:val="center"/>
                </w:tcPr>
                <w:p w14:paraId="796D3AD5">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688" w:type="dxa"/>
                  <w:vMerge w:val="continue"/>
                  <w:tcBorders>
                    <w:tl2br w:val="nil"/>
                    <w:tr2bl w:val="nil"/>
                  </w:tcBorders>
                  <w:vAlign w:val="center"/>
                </w:tcPr>
                <w:p w14:paraId="0FF1DE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36E0A27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787" w:type="dxa"/>
                  <w:vMerge w:val="continue"/>
                  <w:tcBorders>
                    <w:tl2br w:val="nil"/>
                    <w:tr2bl w:val="nil"/>
                  </w:tcBorders>
                  <w:vAlign w:val="center"/>
                </w:tcPr>
                <w:p w14:paraId="419326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7F1A6E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vAlign w:val="center"/>
                </w:tcPr>
                <w:p w14:paraId="13E21A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vAlign w:val="center"/>
                </w:tcPr>
                <w:p w14:paraId="0000C2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40.58</w:t>
                  </w:r>
                </w:p>
              </w:tc>
              <w:tc>
                <w:tcPr>
                  <w:tcW w:w="779" w:type="dxa"/>
                  <w:tcBorders>
                    <w:tl2br w:val="nil"/>
                    <w:tr2bl w:val="nil"/>
                  </w:tcBorders>
                  <w:vAlign w:val="center"/>
                </w:tcPr>
                <w:p w14:paraId="4AB45C9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0.487</w:t>
                  </w:r>
                </w:p>
              </w:tc>
              <w:tc>
                <w:tcPr>
                  <w:tcW w:w="572" w:type="dxa"/>
                  <w:vMerge w:val="continue"/>
                  <w:tcBorders>
                    <w:tl2br w:val="nil"/>
                    <w:tr2bl w:val="nil"/>
                  </w:tcBorders>
                  <w:vAlign w:val="center"/>
                </w:tcPr>
                <w:p w14:paraId="6AF57FC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42"/>
                      <w:sz w:val="21"/>
                      <w:szCs w:val="21"/>
                      <w:highlight w:val="none"/>
                      <w:lang w:val="en-US" w:eastAsia="zh-CN"/>
                    </w:rPr>
                  </w:pPr>
                </w:p>
              </w:tc>
              <w:tc>
                <w:tcPr>
                  <w:tcW w:w="800" w:type="dxa"/>
                  <w:vMerge w:val="continue"/>
                  <w:tcBorders>
                    <w:tl2br w:val="nil"/>
                    <w:tr2bl w:val="nil"/>
                  </w:tcBorders>
                  <w:vAlign w:val="center"/>
                </w:tcPr>
                <w:p w14:paraId="038605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p>
              </w:tc>
              <w:tc>
                <w:tcPr>
                  <w:tcW w:w="841" w:type="dxa"/>
                  <w:vMerge w:val="continue"/>
                  <w:tcBorders>
                    <w:tl2br w:val="nil"/>
                    <w:tr2bl w:val="nil"/>
                  </w:tcBorders>
                  <w:vAlign w:val="center"/>
                </w:tcPr>
                <w:p w14:paraId="69256C8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highlight w:val="none"/>
                    </w:rPr>
                  </w:pPr>
                </w:p>
              </w:tc>
              <w:tc>
                <w:tcPr>
                  <w:tcW w:w="943" w:type="dxa"/>
                  <w:vMerge w:val="restart"/>
                  <w:tcBorders>
                    <w:tl2br w:val="nil"/>
                    <w:tr2bl w:val="nil"/>
                  </w:tcBorders>
                  <w:vAlign w:val="center"/>
                </w:tcPr>
                <w:p w14:paraId="4C8C15A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3"/>
                      <w:sz w:val="21"/>
                      <w:szCs w:val="21"/>
                      <w:highlight w:val="none"/>
                    </w:rPr>
                    <w:t>二级活性炭吸附装置</w:t>
                  </w:r>
                </w:p>
              </w:tc>
              <w:tc>
                <w:tcPr>
                  <w:tcW w:w="813" w:type="dxa"/>
                  <w:vMerge w:val="continue"/>
                  <w:tcBorders>
                    <w:tl2br w:val="nil"/>
                    <w:tr2bl w:val="nil"/>
                  </w:tcBorders>
                  <w:vAlign w:val="center"/>
                </w:tcPr>
                <w:p w14:paraId="34EF38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50" w:type="dxa"/>
                  <w:vMerge w:val="restart"/>
                  <w:tcBorders>
                    <w:tl2br w:val="nil"/>
                    <w:tr2bl w:val="nil"/>
                  </w:tcBorders>
                  <w:vAlign w:val="center"/>
                </w:tcPr>
                <w:p w14:paraId="43BEA5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3"/>
                      <w:sz w:val="21"/>
                      <w:szCs w:val="21"/>
                      <w:highlight w:val="none"/>
                      <w:lang w:val="en-US" w:eastAsia="zh-CN"/>
                    </w:rPr>
                  </w:pPr>
                  <w:r>
                    <w:rPr>
                      <w:rFonts w:hint="eastAsia" w:ascii="Times New Roman" w:hAnsi="Times New Roman" w:cs="Times New Roman"/>
                      <w:color w:val="auto"/>
                      <w:spacing w:val="-3"/>
                      <w:sz w:val="21"/>
                      <w:szCs w:val="21"/>
                      <w:highlight w:val="none"/>
                      <w:lang w:val="en-US" w:eastAsia="zh-CN"/>
                    </w:rPr>
                    <w:t>80</w:t>
                  </w:r>
                </w:p>
              </w:tc>
              <w:tc>
                <w:tcPr>
                  <w:tcW w:w="773" w:type="dxa"/>
                  <w:vMerge w:val="continue"/>
                  <w:tcBorders>
                    <w:tl2br w:val="nil"/>
                    <w:tr2bl w:val="nil"/>
                  </w:tcBorders>
                  <w:vAlign w:val="center"/>
                </w:tcPr>
                <w:p w14:paraId="45266F5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1FD4D51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8.12 </w:t>
                  </w:r>
                </w:p>
              </w:tc>
              <w:tc>
                <w:tcPr>
                  <w:tcW w:w="933" w:type="dxa"/>
                  <w:tcBorders>
                    <w:tl2br w:val="nil"/>
                    <w:tr2bl w:val="nil"/>
                  </w:tcBorders>
                  <w:vAlign w:val="center"/>
                </w:tcPr>
                <w:p w14:paraId="64F8530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0.0406 </w:t>
                  </w:r>
                </w:p>
              </w:tc>
              <w:tc>
                <w:tcPr>
                  <w:tcW w:w="804" w:type="dxa"/>
                  <w:tcBorders>
                    <w:tl2br w:val="nil"/>
                    <w:tr2bl w:val="nil"/>
                  </w:tcBorders>
                  <w:vAlign w:val="center"/>
                </w:tcPr>
                <w:p w14:paraId="7F5C40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0.0974</w:t>
                  </w:r>
                </w:p>
              </w:tc>
              <w:tc>
                <w:tcPr>
                  <w:tcW w:w="688" w:type="dxa"/>
                  <w:vMerge w:val="continue"/>
                  <w:tcBorders>
                    <w:tl2br w:val="nil"/>
                    <w:tr2bl w:val="nil"/>
                  </w:tcBorders>
                  <w:vAlign w:val="center"/>
                </w:tcPr>
                <w:p w14:paraId="2962D1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7D97102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787" w:type="dxa"/>
                  <w:vMerge w:val="continue"/>
                  <w:tcBorders>
                    <w:tl2br w:val="nil"/>
                    <w:tr2bl w:val="nil"/>
                  </w:tcBorders>
                  <w:vAlign w:val="center"/>
                </w:tcPr>
                <w:p w14:paraId="742566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53B4B9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062ACEF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苯乙烯</w:t>
                  </w:r>
                </w:p>
              </w:tc>
              <w:tc>
                <w:tcPr>
                  <w:tcW w:w="1107" w:type="dxa"/>
                  <w:tcBorders>
                    <w:tl2br w:val="nil"/>
                    <w:tr2bl w:val="nil"/>
                  </w:tcBorders>
                  <w:vAlign w:val="center"/>
                </w:tcPr>
                <w:p w14:paraId="60D15D0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779" w:type="dxa"/>
                  <w:tcBorders>
                    <w:tl2br w:val="nil"/>
                    <w:tr2bl w:val="nil"/>
                  </w:tcBorders>
                  <w:vAlign w:val="center"/>
                </w:tcPr>
                <w:p w14:paraId="33F344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572" w:type="dxa"/>
                  <w:vMerge w:val="continue"/>
                  <w:tcBorders>
                    <w:tl2br w:val="nil"/>
                    <w:tr2bl w:val="nil"/>
                  </w:tcBorders>
                  <w:vAlign w:val="center"/>
                </w:tcPr>
                <w:p w14:paraId="700BAA9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42"/>
                      <w:sz w:val="21"/>
                      <w:szCs w:val="21"/>
                      <w:highlight w:val="none"/>
                      <w:lang w:val="en-US" w:eastAsia="zh-CN"/>
                    </w:rPr>
                  </w:pPr>
                </w:p>
              </w:tc>
              <w:tc>
                <w:tcPr>
                  <w:tcW w:w="800" w:type="dxa"/>
                  <w:vMerge w:val="continue"/>
                  <w:tcBorders>
                    <w:tl2br w:val="nil"/>
                    <w:tr2bl w:val="nil"/>
                  </w:tcBorders>
                  <w:vAlign w:val="center"/>
                </w:tcPr>
                <w:p w14:paraId="4EC1CA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p>
              </w:tc>
              <w:tc>
                <w:tcPr>
                  <w:tcW w:w="841" w:type="dxa"/>
                  <w:vMerge w:val="continue"/>
                  <w:tcBorders>
                    <w:tl2br w:val="nil"/>
                    <w:tr2bl w:val="nil"/>
                  </w:tcBorders>
                  <w:vAlign w:val="center"/>
                </w:tcPr>
                <w:p w14:paraId="73261E0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highlight w:val="none"/>
                    </w:rPr>
                  </w:pPr>
                </w:p>
              </w:tc>
              <w:tc>
                <w:tcPr>
                  <w:tcW w:w="943" w:type="dxa"/>
                  <w:vMerge w:val="continue"/>
                  <w:tcBorders>
                    <w:tl2br w:val="nil"/>
                    <w:tr2bl w:val="nil"/>
                  </w:tcBorders>
                  <w:vAlign w:val="center"/>
                </w:tcPr>
                <w:p w14:paraId="7CD8F06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6CF2D4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50" w:type="dxa"/>
                  <w:vMerge w:val="continue"/>
                  <w:tcBorders>
                    <w:tl2br w:val="nil"/>
                    <w:tr2bl w:val="nil"/>
                  </w:tcBorders>
                  <w:vAlign w:val="center"/>
                </w:tcPr>
                <w:p w14:paraId="7A062A9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5B6B60A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4737D15E">
                  <w:pPr>
                    <w:keepNext w:val="0"/>
                    <w:keepLines w:val="0"/>
                    <w:widowControl/>
                    <w:suppressLineNumbers w:val="0"/>
                    <w:spacing w:line="240" w:lineRule="auto"/>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933" w:type="dxa"/>
                  <w:tcBorders>
                    <w:tl2br w:val="nil"/>
                    <w:tr2bl w:val="nil"/>
                  </w:tcBorders>
                  <w:vAlign w:val="center"/>
                </w:tcPr>
                <w:p w14:paraId="7DAF81E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804" w:type="dxa"/>
                  <w:tcBorders>
                    <w:tl2br w:val="nil"/>
                    <w:tr2bl w:val="nil"/>
                  </w:tcBorders>
                  <w:vAlign w:val="center"/>
                </w:tcPr>
                <w:p w14:paraId="55A6B161">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688" w:type="dxa"/>
                  <w:vMerge w:val="continue"/>
                  <w:tcBorders>
                    <w:tl2br w:val="nil"/>
                    <w:tr2bl w:val="nil"/>
                  </w:tcBorders>
                  <w:vAlign w:val="center"/>
                </w:tcPr>
                <w:p w14:paraId="1C0785C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6A50713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787" w:type="dxa"/>
                  <w:vMerge w:val="continue"/>
                  <w:tcBorders>
                    <w:tl2br w:val="nil"/>
                    <w:tr2bl w:val="nil"/>
                  </w:tcBorders>
                  <w:vAlign w:val="center"/>
                </w:tcPr>
                <w:p w14:paraId="113BB4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48E61A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1F2B11F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臭气浓度</w:t>
                  </w:r>
                </w:p>
              </w:tc>
              <w:tc>
                <w:tcPr>
                  <w:tcW w:w="1107" w:type="dxa"/>
                  <w:tcBorders>
                    <w:tl2br w:val="nil"/>
                    <w:tr2bl w:val="nil"/>
                  </w:tcBorders>
                  <w:vAlign w:val="center"/>
                </w:tcPr>
                <w:p w14:paraId="76B79FC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779" w:type="dxa"/>
                  <w:tcBorders>
                    <w:tl2br w:val="nil"/>
                    <w:tr2bl w:val="nil"/>
                  </w:tcBorders>
                  <w:vAlign w:val="center"/>
                </w:tcPr>
                <w:p w14:paraId="1C6BE6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572" w:type="dxa"/>
                  <w:vMerge w:val="continue"/>
                  <w:tcBorders>
                    <w:tl2br w:val="nil"/>
                    <w:tr2bl w:val="nil"/>
                  </w:tcBorders>
                  <w:vAlign w:val="center"/>
                </w:tcPr>
                <w:p w14:paraId="2A658EF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42"/>
                      <w:sz w:val="21"/>
                      <w:szCs w:val="21"/>
                      <w:highlight w:val="none"/>
                      <w:lang w:val="en-US" w:eastAsia="zh-CN"/>
                    </w:rPr>
                  </w:pPr>
                </w:p>
              </w:tc>
              <w:tc>
                <w:tcPr>
                  <w:tcW w:w="800" w:type="dxa"/>
                  <w:vMerge w:val="continue"/>
                  <w:tcBorders>
                    <w:tl2br w:val="nil"/>
                    <w:tr2bl w:val="nil"/>
                  </w:tcBorders>
                  <w:vAlign w:val="center"/>
                </w:tcPr>
                <w:p w14:paraId="399DE2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p>
              </w:tc>
              <w:tc>
                <w:tcPr>
                  <w:tcW w:w="841" w:type="dxa"/>
                  <w:vMerge w:val="continue"/>
                  <w:tcBorders>
                    <w:tl2br w:val="nil"/>
                    <w:tr2bl w:val="nil"/>
                  </w:tcBorders>
                  <w:vAlign w:val="center"/>
                </w:tcPr>
                <w:p w14:paraId="094049E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highlight w:val="none"/>
                    </w:rPr>
                  </w:pPr>
                </w:p>
              </w:tc>
              <w:tc>
                <w:tcPr>
                  <w:tcW w:w="943" w:type="dxa"/>
                  <w:vMerge w:val="continue"/>
                  <w:tcBorders>
                    <w:tl2br w:val="nil"/>
                    <w:tr2bl w:val="nil"/>
                  </w:tcBorders>
                  <w:vAlign w:val="center"/>
                </w:tcPr>
                <w:p w14:paraId="0AC5E94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31F903D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50" w:type="dxa"/>
                  <w:vMerge w:val="continue"/>
                  <w:tcBorders>
                    <w:tl2br w:val="nil"/>
                    <w:tr2bl w:val="nil"/>
                  </w:tcBorders>
                  <w:vAlign w:val="center"/>
                </w:tcPr>
                <w:p w14:paraId="03BCEE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087745B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1BB84EA8">
                  <w:pPr>
                    <w:keepNext w:val="0"/>
                    <w:keepLines w:val="0"/>
                    <w:widowControl/>
                    <w:suppressLineNumbers w:val="0"/>
                    <w:spacing w:line="240" w:lineRule="auto"/>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933" w:type="dxa"/>
                  <w:tcBorders>
                    <w:tl2br w:val="nil"/>
                    <w:tr2bl w:val="nil"/>
                  </w:tcBorders>
                  <w:vAlign w:val="center"/>
                </w:tcPr>
                <w:p w14:paraId="4B061CA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804" w:type="dxa"/>
                  <w:tcBorders>
                    <w:tl2br w:val="nil"/>
                    <w:tr2bl w:val="nil"/>
                  </w:tcBorders>
                  <w:vAlign w:val="center"/>
                </w:tcPr>
                <w:p w14:paraId="3B11C0A3">
                  <w:pPr>
                    <w:keepNext w:val="0"/>
                    <w:keepLines w:val="0"/>
                    <w:widowControl/>
                    <w:suppressLineNumbers w:val="0"/>
                    <w:spacing w:line="240" w:lineRule="auto"/>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688" w:type="dxa"/>
                  <w:vMerge w:val="continue"/>
                  <w:tcBorders>
                    <w:tl2br w:val="nil"/>
                    <w:tr2bl w:val="nil"/>
                  </w:tcBorders>
                  <w:vAlign w:val="center"/>
                </w:tcPr>
                <w:p w14:paraId="210F4B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34E2008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787" w:type="dxa"/>
                  <w:vMerge w:val="continue"/>
                  <w:tcBorders>
                    <w:tl2br w:val="nil"/>
                    <w:tr2bl w:val="nil"/>
                  </w:tcBorders>
                  <w:vAlign w:val="center"/>
                </w:tcPr>
                <w:p w14:paraId="4AEBC4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1170C7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348C671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甲醛</w:t>
                  </w:r>
                </w:p>
              </w:tc>
              <w:tc>
                <w:tcPr>
                  <w:tcW w:w="1107" w:type="dxa"/>
                  <w:tcBorders>
                    <w:tl2br w:val="nil"/>
                    <w:tr2bl w:val="nil"/>
                  </w:tcBorders>
                  <w:vAlign w:val="center"/>
                </w:tcPr>
                <w:p w14:paraId="71CADB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9.75</w:t>
                  </w:r>
                </w:p>
              </w:tc>
              <w:tc>
                <w:tcPr>
                  <w:tcW w:w="779" w:type="dxa"/>
                  <w:tcBorders>
                    <w:tl2br w:val="nil"/>
                    <w:tr2bl w:val="nil"/>
                  </w:tcBorders>
                  <w:vAlign w:val="center"/>
                </w:tcPr>
                <w:p w14:paraId="076F3F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0.117</w:t>
                  </w:r>
                </w:p>
              </w:tc>
              <w:tc>
                <w:tcPr>
                  <w:tcW w:w="572" w:type="dxa"/>
                  <w:vMerge w:val="continue"/>
                  <w:tcBorders>
                    <w:tl2br w:val="nil"/>
                    <w:tr2bl w:val="nil"/>
                  </w:tcBorders>
                  <w:vAlign w:val="center"/>
                </w:tcPr>
                <w:p w14:paraId="5917E4B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42"/>
                      <w:sz w:val="21"/>
                      <w:szCs w:val="21"/>
                      <w:highlight w:val="none"/>
                      <w:lang w:val="en-US" w:eastAsia="zh-CN"/>
                    </w:rPr>
                  </w:pPr>
                </w:p>
              </w:tc>
              <w:tc>
                <w:tcPr>
                  <w:tcW w:w="800" w:type="dxa"/>
                  <w:vMerge w:val="continue"/>
                  <w:tcBorders>
                    <w:tl2br w:val="nil"/>
                    <w:tr2bl w:val="nil"/>
                  </w:tcBorders>
                  <w:vAlign w:val="center"/>
                </w:tcPr>
                <w:p w14:paraId="405E7AE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p>
              </w:tc>
              <w:tc>
                <w:tcPr>
                  <w:tcW w:w="841" w:type="dxa"/>
                  <w:vMerge w:val="continue"/>
                  <w:tcBorders>
                    <w:tl2br w:val="nil"/>
                    <w:tr2bl w:val="nil"/>
                  </w:tcBorders>
                  <w:vAlign w:val="center"/>
                </w:tcPr>
                <w:p w14:paraId="3E94E41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highlight w:val="none"/>
                    </w:rPr>
                  </w:pPr>
                </w:p>
              </w:tc>
              <w:tc>
                <w:tcPr>
                  <w:tcW w:w="943" w:type="dxa"/>
                  <w:vMerge w:val="continue"/>
                  <w:tcBorders>
                    <w:tl2br w:val="nil"/>
                    <w:tr2bl w:val="nil"/>
                  </w:tcBorders>
                  <w:vAlign w:val="center"/>
                </w:tcPr>
                <w:p w14:paraId="45959A1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0F527D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50" w:type="dxa"/>
                  <w:vMerge w:val="continue"/>
                  <w:tcBorders>
                    <w:tl2br w:val="nil"/>
                    <w:tr2bl w:val="nil"/>
                  </w:tcBorders>
                  <w:vAlign w:val="center"/>
                </w:tcPr>
                <w:p w14:paraId="5C3129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165428A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0EBD4802">
                  <w:pPr>
                    <w:keepNext w:val="0"/>
                    <w:keepLines w:val="0"/>
                    <w:widowControl/>
                    <w:suppressLineNumbers w:val="0"/>
                    <w:spacing w:line="240" w:lineRule="auto"/>
                    <w:jc w:val="center"/>
                    <w:textAlignment w:val="center"/>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1.94</w:t>
                  </w:r>
                </w:p>
              </w:tc>
              <w:tc>
                <w:tcPr>
                  <w:tcW w:w="933" w:type="dxa"/>
                  <w:tcBorders>
                    <w:tl2br w:val="nil"/>
                    <w:tr2bl w:val="nil"/>
                  </w:tcBorders>
                  <w:vAlign w:val="center"/>
                </w:tcPr>
                <w:p w14:paraId="1578C65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0.0097</w:t>
                  </w:r>
                </w:p>
              </w:tc>
              <w:tc>
                <w:tcPr>
                  <w:tcW w:w="804" w:type="dxa"/>
                  <w:tcBorders>
                    <w:tl2br w:val="nil"/>
                    <w:tr2bl w:val="nil"/>
                  </w:tcBorders>
                  <w:vAlign w:val="center"/>
                </w:tcPr>
                <w:p w14:paraId="141DC489">
                  <w:pPr>
                    <w:keepNext w:val="0"/>
                    <w:keepLines w:val="0"/>
                    <w:widowControl/>
                    <w:suppressLineNumbers w:val="0"/>
                    <w:spacing w:line="240" w:lineRule="auto"/>
                    <w:jc w:val="center"/>
                    <w:textAlignment w:val="center"/>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0.0233</w:t>
                  </w:r>
                </w:p>
              </w:tc>
              <w:tc>
                <w:tcPr>
                  <w:tcW w:w="688" w:type="dxa"/>
                  <w:vMerge w:val="continue"/>
                  <w:tcBorders>
                    <w:tl2br w:val="nil"/>
                    <w:tr2bl w:val="nil"/>
                  </w:tcBorders>
                  <w:vAlign w:val="center"/>
                </w:tcPr>
                <w:p w14:paraId="71D79DC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523BA6D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787" w:type="dxa"/>
                  <w:vMerge w:val="continue"/>
                  <w:tcBorders>
                    <w:tl2br w:val="nil"/>
                    <w:tr2bl w:val="nil"/>
                  </w:tcBorders>
                  <w:vAlign w:val="center"/>
                </w:tcPr>
                <w:p w14:paraId="24ABED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0D0C9F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46B8E0F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酚类</w:t>
                  </w:r>
                </w:p>
              </w:tc>
              <w:tc>
                <w:tcPr>
                  <w:tcW w:w="1107" w:type="dxa"/>
                  <w:tcBorders>
                    <w:tl2br w:val="nil"/>
                    <w:tr2bl w:val="nil"/>
                  </w:tcBorders>
                  <w:vAlign w:val="center"/>
                </w:tcPr>
                <w:p w14:paraId="093494E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1.75</w:t>
                  </w:r>
                </w:p>
              </w:tc>
              <w:tc>
                <w:tcPr>
                  <w:tcW w:w="779" w:type="dxa"/>
                  <w:tcBorders>
                    <w:tl2br w:val="nil"/>
                    <w:tr2bl w:val="nil"/>
                  </w:tcBorders>
                  <w:vAlign w:val="center"/>
                </w:tcPr>
                <w:p w14:paraId="1D99F2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0.021</w:t>
                  </w:r>
                </w:p>
              </w:tc>
              <w:tc>
                <w:tcPr>
                  <w:tcW w:w="572" w:type="dxa"/>
                  <w:vMerge w:val="continue"/>
                  <w:tcBorders>
                    <w:tl2br w:val="nil"/>
                    <w:tr2bl w:val="nil"/>
                  </w:tcBorders>
                  <w:vAlign w:val="center"/>
                </w:tcPr>
                <w:p w14:paraId="66A142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42"/>
                      <w:sz w:val="21"/>
                      <w:szCs w:val="21"/>
                      <w:highlight w:val="none"/>
                      <w:lang w:val="en-US" w:eastAsia="zh-CN"/>
                    </w:rPr>
                  </w:pPr>
                </w:p>
              </w:tc>
              <w:tc>
                <w:tcPr>
                  <w:tcW w:w="800" w:type="dxa"/>
                  <w:vMerge w:val="continue"/>
                  <w:tcBorders>
                    <w:tl2br w:val="nil"/>
                    <w:tr2bl w:val="nil"/>
                  </w:tcBorders>
                  <w:vAlign w:val="center"/>
                </w:tcPr>
                <w:p w14:paraId="62DB3C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highlight w:val="none"/>
                    </w:rPr>
                  </w:pPr>
                </w:p>
              </w:tc>
              <w:tc>
                <w:tcPr>
                  <w:tcW w:w="841" w:type="dxa"/>
                  <w:vMerge w:val="continue"/>
                  <w:tcBorders>
                    <w:tl2br w:val="nil"/>
                    <w:tr2bl w:val="nil"/>
                  </w:tcBorders>
                  <w:vAlign w:val="center"/>
                </w:tcPr>
                <w:p w14:paraId="06E7A36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highlight w:val="none"/>
                    </w:rPr>
                  </w:pPr>
                </w:p>
              </w:tc>
              <w:tc>
                <w:tcPr>
                  <w:tcW w:w="943" w:type="dxa"/>
                  <w:vMerge w:val="continue"/>
                  <w:tcBorders>
                    <w:tl2br w:val="nil"/>
                    <w:tr2bl w:val="nil"/>
                  </w:tcBorders>
                  <w:vAlign w:val="center"/>
                </w:tcPr>
                <w:p w14:paraId="2DCAC52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5823CD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50" w:type="dxa"/>
                  <w:vMerge w:val="continue"/>
                  <w:tcBorders>
                    <w:tl2br w:val="nil"/>
                    <w:tr2bl w:val="nil"/>
                  </w:tcBorders>
                  <w:vAlign w:val="center"/>
                </w:tcPr>
                <w:p w14:paraId="301A6A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2CC2DFC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6CFE7FEE">
                  <w:pPr>
                    <w:keepNext w:val="0"/>
                    <w:keepLines w:val="0"/>
                    <w:widowControl/>
                    <w:suppressLineNumbers w:val="0"/>
                    <w:spacing w:line="240" w:lineRule="auto"/>
                    <w:jc w:val="center"/>
                    <w:textAlignment w:val="center"/>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0.35</w:t>
                  </w:r>
                </w:p>
              </w:tc>
              <w:tc>
                <w:tcPr>
                  <w:tcW w:w="933" w:type="dxa"/>
                  <w:tcBorders>
                    <w:tl2br w:val="nil"/>
                    <w:tr2bl w:val="nil"/>
                  </w:tcBorders>
                  <w:vAlign w:val="center"/>
                </w:tcPr>
                <w:p w14:paraId="609CCB6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0.00175</w:t>
                  </w:r>
                </w:p>
              </w:tc>
              <w:tc>
                <w:tcPr>
                  <w:tcW w:w="804" w:type="dxa"/>
                  <w:tcBorders>
                    <w:tl2br w:val="nil"/>
                    <w:tr2bl w:val="nil"/>
                  </w:tcBorders>
                  <w:vAlign w:val="center"/>
                </w:tcPr>
                <w:p w14:paraId="39600F60">
                  <w:pPr>
                    <w:keepNext w:val="0"/>
                    <w:keepLines w:val="0"/>
                    <w:widowControl/>
                    <w:suppressLineNumbers w:val="0"/>
                    <w:spacing w:line="240" w:lineRule="auto"/>
                    <w:jc w:val="center"/>
                    <w:textAlignment w:val="center"/>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0.0042</w:t>
                  </w:r>
                </w:p>
              </w:tc>
              <w:tc>
                <w:tcPr>
                  <w:tcW w:w="688" w:type="dxa"/>
                  <w:vMerge w:val="continue"/>
                  <w:tcBorders>
                    <w:tl2br w:val="nil"/>
                    <w:tr2bl w:val="nil"/>
                  </w:tcBorders>
                  <w:vAlign w:val="center"/>
                </w:tcPr>
                <w:p w14:paraId="23A828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7FD3520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454" w:hRule="atLeast"/>
                <w:jc w:val="center"/>
              </w:trPr>
              <w:tc>
                <w:tcPr>
                  <w:tcW w:w="787" w:type="dxa"/>
                  <w:tcBorders>
                    <w:tl2br w:val="nil"/>
                    <w:tr2bl w:val="nil"/>
                  </w:tcBorders>
                  <w:shd w:val="clear" w:color="auto" w:fill="auto"/>
                  <w:vAlign w:val="center"/>
                </w:tcPr>
                <w:p w14:paraId="0F66337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熔化</w:t>
                  </w:r>
                </w:p>
              </w:tc>
              <w:tc>
                <w:tcPr>
                  <w:tcW w:w="582" w:type="dxa"/>
                  <w:tcBorders>
                    <w:tl2br w:val="nil"/>
                    <w:tr2bl w:val="nil"/>
                  </w:tcBorders>
                  <w:shd w:val="clear" w:color="auto" w:fill="auto"/>
                  <w:vAlign w:val="center"/>
                </w:tcPr>
                <w:p w14:paraId="106C48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电炉</w:t>
                  </w:r>
                </w:p>
              </w:tc>
              <w:tc>
                <w:tcPr>
                  <w:tcW w:w="763" w:type="dxa"/>
                  <w:tcBorders>
                    <w:tl2br w:val="nil"/>
                    <w:tr2bl w:val="nil"/>
                  </w:tcBorders>
                  <w:shd w:val="clear" w:color="auto" w:fill="auto"/>
                  <w:vAlign w:val="center"/>
                </w:tcPr>
                <w:p w14:paraId="3BF605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6D9EB08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15.48 </w:t>
                  </w:r>
                </w:p>
              </w:tc>
              <w:tc>
                <w:tcPr>
                  <w:tcW w:w="779" w:type="dxa"/>
                  <w:tcBorders>
                    <w:tl2br w:val="nil"/>
                    <w:tr2bl w:val="nil"/>
                  </w:tcBorders>
                  <w:shd w:val="clear" w:color="auto" w:fill="auto"/>
                  <w:vAlign w:val="center"/>
                </w:tcPr>
                <w:p w14:paraId="4EEA4F22">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0.929</w:t>
                  </w:r>
                </w:p>
              </w:tc>
              <w:tc>
                <w:tcPr>
                  <w:tcW w:w="572" w:type="dxa"/>
                  <w:vMerge w:val="restart"/>
                  <w:tcBorders>
                    <w:tl2br w:val="nil"/>
                    <w:tr2bl w:val="nil"/>
                  </w:tcBorders>
                  <w:shd w:val="clear" w:color="auto" w:fill="auto"/>
                  <w:vAlign w:val="center"/>
                </w:tcPr>
                <w:p w14:paraId="42971AE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spacing w:val="42"/>
                      <w:kern w:val="0"/>
                      <w:sz w:val="21"/>
                      <w:szCs w:val="21"/>
                      <w:highlight w:val="none"/>
                      <w:lang w:val="en-US" w:eastAsia="zh-CN" w:bidi="ar-SA"/>
                    </w:rPr>
                  </w:pPr>
                  <w:r>
                    <w:rPr>
                      <w:rFonts w:hint="eastAsia" w:ascii="Times New Roman" w:hAnsi="Times New Roman" w:cs="Times New Roman"/>
                      <w:color w:val="auto"/>
                      <w:spacing w:val="42"/>
                      <w:sz w:val="21"/>
                      <w:szCs w:val="21"/>
                      <w:highlight w:val="none"/>
                      <w:lang w:val="en-US" w:eastAsia="zh-CN"/>
                    </w:rPr>
                    <w:t>集气管道/集气罩</w:t>
                  </w:r>
                </w:p>
              </w:tc>
              <w:tc>
                <w:tcPr>
                  <w:tcW w:w="800" w:type="dxa"/>
                  <w:vMerge w:val="restart"/>
                  <w:tcBorders>
                    <w:tl2br w:val="nil"/>
                    <w:tr2bl w:val="nil"/>
                  </w:tcBorders>
                  <w:shd w:val="clear" w:color="auto" w:fill="auto"/>
                  <w:vAlign w:val="center"/>
                </w:tcPr>
                <w:p w14:paraId="15FF3C9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cs="Times New Roman"/>
                      <w:color w:val="auto"/>
                      <w:spacing w:val="-2"/>
                      <w:sz w:val="21"/>
                      <w:szCs w:val="21"/>
                      <w:highlight w:val="none"/>
                      <w:lang w:val="en-US" w:eastAsia="zh-CN"/>
                    </w:rPr>
                    <w:t>97</w:t>
                  </w:r>
                </w:p>
              </w:tc>
              <w:tc>
                <w:tcPr>
                  <w:tcW w:w="841" w:type="dxa"/>
                  <w:vMerge w:val="restart"/>
                  <w:tcBorders>
                    <w:tl2br w:val="nil"/>
                    <w:tr2bl w:val="nil"/>
                  </w:tcBorders>
                  <w:shd w:val="clear" w:color="auto" w:fill="auto"/>
                  <w:vAlign w:val="center"/>
                </w:tcPr>
                <w:p w14:paraId="529697B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pacing w:val="-1"/>
                      <w:sz w:val="21"/>
                      <w:szCs w:val="21"/>
                      <w:highlight w:val="none"/>
                    </w:rPr>
                    <w:t>DA00</w:t>
                  </w:r>
                  <w:r>
                    <w:rPr>
                      <w:rFonts w:hint="eastAsia" w:ascii="Times New Roman" w:hAnsi="Times New Roman" w:cs="Times New Roman"/>
                      <w:color w:val="auto"/>
                      <w:spacing w:val="-1"/>
                      <w:sz w:val="21"/>
                      <w:szCs w:val="21"/>
                      <w:highlight w:val="none"/>
                      <w:lang w:val="en-US" w:eastAsia="zh-CN"/>
                    </w:rPr>
                    <w:t>2</w:t>
                  </w:r>
                  <w:r>
                    <w:rPr>
                      <w:rFonts w:hint="default" w:ascii="Times New Roman" w:hAnsi="Times New Roman" w:eastAsia="宋体" w:cs="Times New Roman"/>
                      <w:color w:val="auto"/>
                      <w:spacing w:val="-2"/>
                      <w:sz w:val="21"/>
                      <w:szCs w:val="21"/>
                      <w:highlight w:val="none"/>
                    </w:rPr>
                    <w:t>有组织</w:t>
                  </w:r>
                </w:p>
              </w:tc>
              <w:tc>
                <w:tcPr>
                  <w:tcW w:w="943" w:type="dxa"/>
                  <w:vMerge w:val="restart"/>
                  <w:tcBorders>
                    <w:tl2br w:val="nil"/>
                    <w:tr2bl w:val="nil"/>
                  </w:tcBorders>
                  <w:shd w:val="clear" w:color="auto" w:fill="auto"/>
                  <w:vAlign w:val="center"/>
                </w:tcPr>
                <w:p w14:paraId="30019E7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3"/>
                      <w:kern w:val="0"/>
                      <w:sz w:val="21"/>
                      <w:szCs w:val="21"/>
                      <w:highlight w:val="none"/>
                      <w:lang w:val="en-US" w:eastAsia="zh-CN" w:bidi="ar-SA"/>
                    </w:rPr>
                  </w:pPr>
                  <w:r>
                    <w:rPr>
                      <w:rFonts w:hint="eastAsia" w:ascii="Times New Roman" w:hAnsi="Times New Roman" w:cs="Times New Roman"/>
                      <w:color w:val="auto"/>
                      <w:spacing w:val="-3"/>
                      <w:sz w:val="21"/>
                      <w:szCs w:val="21"/>
                      <w:highlight w:val="none"/>
                      <w:lang w:val="en-US" w:eastAsia="zh-CN"/>
                    </w:rPr>
                    <w:t>布袋除尘器</w:t>
                  </w:r>
                </w:p>
              </w:tc>
              <w:tc>
                <w:tcPr>
                  <w:tcW w:w="813" w:type="dxa"/>
                  <w:vMerge w:val="restart"/>
                  <w:tcBorders>
                    <w:tl2br w:val="nil"/>
                    <w:tr2bl w:val="nil"/>
                  </w:tcBorders>
                  <w:shd w:val="clear" w:color="auto" w:fill="auto"/>
                  <w:vAlign w:val="center"/>
                </w:tcPr>
                <w:p w14:paraId="0BAD93C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6"/>
                      <w:kern w:val="0"/>
                      <w:sz w:val="21"/>
                      <w:szCs w:val="21"/>
                      <w:highlight w:val="none"/>
                      <w:lang w:val="en-US" w:eastAsia="zh-CN" w:bidi="ar-SA"/>
                    </w:rPr>
                  </w:pPr>
                  <w:r>
                    <w:rPr>
                      <w:rFonts w:hint="eastAsia" w:ascii="Times New Roman" w:hAnsi="Times New Roman" w:cs="Times New Roman"/>
                      <w:color w:val="auto"/>
                      <w:spacing w:val="-6"/>
                      <w:sz w:val="21"/>
                      <w:szCs w:val="21"/>
                      <w:highlight w:val="none"/>
                      <w:lang w:val="en-US" w:eastAsia="zh-CN"/>
                    </w:rPr>
                    <w:t>25000</w:t>
                  </w:r>
                </w:p>
              </w:tc>
              <w:tc>
                <w:tcPr>
                  <w:tcW w:w="750" w:type="dxa"/>
                  <w:vMerge w:val="restart"/>
                  <w:tcBorders>
                    <w:tl2br w:val="nil"/>
                    <w:tr2bl w:val="nil"/>
                  </w:tcBorders>
                  <w:shd w:val="clear" w:color="auto" w:fill="auto"/>
                  <w:vAlign w:val="center"/>
                </w:tcPr>
                <w:p w14:paraId="3209FF9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3"/>
                      <w:kern w:val="0"/>
                      <w:sz w:val="21"/>
                      <w:szCs w:val="21"/>
                      <w:highlight w:val="none"/>
                      <w:lang w:val="en-US" w:eastAsia="zh-CN" w:bidi="ar-SA"/>
                    </w:rPr>
                  </w:pPr>
                  <w:r>
                    <w:rPr>
                      <w:rFonts w:hint="eastAsia" w:ascii="Times New Roman" w:hAnsi="Times New Roman" w:cs="Times New Roman"/>
                      <w:color w:val="auto"/>
                      <w:spacing w:val="-3"/>
                      <w:sz w:val="21"/>
                      <w:szCs w:val="21"/>
                      <w:highlight w:val="none"/>
                      <w:lang w:val="en-US" w:eastAsia="zh-CN"/>
                    </w:rPr>
                    <w:t>99</w:t>
                  </w:r>
                </w:p>
              </w:tc>
              <w:tc>
                <w:tcPr>
                  <w:tcW w:w="773" w:type="dxa"/>
                  <w:vMerge w:val="restart"/>
                  <w:tcBorders>
                    <w:tl2br w:val="nil"/>
                    <w:tr2bl w:val="nil"/>
                  </w:tcBorders>
                  <w:shd w:val="clear" w:color="auto" w:fill="auto"/>
                  <w:vAlign w:val="center"/>
                </w:tcPr>
                <w:p w14:paraId="30DDF61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是</w:t>
                  </w:r>
                </w:p>
              </w:tc>
              <w:tc>
                <w:tcPr>
                  <w:tcW w:w="1104" w:type="dxa"/>
                  <w:vMerge w:val="restart"/>
                  <w:tcBorders>
                    <w:tl2br w:val="nil"/>
                    <w:tr2bl w:val="nil"/>
                  </w:tcBorders>
                  <w:vAlign w:val="center"/>
                </w:tcPr>
                <w:p w14:paraId="18812672">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8.33 </w:t>
                  </w:r>
                </w:p>
              </w:tc>
              <w:tc>
                <w:tcPr>
                  <w:tcW w:w="933" w:type="dxa"/>
                  <w:vMerge w:val="restart"/>
                  <w:tcBorders>
                    <w:tl2br w:val="nil"/>
                    <w:tr2bl w:val="nil"/>
                  </w:tcBorders>
                  <w:vAlign w:val="center"/>
                </w:tcPr>
                <w:p w14:paraId="799E835E">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0.208 </w:t>
                  </w:r>
                </w:p>
              </w:tc>
              <w:tc>
                <w:tcPr>
                  <w:tcW w:w="804" w:type="dxa"/>
                  <w:vMerge w:val="restart"/>
                  <w:tcBorders>
                    <w:tl2br w:val="nil"/>
                    <w:tr2bl w:val="nil"/>
                  </w:tcBorders>
                  <w:vAlign w:val="center"/>
                </w:tcPr>
                <w:p w14:paraId="74474AC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0.5</w:t>
                  </w:r>
                </w:p>
              </w:tc>
              <w:tc>
                <w:tcPr>
                  <w:tcW w:w="688" w:type="dxa"/>
                  <w:vMerge w:val="restart"/>
                  <w:tcBorders>
                    <w:tl2br w:val="nil"/>
                    <w:tr2bl w:val="nil"/>
                  </w:tcBorders>
                  <w:vAlign w:val="center"/>
                </w:tcPr>
                <w:p w14:paraId="779220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3530538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vAlign w:val="center"/>
                </w:tcPr>
                <w:p w14:paraId="0DE45F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混砂、</w:t>
                  </w:r>
                  <w:r>
                    <w:rPr>
                      <w:rFonts w:hint="default" w:ascii="Times New Roman" w:hAnsi="Times New Roman" w:cs="Times New Roman"/>
                      <w:color w:val="auto"/>
                      <w:sz w:val="21"/>
                      <w:szCs w:val="21"/>
                      <w:highlight w:val="none"/>
                      <w:lang w:val="en-US" w:eastAsia="zh-CN"/>
                    </w:rPr>
                    <w:t>清模、翻箱落砂</w:t>
                  </w:r>
                </w:p>
              </w:tc>
              <w:tc>
                <w:tcPr>
                  <w:tcW w:w="582" w:type="dxa"/>
                  <w:tcBorders>
                    <w:tl2br w:val="nil"/>
                    <w:tr2bl w:val="nil"/>
                  </w:tcBorders>
                  <w:vAlign w:val="center"/>
                </w:tcPr>
                <w:p w14:paraId="1B43AB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混砂机</w:t>
                  </w:r>
                </w:p>
              </w:tc>
              <w:tc>
                <w:tcPr>
                  <w:tcW w:w="763" w:type="dxa"/>
                  <w:tcBorders>
                    <w:tl2br w:val="nil"/>
                    <w:tr2bl w:val="nil"/>
                  </w:tcBorders>
                  <w:vAlign w:val="center"/>
                </w:tcPr>
                <w:p w14:paraId="49C0DF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vAlign w:val="center"/>
                </w:tcPr>
                <w:p w14:paraId="7194530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791.50 </w:t>
                  </w:r>
                </w:p>
              </w:tc>
              <w:tc>
                <w:tcPr>
                  <w:tcW w:w="779" w:type="dxa"/>
                  <w:tcBorders>
                    <w:tl2br w:val="nil"/>
                    <w:tr2bl w:val="nil"/>
                  </w:tcBorders>
                  <w:vAlign w:val="center"/>
                </w:tcPr>
                <w:p w14:paraId="02C53C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47.49</w:t>
                  </w:r>
                </w:p>
              </w:tc>
              <w:tc>
                <w:tcPr>
                  <w:tcW w:w="572" w:type="dxa"/>
                  <w:vMerge w:val="continue"/>
                  <w:tcBorders>
                    <w:tl2br w:val="nil"/>
                    <w:tr2bl w:val="nil"/>
                  </w:tcBorders>
                  <w:vAlign w:val="center"/>
                </w:tcPr>
                <w:p w14:paraId="68DBECC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4B24C05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1562CFF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6B1162D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7BED5C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46B2D5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70D43D5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647661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933" w:type="dxa"/>
                  <w:vMerge w:val="continue"/>
                  <w:tcBorders>
                    <w:tl2br w:val="nil"/>
                    <w:tr2bl w:val="nil"/>
                  </w:tcBorders>
                  <w:vAlign w:val="center"/>
                </w:tcPr>
                <w:p w14:paraId="4244E6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804" w:type="dxa"/>
                  <w:vMerge w:val="continue"/>
                  <w:tcBorders>
                    <w:tl2br w:val="nil"/>
                    <w:tr2bl w:val="nil"/>
                  </w:tcBorders>
                  <w:vAlign w:val="center"/>
                </w:tcPr>
                <w:p w14:paraId="29E2A5B2">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688" w:type="dxa"/>
                  <w:vMerge w:val="continue"/>
                  <w:tcBorders>
                    <w:tl2br w:val="nil"/>
                    <w:tr2bl w:val="nil"/>
                  </w:tcBorders>
                  <w:vAlign w:val="center"/>
                </w:tcPr>
                <w:p w14:paraId="3C3C936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6402E92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restart"/>
                  <w:tcBorders>
                    <w:tl2br w:val="nil"/>
                    <w:tr2bl w:val="nil"/>
                  </w:tcBorders>
                  <w:shd w:val="clear" w:color="auto" w:fill="auto"/>
                  <w:vAlign w:val="center"/>
                </w:tcPr>
                <w:p w14:paraId="572646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浇注</w:t>
                  </w:r>
                </w:p>
              </w:tc>
              <w:tc>
                <w:tcPr>
                  <w:tcW w:w="582" w:type="dxa"/>
                  <w:vMerge w:val="restart"/>
                  <w:tcBorders>
                    <w:tl2br w:val="nil"/>
                    <w:tr2bl w:val="nil"/>
                  </w:tcBorders>
                  <w:shd w:val="clear" w:color="auto" w:fill="auto"/>
                  <w:vAlign w:val="center"/>
                </w:tcPr>
                <w:p w14:paraId="0CF371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浇注</w:t>
                  </w:r>
                </w:p>
              </w:tc>
              <w:tc>
                <w:tcPr>
                  <w:tcW w:w="763" w:type="dxa"/>
                  <w:tcBorders>
                    <w:tl2br w:val="nil"/>
                    <w:tr2bl w:val="nil"/>
                  </w:tcBorders>
                  <w:shd w:val="clear" w:color="auto" w:fill="auto"/>
                  <w:vAlign w:val="center"/>
                </w:tcPr>
                <w:p w14:paraId="28288D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09782663">
                  <w:pPr>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lang w:val="en-US" w:eastAsia="zh-CN"/>
                    </w:rPr>
                    <w:t>27.1</w:t>
                  </w:r>
                </w:p>
              </w:tc>
              <w:tc>
                <w:tcPr>
                  <w:tcW w:w="779" w:type="dxa"/>
                  <w:tcBorders>
                    <w:tl2br w:val="nil"/>
                    <w:tr2bl w:val="nil"/>
                  </w:tcBorders>
                  <w:shd w:val="clear" w:color="auto" w:fill="auto"/>
                  <w:vAlign w:val="center"/>
                </w:tcPr>
                <w:p w14:paraId="7756F787">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1.626</w:t>
                  </w:r>
                </w:p>
              </w:tc>
              <w:tc>
                <w:tcPr>
                  <w:tcW w:w="572" w:type="dxa"/>
                  <w:vMerge w:val="continue"/>
                  <w:tcBorders>
                    <w:tl2br w:val="nil"/>
                    <w:tr2bl w:val="nil"/>
                  </w:tcBorders>
                  <w:vAlign w:val="center"/>
                </w:tcPr>
                <w:p w14:paraId="2386114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3DD2A8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613EC02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3FF5C6D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6BA412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6E218D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2014BB3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17B7B4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933" w:type="dxa"/>
                  <w:vMerge w:val="continue"/>
                  <w:tcBorders>
                    <w:tl2br w:val="nil"/>
                    <w:tr2bl w:val="nil"/>
                  </w:tcBorders>
                  <w:vAlign w:val="center"/>
                </w:tcPr>
                <w:p w14:paraId="378CC3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804" w:type="dxa"/>
                  <w:vMerge w:val="continue"/>
                  <w:tcBorders>
                    <w:tl2br w:val="nil"/>
                    <w:tr2bl w:val="nil"/>
                  </w:tcBorders>
                  <w:vAlign w:val="center"/>
                </w:tcPr>
                <w:p w14:paraId="7A01FE80">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688" w:type="dxa"/>
                  <w:vMerge w:val="continue"/>
                  <w:tcBorders>
                    <w:tl2br w:val="nil"/>
                    <w:tr2bl w:val="nil"/>
                  </w:tcBorders>
                  <w:vAlign w:val="center"/>
                </w:tcPr>
                <w:p w14:paraId="76DFE6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3839F56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continue"/>
                  <w:tcBorders>
                    <w:tl2br w:val="nil"/>
                    <w:tr2bl w:val="nil"/>
                  </w:tcBorders>
                  <w:vAlign w:val="center"/>
                </w:tcPr>
                <w:p w14:paraId="6D37FC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27E7435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2216DB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shd w:val="clear" w:color="auto" w:fill="auto"/>
                  <w:vAlign w:val="center"/>
                </w:tcPr>
                <w:p w14:paraId="10719CEE">
                  <w:pPr>
                    <w:spacing w:line="240" w:lineRule="auto"/>
                    <w:jc w:val="center"/>
                    <w:rPr>
                      <w:rFonts w:hint="default" w:ascii="Times New Roman" w:hAnsi="Times New Roman" w:eastAsia="宋体" w:cs="Times New Roman"/>
                      <w:snapToGrid w:val="0"/>
                      <w:color w:val="auto"/>
                      <w:kern w:val="0"/>
                      <w:sz w:val="21"/>
                      <w:szCs w:val="21"/>
                      <w:highlight w:val="yellow"/>
                      <w:lang w:val="en-US" w:eastAsia="zh-CN" w:bidi="ar-SA"/>
                    </w:rPr>
                  </w:pPr>
                  <w:r>
                    <w:rPr>
                      <w:rFonts w:hint="default" w:ascii="Times New Roman" w:hAnsi="Times New Roman" w:cs="Times New Roman"/>
                      <w:color w:val="auto"/>
                      <w:sz w:val="21"/>
                      <w:szCs w:val="21"/>
                      <w:lang w:val="en-US" w:eastAsia="zh-CN"/>
                    </w:rPr>
                    <w:t>8.12</w:t>
                  </w:r>
                </w:p>
              </w:tc>
              <w:tc>
                <w:tcPr>
                  <w:tcW w:w="779" w:type="dxa"/>
                  <w:tcBorders>
                    <w:tl2br w:val="nil"/>
                    <w:tr2bl w:val="nil"/>
                  </w:tcBorders>
                  <w:shd w:val="clear" w:color="auto" w:fill="auto"/>
                  <w:vAlign w:val="center"/>
                </w:tcPr>
                <w:p w14:paraId="3FF867CB">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0.487</w:t>
                  </w:r>
                </w:p>
              </w:tc>
              <w:tc>
                <w:tcPr>
                  <w:tcW w:w="572" w:type="dxa"/>
                  <w:vMerge w:val="continue"/>
                  <w:tcBorders>
                    <w:tl2br w:val="nil"/>
                    <w:tr2bl w:val="nil"/>
                  </w:tcBorders>
                  <w:vAlign w:val="center"/>
                </w:tcPr>
                <w:p w14:paraId="4C7AB83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4034E81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212F9D9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restart"/>
                  <w:tcBorders>
                    <w:tl2br w:val="nil"/>
                    <w:tr2bl w:val="nil"/>
                  </w:tcBorders>
                  <w:vAlign w:val="center"/>
                </w:tcPr>
                <w:p w14:paraId="6714B6F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二级活性炭吸附装置</w:t>
                  </w:r>
                </w:p>
              </w:tc>
              <w:tc>
                <w:tcPr>
                  <w:tcW w:w="813" w:type="dxa"/>
                  <w:vMerge w:val="continue"/>
                  <w:tcBorders>
                    <w:tl2br w:val="nil"/>
                    <w:tr2bl w:val="nil"/>
                  </w:tcBorders>
                  <w:vAlign w:val="center"/>
                </w:tcPr>
                <w:p w14:paraId="66A5F2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restart"/>
                  <w:tcBorders>
                    <w:tl2br w:val="nil"/>
                    <w:tr2bl w:val="nil"/>
                  </w:tcBorders>
                  <w:vAlign w:val="center"/>
                </w:tcPr>
                <w:p w14:paraId="57F043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lang w:val="en-US" w:eastAsia="zh-CN"/>
                    </w:rPr>
                  </w:pPr>
                  <w:r>
                    <w:rPr>
                      <w:rFonts w:hint="eastAsia" w:ascii="Times New Roman" w:hAnsi="Times New Roman" w:cs="Times New Roman"/>
                      <w:color w:val="auto"/>
                      <w:spacing w:val="-3"/>
                      <w:sz w:val="21"/>
                      <w:szCs w:val="21"/>
                      <w:highlight w:val="none"/>
                      <w:lang w:val="en-US" w:eastAsia="zh-CN"/>
                    </w:rPr>
                    <w:t>80</w:t>
                  </w:r>
                </w:p>
              </w:tc>
              <w:tc>
                <w:tcPr>
                  <w:tcW w:w="773" w:type="dxa"/>
                  <w:vMerge w:val="continue"/>
                  <w:tcBorders>
                    <w:tl2br w:val="nil"/>
                    <w:tr2bl w:val="nil"/>
                  </w:tcBorders>
                  <w:vAlign w:val="center"/>
                </w:tcPr>
                <w:p w14:paraId="7060B73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05870E31">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1.62 </w:t>
                  </w:r>
                </w:p>
              </w:tc>
              <w:tc>
                <w:tcPr>
                  <w:tcW w:w="933" w:type="dxa"/>
                  <w:tcBorders>
                    <w:tl2br w:val="nil"/>
                    <w:tr2bl w:val="nil"/>
                  </w:tcBorders>
                  <w:shd w:val="clear" w:color="auto" w:fill="auto"/>
                  <w:vAlign w:val="center"/>
                </w:tcPr>
                <w:p w14:paraId="1BCD4D9D">
                  <w:pPr>
                    <w:keepNext w:val="0"/>
                    <w:keepLines w:val="0"/>
                    <w:widowControl/>
                    <w:suppressLineNumbers w:val="0"/>
                    <w:spacing w:line="240" w:lineRule="auto"/>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0.0406 </w:t>
                  </w:r>
                </w:p>
              </w:tc>
              <w:tc>
                <w:tcPr>
                  <w:tcW w:w="804" w:type="dxa"/>
                  <w:tcBorders>
                    <w:tl2br w:val="nil"/>
                    <w:tr2bl w:val="nil"/>
                  </w:tcBorders>
                  <w:shd w:val="clear" w:color="auto" w:fill="auto"/>
                  <w:vAlign w:val="center"/>
                </w:tcPr>
                <w:p w14:paraId="2E075097">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0.0974</w:t>
                  </w:r>
                </w:p>
              </w:tc>
              <w:tc>
                <w:tcPr>
                  <w:tcW w:w="688" w:type="dxa"/>
                  <w:vMerge w:val="continue"/>
                  <w:tcBorders>
                    <w:tl2br w:val="nil"/>
                    <w:tr2bl w:val="nil"/>
                  </w:tcBorders>
                  <w:vAlign w:val="center"/>
                </w:tcPr>
                <w:p w14:paraId="11958B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1046491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continue"/>
                  <w:tcBorders>
                    <w:tl2br w:val="nil"/>
                    <w:tr2bl w:val="nil"/>
                  </w:tcBorders>
                  <w:vAlign w:val="center"/>
                </w:tcPr>
                <w:p w14:paraId="027108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7D1BD0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4E9FAE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苯乙烯</w:t>
                  </w:r>
                </w:p>
              </w:tc>
              <w:tc>
                <w:tcPr>
                  <w:tcW w:w="1107" w:type="dxa"/>
                  <w:tcBorders>
                    <w:tl2br w:val="nil"/>
                    <w:tr2bl w:val="nil"/>
                  </w:tcBorders>
                  <w:shd w:val="clear" w:color="auto" w:fill="auto"/>
                  <w:vAlign w:val="center"/>
                </w:tcPr>
                <w:p w14:paraId="7F10AE6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779" w:type="dxa"/>
                  <w:tcBorders>
                    <w:tl2br w:val="nil"/>
                    <w:tr2bl w:val="nil"/>
                  </w:tcBorders>
                  <w:shd w:val="clear" w:color="auto" w:fill="auto"/>
                  <w:vAlign w:val="center"/>
                </w:tcPr>
                <w:p w14:paraId="2D0339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572" w:type="dxa"/>
                  <w:vMerge w:val="continue"/>
                  <w:tcBorders>
                    <w:tl2br w:val="nil"/>
                    <w:tr2bl w:val="nil"/>
                  </w:tcBorders>
                  <w:vAlign w:val="center"/>
                </w:tcPr>
                <w:p w14:paraId="0582861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4E12AC6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0A15E3E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313745F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140B5E2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49A155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534EBED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shd w:val="clear" w:color="auto" w:fill="auto"/>
                  <w:vAlign w:val="center"/>
                </w:tcPr>
                <w:p w14:paraId="24EF7E20">
                  <w:pPr>
                    <w:keepNext w:val="0"/>
                    <w:keepLines w:val="0"/>
                    <w:widowControl/>
                    <w:suppressLineNumbers w:val="0"/>
                    <w:spacing w:line="240" w:lineRule="auto"/>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933" w:type="dxa"/>
                  <w:tcBorders>
                    <w:tl2br w:val="nil"/>
                    <w:tr2bl w:val="nil"/>
                  </w:tcBorders>
                  <w:shd w:val="clear" w:color="auto" w:fill="auto"/>
                  <w:vAlign w:val="center"/>
                </w:tcPr>
                <w:p w14:paraId="4FCBE66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804" w:type="dxa"/>
                  <w:tcBorders>
                    <w:tl2br w:val="nil"/>
                    <w:tr2bl w:val="nil"/>
                  </w:tcBorders>
                  <w:shd w:val="clear" w:color="auto" w:fill="auto"/>
                  <w:vAlign w:val="center"/>
                </w:tcPr>
                <w:p w14:paraId="42A703DA">
                  <w:pPr>
                    <w:keepNext w:val="0"/>
                    <w:keepLines w:val="0"/>
                    <w:widowControl/>
                    <w:suppressLineNumbers w:val="0"/>
                    <w:spacing w:line="240" w:lineRule="auto"/>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688" w:type="dxa"/>
                  <w:vMerge w:val="continue"/>
                  <w:tcBorders>
                    <w:tl2br w:val="nil"/>
                    <w:tr2bl w:val="nil"/>
                  </w:tcBorders>
                  <w:vAlign w:val="center"/>
                </w:tcPr>
                <w:p w14:paraId="446E397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08B9384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1" w:hRule="atLeast"/>
                <w:jc w:val="center"/>
              </w:trPr>
              <w:tc>
                <w:tcPr>
                  <w:tcW w:w="787" w:type="dxa"/>
                  <w:vMerge w:val="continue"/>
                  <w:tcBorders>
                    <w:tl2br w:val="nil"/>
                    <w:tr2bl w:val="nil"/>
                  </w:tcBorders>
                  <w:vAlign w:val="center"/>
                </w:tcPr>
                <w:p w14:paraId="060A08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332A77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29F11C9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臭气浓度</w:t>
                  </w:r>
                </w:p>
              </w:tc>
              <w:tc>
                <w:tcPr>
                  <w:tcW w:w="1107" w:type="dxa"/>
                  <w:tcBorders>
                    <w:tl2br w:val="nil"/>
                    <w:tr2bl w:val="nil"/>
                  </w:tcBorders>
                  <w:shd w:val="clear" w:color="auto" w:fill="auto"/>
                  <w:vAlign w:val="center"/>
                </w:tcPr>
                <w:p w14:paraId="406E231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779" w:type="dxa"/>
                  <w:tcBorders>
                    <w:tl2br w:val="nil"/>
                    <w:tr2bl w:val="nil"/>
                  </w:tcBorders>
                  <w:shd w:val="clear" w:color="auto" w:fill="auto"/>
                  <w:vAlign w:val="center"/>
                </w:tcPr>
                <w:p w14:paraId="468490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572" w:type="dxa"/>
                  <w:vMerge w:val="continue"/>
                  <w:tcBorders>
                    <w:tl2br w:val="nil"/>
                    <w:tr2bl w:val="nil"/>
                  </w:tcBorders>
                  <w:vAlign w:val="center"/>
                </w:tcPr>
                <w:p w14:paraId="1EEA2E8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717992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4A4DB12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4794D30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241D1CD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16C890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57CCF6C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shd w:val="clear" w:color="auto" w:fill="auto"/>
                  <w:vAlign w:val="center"/>
                </w:tcPr>
                <w:p w14:paraId="6FF5DCD2">
                  <w:pPr>
                    <w:keepNext w:val="0"/>
                    <w:keepLines w:val="0"/>
                    <w:widowControl/>
                    <w:suppressLineNumbers w:val="0"/>
                    <w:spacing w:line="240" w:lineRule="auto"/>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933" w:type="dxa"/>
                  <w:tcBorders>
                    <w:tl2br w:val="nil"/>
                    <w:tr2bl w:val="nil"/>
                  </w:tcBorders>
                  <w:shd w:val="clear" w:color="auto" w:fill="auto"/>
                  <w:vAlign w:val="center"/>
                </w:tcPr>
                <w:p w14:paraId="4CCE07B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804" w:type="dxa"/>
                  <w:tcBorders>
                    <w:tl2br w:val="nil"/>
                    <w:tr2bl w:val="nil"/>
                  </w:tcBorders>
                  <w:shd w:val="clear" w:color="auto" w:fill="auto"/>
                  <w:vAlign w:val="center"/>
                </w:tcPr>
                <w:p w14:paraId="613BED98">
                  <w:pPr>
                    <w:keepNext w:val="0"/>
                    <w:keepLines w:val="0"/>
                    <w:widowControl/>
                    <w:suppressLineNumbers w:val="0"/>
                    <w:spacing w:line="240" w:lineRule="auto"/>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i w:val="0"/>
                      <w:iCs w:val="0"/>
                      <w:snapToGrid w:val="0"/>
                      <w:color w:val="auto"/>
                      <w:kern w:val="0"/>
                      <w:sz w:val="21"/>
                      <w:szCs w:val="21"/>
                      <w:highlight w:val="none"/>
                      <w:u w:val="none"/>
                      <w:lang w:val="en-US" w:eastAsia="zh-CN" w:bidi="ar"/>
                    </w:rPr>
                    <w:t>/</w:t>
                  </w:r>
                </w:p>
              </w:tc>
              <w:tc>
                <w:tcPr>
                  <w:tcW w:w="688" w:type="dxa"/>
                  <w:vMerge w:val="continue"/>
                  <w:tcBorders>
                    <w:tl2br w:val="nil"/>
                    <w:tr2bl w:val="nil"/>
                  </w:tcBorders>
                  <w:vAlign w:val="center"/>
                </w:tcPr>
                <w:p w14:paraId="24FCA3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19D0B6A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1" w:hRule="atLeast"/>
                <w:jc w:val="center"/>
              </w:trPr>
              <w:tc>
                <w:tcPr>
                  <w:tcW w:w="787" w:type="dxa"/>
                  <w:vMerge w:val="continue"/>
                  <w:tcBorders>
                    <w:tl2br w:val="nil"/>
                    <w:tr2bl w:val="nil"/>
                  </w:tcBorders>
                  <w:vAlign w:val="center"/>
                </w:tcPr>
                <w:p w14:paraId="2DA28F9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42B88B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59CAB0A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107" w:type="dxa"/>
                  <w:tcBorders>
                    <w:tl2br w:val="nil"/>
                    <w:tr2bl w:val="nil"/>
                  </w:tcBorders>
                  <w:shd w:val="clear" w:color="auto" w:fill="auto"/>
                  <w:vAlign w:val="center"/>
                </w:tcPr>
                <w:p w14:paraId="68B450B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1.95</w:t>
                  </w:r>
                </w:p>
              </w:tc>
              <w:tc>
                <w:tcPr>
                  <w:tcW w:w="779" w:type="dxa"/>
                  <w:tcBorders>
                    <w:tl2br w:val="nil"/>
                    <w:tr2bl w:val="nil"/>
                  </w:tcBorders>
                  <w:shd w:val="clear" w:color="auto" w:fill="auto"/>
                  <w:vAlign w:val="center"/>
                </w:tcPr>
                <w:p w14:paraId="31A9069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0.117</w:t>
                  </w:r>
                </w:p>
              </w:tc>
              <w:tc>
                <w:tcPr>
                  <w:tcW w:w="572" w:type="dxa"/>
                  <w:vMerge w:val="continue"/>
                  <w:tcBorders>
                    <w:tl2br w:val="nil"/>
                    <w:tr2bl w:val="nil"/>
                  </w:tcBorders>
                  <w:vAlign w:val="center"/>
                </w:tcPr>
                <w:p w14:paraId="6F43CC8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3413FD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6D79453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0E3D62B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150575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0029246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43A00C1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shd w:val="clear" w:color="auto" w:fill="auto"/>
                  <w:vAlign w:val="center"/>
                </w:tcPr>
                <w:p w14:paraId="037597CB">
                  <w:pPr>
                    <w:keepNext w:val="0"/>
                    <w:keepLines w:val="0"/>
                    <w:widowControl/>
                    <w:suppressLineNumbers w:val="0"/>
                    <w:spacing w:line="240" w:lineRule="auto"/>
                    <w:jc w:val="center"/>
                    <w:textAlignment w:val="center"/>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0.39</w:t>
                  </w:r>
                </w:p>
              </w:tc>
              <w:tc>
                <w:tcPr>
                  <w:tcW w:w="933" w:type="dxa"/>
                  <w:tcBorders>
                    <w:tl2br w:val="nil"/>
                    <w:tr2bl w:val="nil"/>
                  </w:tcBorders>
                  <w:shd w:val="clear" w:color="auto" w:fill="auto"/>
                  <w:vAlign w:val="center"/>
                </w:tcPr>
                <w:p w14:paraId="41B0C51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0.0097</w:t>
                  </w:r>
                </w:p>
              </w:tc>
              <w:tc>
                <w:tcPr>
                  <w:tcW w:w="804" w:type="dxa"/>
                  <w:tcBorders>
                    <w:tl2br w:val="nil"/>
                    <w:tr2bl w:val="nil"/>
                  </w:tcBorders>
                  <w:shd w:val="clear" w:color="auto" w:fill="auto"/>
                  <w:vAlign w:val="center"/>
                </w:tcPr>
                <w:p w14:paraId="089D1D4B">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0.0233</w:t>
                  </w:r>
                </w:p>
              </w:tc>
              <w:tc>
                <w:tcPr>
                  <w:tcW w:w="688" w:type="dxa"/>
                  <w:vMerge w:val="continue"/>
                  <w:tcBorders>
                    <w:tl2br w:val="nil"/>
                    <w:tr2bl w:val="nil"/>
                  </w:tcBorders>
                  <w:vAlign w:val="center"/>
                </w:tcPr>
                <w:p w14:paraId="7FB782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7922C7B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1" w:hRule="atLeast"/>
                <w:jc w:val="center"/>
              </w:trPr>
              <w:tc>
                <w:tcPr>
                  <w:tcW w:w="787" w:type="dxa"/>
                  <w:vMerge w:val="continue"/>
                  <w:tcBorders>
                    <w:tl2br w:val="nil"/>
                    <w:tr2bl w:val="nil"/>
                  </w:tcBorders>
                  <w:vAlign w:val="center"/>
                </w:tcPr>
                <w:p w14:paraId="3BE7B3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4D5772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153F018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107" w:type="dxa"/>
                  <w:tcBorders>
                    <w:tl2br w:val="nil"/>
                    <w:tr2bl w:val="nil"/>
                  </w:tcBorders>
                  <w:shd w:val="clear" w:color="auto" w:fill="auto"/>
                  <w:vAlign w:val="center"/>
                </w:tcPr>
                <w:p w14:paraId="0AD2A8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0.35</w:t>
                  </w:r>
                </w:p>
              </w:tc>
              <w:tc>
                <w:tcPr>
                  <w:tcW w:w="779" w:type="dxa"/>
                  <w:tcBorders>
                    <w:tl2br w:val="nil"/>
                    <w:tr2bl w:val="nil"/>
                  </w:tcBorders>
                  <w:shd w:val="clear" w:color="auto" w:fill="auto"/>
                  <w:vAlign w:val="center"/>
                </w:tcPr>
                <w:p w14:paraId="444F079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0.021</w:t>
                  </w:r>
                </w:p>
              </w:tc>
              <w:tc>
                <w:tcPr>
                  <w:tcW w:w="572" w:type="dxa"/>
                  <w:vMerge w:val="continue"/>
                  <w:tcBorders>
                    <w:tl2br w:val="nil"/>
                    <w:tr2bl w:val="nil"/>
                  </w:tcBorders>
                  <w:vAlign w:val="center"/>
                </w:tcPr>
                <w:p w14:paraId="59363AF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073CF8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46EC6F4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2A1609F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813" w:type="dxa"/>
                  <w:vMerge w:val="continue"/>
                  <w:tcBorders>
                    <w:tl2br w:val="nil"/>
                    <w:tr2bl w:val="nil"/>
                  </w:tcBorders>
                  <w:vAlign w:val="center"/>
                </w:tcPr>
                <w:p w14:paraId="44B531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040FA2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highlight w:val="none"/>
                      <w:lang w:val="en-US" w:eastAsia="zh-CN"/>
                    </w:rPr>
                  </w:pPr>
                </w:p>
              </w:tc>
              <w:tc>
                <w:tcPr>
                  <w:tcW w:w="773" w:type="dxa"/>
                  <w:vMerge w:val="continue"/>
                  <w:tcBorders>
                    <w:tl2br w:val="nil"/>
                    <w:tr2bl w:val="nil"/>
                  </w:tcBorders>
                  <w:vAlign w:val="center"/>
                </w:tcPr>
                <w:p w14:paraId="38D3872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shd w:val="clear" w:color="auto" w:fill="auto"/>
                  <w:vAlign w:val="center"/>
                </w:tcPr>
                <w:p w14:paraId="5CBE2D4D">
                  <w:pPr>
                    <w:keepNext w:val="0"/>
                    <w:keepLines w:val="0"/>
                    <w:widowControl/>
                    <w:suppressLineNumbers w:val="0"/>
                    <w:spacing w:line="240" w:lineRule="auto"/>
                    <w:jc w:val="center"/>
                    <w:textAlignment w:val="center"/>
                    <w:rPr>
                      <w:rFonts w:hint="default" w:ascii="Times New Roman" w:hAnsi="Times New Roman"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0.07</w:t>
                  </w:r>
                </w:p>
              </w:tc>
              <w:tc>
                <w:tcPr>
                  <w:tcW w:w="933" w:type="dxa"/>
                  <w:tcBorders>
                    <w:tl2br w:val="nil"/>
                    <w:tr2bl w:val="nil"/>
                  </w:tcBorders>
                  <w:shd w:val="clear" w:color="auto" w:fill="auto"/>
                  <w:vAlign w:val="center"/>
                </w:tcPr>
                <w:p w14:paraId="43B4D80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0.00175</w:t>
                  </w:r>
                </w:p>
              </w:tc>
              <w:tc>
                <w:tcPr>
                  <w:tcW w:w="804" w:type="dxa"/>
                  <w:tcBorders>
                    <w:tl2br w:val="nil"/>
                    <w:tr2bl w:val="nil"/>
                  </w:tcBorders>
                  <w:shd w:val="clear" w:color="auto" w:fill="auto"/>
                  <w:vAlign w:val="center"/>
                </w:tcPr>
                <w:p w14:paraId="03838D81">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i w:val="0"/>
                      <w:iCs w:val="0"/>
                      <w:snapToGrid w:val="0"/>
                      <w:color w:val="auto"/>
                      <w:kern w:val="0"/>
                      <w:sz w:val="21"/>
                      <w:szCs w:val="21"/>
                      <w:highlight w:val="none"/>
                      <w:u w:val="none"/>
                      <w:lang w:val="en-US" w:eastAsia="zh-CN" w:bidi="ar"/>
                    </w:rPr>
                    <w:t>0.0042</w:t>
                  </w:r>
                </w:p>
              </w:tc>
              <w:tc>
                <w:tcPr>
                  <w:tcW w:w="688" w:type="dxa"/>
                  <w:vMerge w:val="continue"/>
                  <w:tcBorders>
                    <w:tl2br w:val="nil"/>
                    <w:tr2bl w:val="nil"/>
                  </w:tcBorders>
                  <w:vAlign w:val="center"/>
                </w:tcPr>
                <w:p w14:paraId="401C3C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767756D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3DCF4F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去冒口</w:t>
                  </w:r>
                </w:p>
              </w:tc>
              <w:tc>
                <w:tcPr>
                  <w:tcW w:w="582" w:type="dxa"/>
                  <w:tcBorders>
                    <w:tl2br w:val="nil"/>
                    <w:tr2bl w:val="nil"/>
                  </w:tcBorders>
                  <w:shd w:val="clear" w:color="auto" w:fill="auto"/>
                  <w:vAlign w:val="center"/>
                </w:tcPr>
                <w:p w14:paraId="2D5F30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砂轮机</w:t>
                  </w:r>
                </w:p>
              </w:tc>
              <w:tc>
                <w:tcPr>
                  <w:tcW w:w="763" w:type="dxa"/>
                  <w:tcBorders>
                    <w:tl2br w:val="nil"/>
                    <w:tr2bl w:val="nil"/>
                  </w:tcBorders>
                  <w:shd w:val="clear" w:color="auto" w:fill="auto"/>
                  <w:vAlign w:val="center"/>
                </w:tcPr>
                <w:p w14:paraId="36FE9F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en-US"/>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vAlign w:val="center"/>
                </w:tcPr>
                <w:p w14:paraId="0D392B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8.58 </w:t>
                  </w:r>
                </w:p>
              </w:tc>
              <w:tc>
                <w:tcPr>
                  <w:tcW w:w="779" w:type="dxa"/>
                  <w:tcBorders>
                    <w:tl2br w:val="nil"/>
                    <w:tr2bl w:val="nil"/>
                  </w:tcBorders>
                  <w:vAlign w:val="center"/>
                </w:tcPr>
                <w:p w14:paraId="2236A0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0.206</w:t>
                  </w:r>
                </w:p>
              </w:tc>
              <w:tc>
                <w:tcPr>
                  <w:tcW w:w="572" w:type="dxa"/>
                  <w:vMerge w:val="restart"/>
                  <w:tcBorders>
                    <w:tl2br w:val="nil"/>
                    <w:tr2bl w:val="nil"/>
                  </w:tcBorders>
                  <w:vAlign w:val="center"/>
                </w:tcPr>
                <w:p w14:paraId="146362F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pacing w:val="42"/>
                      <w:sz w:val="21"/>
                      <w:szCs w:val="21"/>
                      <w:highlight w:val="none"/>
                      <w:lang w:val="en-US" w:eastAsia="zh-CN"/>
                    </w:rPr>
                    <w:t>集气管道/集气罩</w:t>
                  </w:r>
                </w:p>
              </w:tc>
              <w:tc>
                <w:tcPr>
                  <w:tcW w:w="800" w:type="dxa"/>
                  <w:vMerge w:val="restart"/>
                  <w:tcBorders>
                    <w:tl2br w:val="nil"/>
                    <w:tr2bl w:val="nil"/>
                  </w:tcBorders>
                  <w:vAlign w:val="center"/>
                </w:tcPr>
                <w:p w14:paraId="68826AC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pacing w:val="-2"/>
                      <w:sz w:val="21"/>
                      <w:szCs w:val="21"/>
                      <w:highlight w:val="none"/>
                      <w:lang w:val="en-US" w:eastAsia="zh-CN"/>
                    </w:rPr>
                    <w:t>97</w:t>
                  </w:r>
                </w:p>
              </w:tc>
              <w:tc>
                <w:tcPr>
                  <w:tcW w:w="841" w:type="dxa"/>
                  <w:vMerge w:val="restart"/>
                  <w:tcBorders>
                    <w:tl2br w:val="nil"/>
                    <w:tr2bl w:val="nil"/>
                  </w:tcBorders>
                  <w:vAlign w:val="center"/>
                </w:tcPr>
                <w:p w14:paraId="3392847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DA00</w:t>
                  </w:r>
                  <w:r>
                    <w:rPr>
                      <w:rFonts w:hint="eastAsia" w:ascii="Times New Roman" w:hAnsi="Times New Roman" w:cs="Times New Roman"/>
                      <w:color w:val="auto"/>
                      <w:spacing w:val="-1"/>
                      <w:sz w:val="21"/>
                      <w:szCs w:val="21"/>
                      <w:highlight w:val="none"/>
                      <w:lang w:val="en-US" w:eastAsia="zh-CN"/>
                    </w:rPr>
                    <w:t>3</w:t>
                  </w:r>
                  <w:r>
                    <w:rPr>
                      <w:rFonts w:hint="default" w:ascii="Times New Roman" w:hAnsi="Times New Roman" w:eastAsia="宋体" w:cs="Times New Roman"/>
                      <w:color w:val="auto"/>
                      <w:spacing w:val="-2"/>
                      <w:sz w:val="21"/>
                      <w:szCs w:val="21"/>
                      <w:highlight w:val="none"/>
                    </w:rPr>
                    <w:t>有组织</w:t>
                  </w:r>
                </w:p>
              </w:tc>
              <w:tc>
                <w:tcPr>
                  <w:tcW w:w="943" w:type="dxa"/>
                  <w:vMerge w:val="restart"/>
                  <w:tcBorders>
                    <w:tl2br w:val="nil"/>
                    <w:tr2bl w:val="nil"/>
                  </w:tcBorders>
                  <w:vAlign w:val="center"/>
                </w:tcPr>
                <w:p w14:paraId="617EF44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pacing w:val="-3"/>
                      <w:sz w:val="21"/>
                      <w:szCs w:val="21"/>
                      <w:highlight w:val="none"/>
                      <w:lang w:val="en-US" w:eastAsia="zh-CN"/>
                    </w:rPr>
                    <w:t>布袋除尘器</w:t>
                  </w:r>
                </w:p>
              </w:tc>
              <w:tc>
                <w:tcPr>
                  <w:tcW w:w="813" w:type="dxa"/>
                  <w:vMerge w:val="restart"/>
                  <w:tcBorders>
                    <w:tl2br w:val="nil"/>
                    <w:tr2bl w:val="nil"/>
                  </w:tcBorders>
                  <w:vAlign w:val="center"/>
                </w:tcPr>
                <w:p w14:paraId="67C8D0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10000</w:t>
                  </w:r>
                </w:p>
              </w:tc>
              <w:tc>
                <w:tcPr>
                  <w:tcW w:w="750" w:type="dxa"/>
                  <w:vMerge w:val="restart"/>
                  <w:tcBorders>
                    <w:tl2br w:val="nil"/>
                    <w:tr2bl w:val="nil"/>
                  </w:tcBorders>
                  <w:vAlign w:val="center"/>
                </w:tcPr>
                <w:p w14:paraId="7F7E6A1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3"/>
                      <w:sz w:val="21"/>
                      <w:szCs w:val="21"/>
                      <w:highlight w:val="none"/>
                    </w:rPr>
                  </w:pPr>
                  <w:r>
                    <w:rPr>
                      <w:rFonts w:hint="eastAsia" w:ascii="Times New Roman" w:hAnsi="Times New Roman" w:cs="Times New Roman"/>
                      <w:color w:val="auto"/>
                      <w:spacing w:val="-3"/>
                      <w:sz w:val="21"/>
                      <w:szCs w:val="21"/>
                      <w:highlight w:val="none"/>
                      <w:lang w:val="en-US" w:eastAsia="zh-CN"/>
                    </w:rPr>
                    <w:t>99</w:t>
                  </w:r>
                </w:p>
              </w:tc>
              <w:tc>
                <w:tcPr>
                  <w:tcW w:w="773" w:type="dxa"/>
                  <w:vMerge w:val="restart"/>
                  <w:tcBorders>
                    <w:tl2br w:val="nil"/>
                    <w:tr2bl w:val="nil"/>
                  </w:tcBorders>
                  <w:vAlign w:val="center"/>
                </w:tcPr>
                <w:p w14:paraId="26F10E9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是</w:t>
                  </w:r>
                </w:p>
              </w:tc>
              <w:tc>
                <w:tcPr>
                  <w:tcW w:w="1104" w:type="dxa"/>
                  <w:vMerge w:val="restart"/>
                  <w:tcBorders>
                    <w:tl2br w:val="nil"/>
                    <w:tr2bl w:val="nil"/>
                  </w:tcBorders>
                  <w:vAlign w:val="center"/>
                </w:tcPr>
                <w:p w14:paraId="344D351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5.33 </w:t>
                  </w:r>
                </w:p>
              </w:tc>
              <w:tc>
                <w:tcPr>
                  <w:tcW w:w="933" w:type="dxa"/>
                  <w:vMerge w:val="restart"/>
                  <w:tcBorders>
                    <w:tl2br w:val="nil"/>
                    <w:tr2bl w:val="nil"/>
                  </w:tcBorders>
                  <w:vAlign w:val="center"/>
                </w:tcPr>
                <w:p w14:paraId="531EA81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0.0533 </w:t>
                  </w:r>
                </w:p>
              </w:tc>
              <w:tc>
                <w:tcPr>
                  <w:tcW w:w="804" w:type="dxa"/>
                  <w:vMerge w:val="restart"/>
                  <w:tcBorders>
                    <w:tl2br w:val="nil"/>
                    <w:tr2bl w:val="nil"/>
                  </w:tcBorders>
                  <w:vAlign w:val="center"/>
                </w:tcPr>
                <w:p w14:paraId="72E15C4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0.128</w:t>
                  </w:r>
                </w:p>
              </w:tc>
              <w:tc>
                <w:tcPr>
                  <w:tcW w:w="688" w:type="dxa"/>
                  <w:vMerge w:val="restart"/>
                  <w:tcBorders>
                    <w:tl2br w:val="nil"/>
                    <w:tr2bl w:val="nil"/>
                  </w:tcBorders>
                  <w:vAlign w:val="center"/>
                </w:tcPr>
                <w:p w14:paraId="011871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62A9C44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vAlign w:val="center"/>
                </w:tcPr>
                <w:p w14:paraId="128491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装箱</w:t>
                  </w:r>
                </w:p>
              </w:tc>
              <w:tc>
                <w:tcPr>
                  <w:tcW w:w="582" w:type="dxa"/>
                  <w:tcBorders>
                    <w:tl2br w:val="nil"/>
                    <w:tr2bl w:val="nil"/>
                  </w:tcBorders>
                  <w:vAlign w:val="center"/>
                </w:tcPr>
                <w:p w14:paraId="7855C7F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装箱</w:t>
                  </w:r>
                </w:p>
              </w:tc>
              <w:tc>
                <w:tcPr>
                  <w:tcW w:w="763" w:type="dxa"/>
                  <w:tcBorders>
                    <w:tl2br w:val="nil"/>
                    <w:tr2bl w:val="nil"/>
                  </w:tcBorders>
                  <w:vAlign w:val="center"/>
                </w:tcPr>
                <w:p w14:paraId="442153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vAlign w:val="center"/>
                </w:tcPr>
                <w:p w14:paraId="52F7EF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319.17 </w:t>
                  </w:r>
                </w:p>
              </w:tc>
              <w:tc>
                <w:tcPr>
                  <w:tcW w:w="779" w:type="dxa"/>
                  <w:tcBorders>
                    <w:tl2br w:val="nil"/>
                    <w:tr2bl w:val="nil"/>
                  </w:tcBorders>
                  <w:vAlign w:val="center"/>
                </w:tcPr>
                <w:p w14:paraId="1F74AC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7.66</w:t>
                  </w:r>
                </w:p>
              </w:tc>
              <w:tc>
                <w:tcPr>
                  <w:tcW w:w="572" w:type="dxa"/>
                  <w:vMerge w:val="continue"/>
                  <w:tcBorders>
                    <w:tl2br w:val="nil"/>
                    <w:tr2bl w:val="nil"/>
                  </w:tcBorders>
                  <w:vAlign w:val="center"/>
                </w:tcPr>
                <w:p w14:paraId="170BCAC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6BF2FE5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62DC5A6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4694E36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512BDB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7DF365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358754B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24F2593F">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933" w:type="dxa"/>
                  <w:vMerge w:val="continue"/>
                  <w:tcBorders>
                    <w:tl2br w:val="nil"/>
                    <w:tr2bl w:val="nil"/>
                  </w:tcBorders>
                  <w:vAlign w:val="center"/>
                </w:tcPr>
                <w:p w14:paraId="1D435CDD">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804" w:type="dxa"/>
                  <w:vMerge w:val="continue"/>
                  <w:tcBorders>
                    <w:tl2br w:val="nil"/>
                    <w:tr2bl w:val="nil"/>
                  </w:tcBorders>
                  <w:vAlign w:val="center"/>
                </w:tcPr>
                <w:p w14:paraId="12778ADC">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688" w:type="dxa"/>
                  <w:vMerge w:val="continue"/>
                  <w:tcBorders>
                    <w:tl2br w:val="nil"/>
                    <w:tr2bl w:val="nil"/>
                  </w:tcBorders>
                  <w:vAlign w:val="center"/>
                </w:tcPr>
                <w:p w14:paraId="31D4ED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4D0AC62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vAlign w:val="center"/>
                </w:tcPr>
                <w:p w14:paraId="27E41D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抛丸工序</w:t>
                  </w:r>
                </w:p>
              </w:tc>
              <w:tc>
                <w:tcPr>
                  <w:tcW w:w="582" w:type="dxa"/>
                  <w:tcBorders>
                    <w:tl2br w:val="nil"/>
                    <w:tr2bl w:val="nil"/>
                  </w:tcBorders>
                  <w:shd w:val="clear" w:color="auto" w:fill="auto"/>
                  <w:vAlign w:val="center"/>
                </w:tcPr>
                <w:p w14:paraId="1311E5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抛丸机</w:t>
                  </w:r>
                </w:p>
              </w:tc>
              <w:tc>
                <w:tcPr>
                  <w:tcW w:w="763" w:type="dxa"/>
                  <w:tcBorders>
                    <w:tl2br w:val="nil"/>
                    <w:tr2bl w:val="nil"/>
                  </w:tcBorders>
                  <w:shd w:val="clear" w:color="auto" w:fill="auto"/>
                  <w:vAlign w:val="center"/>
                </w:tcPr>
                <w:p w14:paraId="0874A1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3AC4E69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177.08 </w:t>
                  </w:r>
                </w:p>
              </w:tc>
              <w:tc>
                <w:tcPr>
                  <w:tcW w:w="779" w:type="dxa"/>
                  <w:tcBorders>
                    <w:tl2br w:val="nil"/>
                    <w:tr2bl w:val="nil"/>
                  </w:tcBorders>
                  <w:shd w:val="clear" w:color="auto" w:fill="auto"/>
                  <w:vAlign w:val="center"/>
                </w:tcPr>
                <w:p w14:paraId="1BE5A718">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4.25</w:t>
                  </w:r>
                </w:p>
              </w:tc>
              <w:tc>
                <w:tcPr>
                  <w:tcW w:w="572" w:type="dxa"/>
                  <w:vMerge w:val="continue"/>
                  <w:tcBorders>
                    <w:tl2br w:val="nil"/>
                    <w:tr2bl w:val="nil"/>
                  </w:tcBorders>
                  <w:vAlign w:val="center"/>
                </w:tcPr>
                <w:p w14:paraId="769AB42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0411C6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0F29107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25072E8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23131D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06AD99F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58AF962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46AD74F8">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933" w:type="dxa"/>
                  <w:vMerge w:val="continue"/>
                  <w:tcBorders>
                    <w:tl2br w:val="nil"/>
                    <w:tr2bl w:val="nil"/>
                  </w:tcBorders>
                  <w:vAlign w:val="center"/>
                </w:tcPr>
                <w:p w14:paraId="62EA0B2E">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804" w:type="dxa"/>
                  <w:vMerge w:val="continue"/>
                  <w:tcBorders>
                    <w:tl2br w:val="nil"/>
                    <w:tr2bl w:val="nil"/>
                  </w:tcBorders>
                  <w:vAlign w:val="center"/>
                </w:tcPr>
                <w:p w14:paraId="68CEA9E4">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688" w:type="dxa"/>
                  <w:vMerge w:val="continue"/>
                  <w:tcBorders>
                    <w:tl2br w:val="nil"/>
                    <w:tr2bl w:val="nil"/>
                  </w:tcBorders>
                  <w:vAlign w:val="center"/>
                </w:tcPr>
                <w:p w14:paraId="35567F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42B9706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454" w:hRule="atLeast"/>
                <w:jc w:val="center"/>
              </w:trPr>
              <w:tc>
                <w:tcPr>
                  <w:tcW w:w="787" w:type="dxa"/>
                  <w:vMerge w:val="restart"/>
                  <w:tcBorders>
                    <w:tl2br w:val="nil"/>
                    <w:tr2bl w:val="nil"/>
                  </w:tcBorders>
                  <w:vAlign w:val="center"/>
                </w:tcPr>
                <w:p w14:paraId="7A67C8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制芯、制壳</w:t>
                  </w:r>
                </w:p>
              </w:tc>
              <w:tc>
                <w:tcPr>
                  <w:tcW w:w="582" w:type="dxa"/>
                  <w:vMerge w:val="restart"/>
                  <w:tcBorders>
                    <w:tl2br w:val="nil"/>
                    <w:tr2bl w:val="nil"/>
                  </w:tcBorders>
                  <w:vAlign w:val="center"/>
                </w:tcPr>
                <w:p w14:paraId="4EB5357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自动射芯机</w:t>
                  </w:r>
                </w:p>
              </w:tc>
              <w:tc>
                <w:tcPr>
                  <w:tcW w:w="763" w:type="dxa"/>
                  <w:tcBorders>
                    <w:tl2br w:val="nil"/>
                    <w:tr2bl w:val="nil"/>
                  </w:tcBorders>
                  <w:shd w:val="clear" w:color="auto" w:fill="auto"/>
                  <w:vAlign w:val="center"/>
                </w:tcPr>
                <w:p w14:paraId="4BAE558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vAlign w:val="center"/>
                </w:tcPr>
                <w:p w14:paraId="18A1D3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29.33 </w:t>
                  </w:r>
                </w:p>
              </w:tc>
              <w:tc>
                <w:tcPr>
                  <w:tcW w:w="779" w:type="dxa"/>
                  <w:tcBorders>
                    <w:tl2br w:val="nil"/>
                    <w:tr2bl w:val="nil"/>
                  </w:tcBorders>
                  <w:vAlign w:val="center"/>
                </w:tcPr>
                <w:p w14:paraId="5D8921D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0.704</w:t>
                  </w:r>
                </w:p>
              </w:tc>
              <w:tc>
                <w:tcPr>
                  <w:tcW w:w="572" w:type="dxa"/>
                  <w:vMerge w:val="continue"/>
                  <w:tcBorders>
                    <w:tl2br w:val="nil"/>
                    <w:tr2bl w:val="nil"/>
                  </w:tcBorders>
                  <w:vAlign w:val="center"/>
                </w:tcPr>
                <w:p w14:paraId="6D0D7EA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7B74706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59523E9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1956A58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2DB316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7900048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293B9B1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1A4DDF32">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933" w:type="dxa"/>
                  <w:vMerge w:val="continue"/>
                  <w:tcBorders>
                    <w:tl2br w:val="nil"/>
                    <w:tr2bl w:val="nil"/>
                  </w:tcBorders>
                  <w:vAlign w:val="center"/>
                </w:tcPr>
                <w:p w14:paraId="02B84185">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804" w:type="dxa"/>
                  <w:vMerge w:val="continue"/>
                  <w:tcBorders>
                    <w:tl2br w:val="nil"/>
                    <w:tr2bl w:val="nil"/>
                  </w:tcBorders>
                  <w:vAlign w:val="center"/>
                </w:tcPr>
                <w:p w14:paraId="6FAF7D1A">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p>
              </w:tc>
              <w:tc>
                <w:tcPr>
                  <w:tcW w:w="688" w:type="dxa"/>
                  <w:vMerge w:val="continue"/>
                  <w:tcBorders>
                    <w:tl2br w:val="nil"/>
                    <w:tr2bl w:val="nil"/>
                  </w:tcBorders>
                  <w:vAlign w:val="center"/>
                </w:tcPr>
                <w:p w14:paraId="63BE08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2CB9DC9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continue"/>
                  <w:tcBorders>
                    <w:tl2br w:val="nil"/>
                    <w:tr2bl w:val="nil"/>
                  </w:tcBorders>
                  <w:vAlign w:val="center"/>
                </w:tcPr>
                <w:p w14:paraId="405C82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2C3A0C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65C2F0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vAlign w:val="center"/>
                </w:tcPr>
                <w:p w14:paraId="3F0B00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4.46 </w:t>
                  </w:r>
                </w:p>
              </w:tc>
              <w:tc>
                <w:tcPr>
                  <w:tcW w:w="779" w:type="dxa"/>
                  <w:tcBorders>
                    <w:tl2br w:val="nil"/>
                    <w:tr2bl w:val="nil"/>
                  </w:tcBorders>
                  <w:vAlign w:val="center"/>
                </w:tcPr>
                <w:p w14:paraId="1BD501E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0.107</w:t>
                  </w:r>
                </w:p>
              </w:tc>
              <w:tc>
                <w:tcPr>
                  <w:tcW w:w="572" w:type="dxa"/>
                  <w:vMerge w:val="continue"/>
                  <w:tcBorders>
                    <w:tl2br w:val="nil"/>
                    <w:tr2bl w:val="nil"/>
                  </w:tcBorders>
                  <w:vAlign w:val="center"/>
                </w:tcPr>
                <w:p w14:paraId="639BCAC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545BAC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7C5C6E9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restart"/>
                  <w:tcBorders>
                    <w:tl2br w:val="nil"/>
                    <w:tr2bl w:val="nil"/>
                  </w:tcBorders>
                  <w:vAlign w:val="center"/>
                </w:tcPr>
                <w:p w14:paraId="1EF4BE5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二级活性炭吸附装置</w:t>
                  </w:r>
                </w:p>
              </w:tc>
              <w:tc>
                <w:tcPr>
                  <w:tcW w:w="813" w:type="dxa"/>
                  <w:vMerge w:val="continue"/>
                  <w:tcBorders>
                    <w:tl2br w:val="nil"/>
                    <w:tr2bl w:val="nil"/>
                  </w:tcBorders>
                  <w:vAlign w:val="center"/>
                </w:tcPr>
                <w:p w14:paraId="1674E4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restart"/>
                  <w:tcBorders>
                    <w:tl2br w:val="nil"/>
                    <w:tr2bl w:val="nil"/>
                  </w:tcBorders>
                  <w:vAlign w:val="center"/>
                </w:tcPr>
                <w:p w14:paraId="21DEC2A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3"/>
                      <w:sz w:val="21"/>
                      <w:szCs w:val="21"/>
                      <w:highlight w:val="none"/>
                    </w:rPr>
                  </w:pPr>
                  <w:r>
                    <w:rPr>
                      <w:rFonts w:hint="eastAsia" w:ascii="Times New Roman" w:hAnsi="Times New Roman" w:cs="Times New Roman"/>
                      <w:color w:val="auto"/>
                      <w:spacing w:val="-3"/>
                      <w:sz w:val="21"/>
                      <w:szCs w:val="21"/>
                      <w:highlight w:val="none"/>
                      <w:lang w:val="en-US" w:eastAsia="zh-CN"/>
                    </w:rPr>
                    <w:t>80</w:t>
                  </w:r>
                </w:p>
              </w:tc>
              <w:tc>
                <w:tcPr>
                  <w:tcW w:w="773" w:type="dxa"/>
                  <w:vMerge w:val="continue"/>
                  <w:tcBorders>
                    <w:tl2br w:val="nil"/>
                    <w:tr2bl w:val="nil"/>
                  </w:tcBorders>
                  <w:vAlign w:val="center"/>
                </w:tcPr>
                <w:p w14:paraId="3CDB0CE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restart"/>
                  <w:tcBorders>
                    <w:tl2br w:val="nil"/>
                    <w:tr2bl w:val="nil"/>
                  </w:tcBorders>
                  <w:vAlign w:val="center"/>
                </w:tcPr>
                <w:p w14:paraId="7B091F3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1.13 </w:t>
                  </w:r>
                </w:p>
              </w:tc>
              <w:tc>
                <w:tcPr>
                  <w:tcW w:w="933" w:type="dxa"/>
                  <w:vMerge w:val="restart"/>
                  <w:tcBorders>
                    <w:tl2br w:val="nil"/>
                    <w:tr2bl w:val="nil"/>
                  </w:tcBorders>
                  <w:vAlign w:val="center"/>
                </w:tcPr>
                <w:p w14:paraId="653E38A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0.0113 </w:t>
                  </w:r>
                </w:p>
              </w:tc>
              <w:tc>
                <w:tcPr>
                  <w:tcW w:w="804" w:type="dxa"/>
                  <w:vMerge w:val="restart"/>
                  <w:tcBorders>
                    <w:tl2br w:val="nil"/>
                    <w:tr2bl w:val="nil"/>
                  </w:tcBorders>
                  <w:vAlign w:val="center"/>
                </w:tcPr>
                <w:p w14:paraId="0835772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0.0272</w:t>
                  </w:r>
                </w:p>
              </w:tc>
              <w:tc>
                <w:tcPr>
                  <w:tcW w:w="688" w:type="dxa"/>
                  <w:vMerge w:val="continue"/>
                  <w:tcBorders>
                    <w:tl2br w:val="nil"/>
                    <w:tr2bl w:val="nil"/>
                  </w:tcBorders>
                  <w:vAlign w:val="center"/>
                </w:tcPr>
                <w:p w14:paraId="6A28AAD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3B9ED48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vAlign w:val="center"/>
                </w:tcPr>
                <w:p w14:paraId="7C3CF5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模型切割</w:t>
                  </w:r>
                </w:p>
              </w:tc>
              <w:tc>
                <w:tcPr>
                  <w:tcW w:w="582" w:type="dxa"/>
                  <w:tcBorders>
                    <w:tl2br w:val="nil"/>
                    <w:tr2bl w:val="nil"/>
                  </w:tcBorders>
                  <w:vAlign w:val="center"/>
                </w:tcPr>
                <w:p w14:paraId="5C7148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泡沫切割机</w:t>
                  </w:r>
                </w:p>
              </w:tc>
              <w:tc>
                <w:tcPr>
                  <w:tcW w:w="763" w:type="dxa"/>
                  <w:tcBorders>
                    <w:tl2br w:val="nil"/>
                    <w:tr2bl w:val="nil"/>
                  </w:tcBorders>
                  <w:vAlign w:val="center"/>
                </w:tcPr>
                <w:p w14:paraId="0E7852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vAlign w:val="center"/>
                </w:tcPr>
                <w:p w14:paraId="0FA17A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1.21 </w:t>
                  </w:r>
                </w:p>
              </w:tc>
              <w:tc>
                <w:tcPr>
                  <w:tcW w:w="779" w:type="dxa"/>
                  <w:tcBorders>
                    <w:tl2br w:val="nil"/>
                    <w:tr2bl w:val="nil"/>
                  </w:tcBorders>
                  <w:vAlign w:val="center"/>
                </w:tcPr>
                <w:p w14:paraId="3C6238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0.0291</w:t>
                  </w:r>
                </w:p>
              </w:tc>
              <w:tc>
                <w:tcPr>
                  <w:tcW w:w="572" w:type="dxa"/>
                  <w:vMerge w:val="continue"/>
                  <w:tcBorders>
                    <w:tl2br w:val="nil"/>
                    <w:tr2bl w:val="nil"/>
                  </w:tcBorders>
                  <w:vAlign w:val="center"/>
                </w:tcPr>
                <w:p w14:paraId="08B92E8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6DB4CF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47206FB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053BC40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5C54B5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0AD965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6BF01F6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411620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933" w:type="dxa"/>
                  <w:vMerge w:val="continue"/>
                  <w:tcBorders>
                    <w:tl2br w:val="nil"/>
                    <w:tr2bl w:val="nil"/>
                  </w:tcBorders>
                  <w:vAlign w:val="center"/>
                </w:tcPr>
                <w:p w14:paraId="79BBDE9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804" w:type="dxa"/>
                  <w:vMerge w:val="continue"/>
                  <w:tcBorders>
                    <w:tl2br w:val="nil"/>
                    <w:tr2bl w:val="nil"/>
                  </w:tcBorders>
                  <w:vAlign w:val="center"/>
                </w:tcPr>
                <w:p w14:paraId="26E35E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688" w:type="dxa"/>
                  <w:vMerge w:val="continue"/>
                  <w:tcBorders>
                    <w:tl2br w:val="nil"/>
                    <w:tr2bl w:val="nil"/>
                  </w:tcBorders>
                  <w:vAlign w:val="center"/>
                </w:tcPr>
                <w:p w14:paraId="4A66E4C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26C1776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454" w:hRule="atLeast"/>
                <w:jc w:val="center"/>
              </w:trPr>
              <w:tc>
                <w:tcPr>
                  <w:tcW w:w="787" w:type="dxa"/>
                  <w:tcBorders>
                    <w:tl2br w:val="nil"/>
                    <w:tr2bl w:val="nil"/>
                  </w:tcBorders>
                  <w:vAlign w:val="center"/>
                </w:tcPr>
                <w:p w14:paraId="2B8E7D3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烘干</w:t>
                  </w:r>
                  <w:r>
                    <w:rPr>
                      <w:rFonts w:hint="eastAsia" w:ascii="Times New Roman" w:hAnsi="Times New Roman" w:cs="Times New Roman"/>
                      <w:color w:val="auto"/>
                      <w:sz w:val="21"/>
                      <w:szCs w:val="21"/>
                      <w:highlight w:val="none"/>
                      <w:lang w:val="en-US" w:eastAsia="zh-CN"/>
                    </w:rPr>
                    <w:t>工序</w:t>
                  </w:r>
                </w:p>
              </w:tc>
              <w:tc>
                <w:tcPr>
                  <w:tcW w:w="582" w:type="dxa"/>
                  <w:tcBorders>
                    <w:tl2br w:val="nil"/>
                    <w:tr2bl w:val="nil"/>
                  </w:tcBorders>
                  <w:vAlign w:val="center"/>
                </w:tcPr>
                <w:p w14:paraId="7E2C06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热风烘干机</w:t>
                  </w:r>
                </w:p>
              </w:tc>
              <w:tc>
                <w:tcPr>
                  <w:tcW w:w="763" w:type="dxa"/>
                  <w:tcBorders>
                    <w:tl2br w:val="nil"/>
                    <w:tr2bl w:val="nil"/>
                  </w:tcBorders>
                  <w:vAlign w:val="center"/>
                </w:tcPr>
                <w:p w14:paraId="5B42FA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vAlign w:val="center"/>
                </w:tcPr>
                <w:p w14:paraId="340D758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0.07 </w:t>
                  </w:r>
                </w:p>
              </w:tc>
              <w:tc>
                <w:tcPr>
                  <w:tcW w:w="779" w:type="dxa"/>
                  <w:tcBorders>
                    <w:tl2br w:val="nil"/>
                    <w:tr2bl w:val="nil"/>
                  </w:tcBorders>
                  <w:vAlign w:val="center"/>
                </w:tcPr>
                <w:p w14:paraId="726700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0.0017</w:t>
                  </w:r>
                </w:p>
              </w:tc>
              <w:tc>
                <w:tcPr>
                  <w:tcW w:w="572" w:type="dxa"/>
                  <w:vMerge w:val="continue"/>
                  <w:tcBorders>
                    <w:tl2br w:val="nil"/>
                    <w:tr2bl w:val="nil"/>
                  </w:tcBorders>
                  <w:vAlign w:val="center"/>
                </w:tcPr>
                <w:p w14:paraId="2A9EA95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07209C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349D4CC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4921E1B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7092D5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3B4A70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269EE9D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vMerge w:val="continue"/>
                  <w:tcBorders>
                    <w:tl2br w:val="nil"/>
                    <w:tr2bl w:val="nil"/>
                  </w:tcBorders>
                  <w:vAlign w:val="center"/>
                </w:tcPr>
                <w:p w14:paraId="6EE16A5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933" w:type="dxa"/>
                  <w:vMerge w:val="continue"/>
                  <w:tcBorders>
                    <w:tl2br w:val="nil"/>
                    <w:tr2bl w:val="nil"/>
                  </w:tcBorders>
                  <w:vAlign w:val="center"/>
                </w:tcPr>
                <w:p w14:paraId="3CA1237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804" w:type="dxa"/>
                  <w:vMerge w:val="continue"/>
                  <w:tcBorders>
                    <w:tl2br w:val="nil"/>
                    <w:tr2bl w:val="nil"/>
                  </w:tcBorders>
                  <w:vAlign w:val="center"/>
                </w:tcPr>
                <w:p w14:paraId="765499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c>
                <w:tcPr>
                  <w:tcW w:w="688" w:type="dxa"/>
                  <w:vMerge w:val="continue"/>
                  <w:tcBorders>
                    <w:tl2br w:val="nil"/>
                    <w:tr2bl w:val="nil"/>
                  </w:tcBorders>
                  <w:vAlign w:val="center"/>
                </w:tcPr>
                <w:p w14:paraId="60427E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32E82F6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restart"/>
                  <w:tcBorders>
                    <w:tl2br w:val="nil"/>
                    <w:tr2bl w:val="nil"/>
                  </w:tcBorders>
                  <w:shd w:val="clear" w:color="auto" w:fill="auto"/>
                  <w:vAlign w:val="center"/>
                </w:tcPr>
                <w:p w14:paraId="6571F6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制芯、制壳</w:t>
                  </w:r>
                </w:p>
              </w:tc>
              <w:tc>
                <w:tcPr>
                  <w:tcW w:w="582" w:type="dxa"/>
                  <w:vMerge w:val="restart"/>
                  <w:tcBorders>
                    <w:tl2br w:val="nil"/>
                    <w:tr2bl w:val="nil"/>
                  </w:tcBorders>
                  <w:shd w:val="clear" w:color="auto" w:fill="auto"/>
                  <w:vAlign w:val="center"/>
                </w:tcPr>
                <w:p w14:paraId="4346A20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lang w:val="en-US" w:eastAsia="zh-CN"/>
                    </w:rPr>
                    <w:t>自动射芯机</w:t>
                  </w:r>
                </w:p>
              </w:tc>
              <w:tc>
                <w:tcPr>
                  <w:tcW w:w="763" w:type="dxa"/>
                  <w:tcBorders>
                    <w:tl2br w:val="nil"/>
                    <w:tr2bl w:val="nil"/>
                  </w:tcBorders>
                  <w:shd w:val="clear" w:color="auto" w:fill="auto"/>
                  <w:vAlign w:val="center"/>
                </w:tcPr>
                <w:p w14:paraId="2AFE62E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107" w:type="dxa"/>
                  <w:tcBorders>
                    <w:tl2br w:val="nil"/>
                    <w:tr2bl w:val="nil"/>
                  </w:tcBorders>
                  <w:vAlign w:val="center"/>
                </w:tcPr>
                <w:p w14:paraId="5067BC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1.95</w:t>
                  </w:r>
                </w:p>
              </w:tc>
              <w:tc>
                <w:tcPr>
                  <w:tcW w:w="779" w:type="dxa"/>
                  <w:tcBorders>
                    <w:tl2br w:val="nil"/>
                    <w:tr2bl w:val="nil"/>
                  </w:tcBorders>
                  <w:vAlign w:val="center"/>
                </w:tcPr>
                <w:p w14:paraId="3C6D58B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0.0467</w:t>
                  </w:r>
                </w:p>
              </w:tc>
              <w:tc>
                <w:tcPr>
                  <w:tcW w:w="572" w:type="dxa"/>
                  <w:vMerge w:val="continue"/>
                  <w:tcBorders>
                    <w:tl2br w:val="nil"/>
                    <w:tr2bl w:val="nil"/>
                  </w:tcBorders>
                  <w:vAlign w:val="center"/>
                </w:tcPr>
                <w:p w14:paraId="5F06EFB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44328D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0FC8524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352E1E0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0C458F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09C659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79C2CB2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4C7F079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0.39</w:t>
                  </w:r>
                </w:p>
              </w:tc>
              <w:tc>
                <w:tcPr>
                  <w:tcW w:w="933" w:type="dxa"/>
                  <w:tcBorders>
                    <w:tl2br w:val="nil"/>
                    <w:tr2bl w:val="nil"/>
                  </w:tcBorders>
                  <w:vAlign w:val="center"/>
                </w:tcPr>
                <w:p w14:paraId="231EBD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0.0039</w:t>
                  </w:r>
                </w:p>
              </w:tc>
              <w:tc>
                <w:tcPr>
                  <w:tcW w:w="804" w:type="dxa"/>
                  <w:tcBorders>
                    <w:tl2br w:val="nil"/>
                    <w:tr2bl w:val="nil"/>
                  </w:tcBorders>
                  <w:vAlign w:val="center"/>
                </w:tcPr>
                <w:p w14:paraId="64E1F12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0.0093</w:t>
                  </w:r>
                </w:p>
              </w:tc>
              <w:tc>
                <w:tcPr>
                  <w:tcW w:w="688" w:type="dxa"/>
                  <w:vMerge w:val="continue"/>
                  <w:tcBorders>
                    <w:tl2br w:val="nil"/>
                    <w:tr2bl w:val="nil"/>
                  </w:tcBorders>
                  <w:vAlign w:val="center"/>
                </w:tcPr>
                <w:p w14:paraId="6B1899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0B50165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continue"/>
                  <w:tcBorders>
                    <w:tl2br w:val="nil"/>
                    <w:tr2bl w:val="nil"/>
                  </w:tcBorders>
                  <w:vAlign w:val="center"/>
                </w:tcPr>
                <w:p w14:paraId="3162F6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vAlign w:val="center"/>
                </w:tcPr>
                <w:p w14:paraId="570976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lang w:val="en-US" w:eastAsia="zh-CN"/>
                    </w:rPr>
                  </w:pPr>
                </w:p>
              </w:tc>
              <w:tc>
                <w:tcPr>
                  <w:tcW w:w="763" w:type="dxa"/>
                  <w:tcBorders>
                    <w:tl2br w:val="nil"/>
                    <w:tr2bl w:val="nil"/>
                  </w:tcBorders>
                  <w:shd w:val="clear" w:color="auto" w:fill="auto"/>
                  <w:vAlign w:val="center"/>
                </w:tcPr>
                <w:p w14:paraId="3CE5F03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107" w:type="dxa"/>
                  <w:tcBorders>
                    <w:tl2br w:val="nil"/>
                    <w:tr2bl w:val="nil"/>
                  </w:tcBorders>
                  <w:vAlign w:val="center"/>
                </w:tcPr>
                <w:p w14:paraId="5F388A7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0.35</w:t>
                  </w:r>
                </w:p>
              </w:tc>
              <w:tc>
                <w:tcPr>
                  <w:tcW w:w="779" w:type="dxa"/>
                  <w:tcBorders>
                    <w:tl2br w:val="nil"/>
                    <w:tr2bl w:val="nil"/>
                  </w:tcBorders>
                  <w:vAlign w:val="center"/>
                </w:tcPr>
                <w:p w14:paraId="2D9105C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0.0084</w:t>
                  </w:r>
                </w:p>
              </w:tc>
              <w:tc>
                <w:tcPr>
                  <w:tcW w:w="572" w:type="dxa"/>
                  <w:vMerge w:val="continue"/>
                  <w:tcBorders>
                    <w:tl2br w:val="nil"/>
                    <w:tr2bl w:val="nil"/>
                  </w:tcBorders>
                  <w:vAlign w:val="center"/>
                </w:tcPr>
                <w:p w14:paraId="6F729E5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val="en-US" w:eastAsia="zh-CN"/>
                    </w:rPr>
                  </w:pPr>
                </w:p>
              </w:tc>
              <w:tc>
                <w:tcPr>
                  <w:tcW w:w="800" w:type="dxa"/>
                  <w:vMerge w:val="continue"/>
                  <w:tcBorders>
                    <w:tl2br w:val="nil"/>
                    <w:tr2bl w:val="nil"/>
                  </w:tcBorders>
                  <w:vAlign w:val="center"/>
                </w:tcPr>
                <w:p w14:paraId="14B88D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highlight w:val="none"/>
                      <w:lang w:eastAsia="zh-CN"/>
                    </w:rPr>
                  </w:pPr>
                </w:p>
              </w:tc>
              <w:tc>
                <w:tcPr>
                  <w:tcW w:w="841" w:type="dxa"/>
                  <w:vMerge w:val="continue"/>
                  <w:tcBorders>
                    <w:tl2br w:val="nil"/>
                    <w:tr2bl w:val="nil"/>
                  </w:tcBorders>
                  <w:vAlign w:val="center"/>
                </w:tcPr>
                <w:p w14:paraId="545F38D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943" w:type="dxa"/>
                  <w:vMerge w:val="continue"/>
                  <w:tcBorders>
                    <w:tl2br w:val="nil"/>
                    <w:tr2bl w:val="nil"/>
                  </w:tcBorders>
                  <w:vAlign w:val="center"/>
                </w:tcPr>
                <w:p w14:paraId="5557C8C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813" w:type="dxa"/>
                  <w:vMerge w:val="continue"/>
                  <w:tcBorders>
                    <w:tl2br w:val="nil"/>
                    <w:tr2bl w:val="nil"/>
                  </w:tcBorders>
                  <w:vAlign w:val="center"/>
                </w:tcPr>
                <w:p w14:paraId="2EAEC7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p>
              </w:tc>
              <w:tc>
                <w:tcPr>
                  <w:tcW w:w="750" w:type="dxa"/>
                  <w:vMerge w:val="continue"/>
                  <w:tcBorders>
                    <w:tl2br w:val="nil"/>
                    <w:tr2bl w:val="nil"/>
                  </w:tcBorders>
                  <w:vAlign w:val="center"/>
                </w:tcPr>
                <w:p w14:paraId="3F19003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773" w:type="dxa"/>
                  <w:vMerge w:val="continue"/>
                  <w:tcBorders>
                    <w:tl2br w:val="nil"/>
                    <w:tr2bl w:val="nil"/>
                  </w:tcBorders>
                  <w:vAlign w:val="center"/>
                </w:tcPr>
                <w:p w14:paraId="622A9D6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p>
              </w:tc>
              <w:tc>
                <w:tcPr>
                  <w:tcW w:w="1104" w:type="dxa"/>
                  <w:tcBorders>
                    <w:tl2br w:val="nil"/>
                    <w:tr2bl w:val="nil"/>
                  </w:tcBorders>
                  <w:vAlign w:val="center"/>
                </w:tcPr>
                <w:p w14:paraId="43A9555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0.071</w:t>
                  </w:r>
                </w:p>
              </w:tc>
              <w:tc>
                <w:tcPr>
                  <w:tcW w:w="933" w:type="dxa"/>
                  <w:tcBorders>
                    <w:tl2br w:val="nil"/>
                    <w:tr2bl w:val="nil"/>
                  </w:tcBorders>
                  <w:vAlign w:val="center"/>
                </w:tcPr>
                <w:p w14:paraId="688DF2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0.00071</w:t>
                  </w:r>
                </w:p>
              </w:tc>
              <w:tc>
                <w:tcPr>
                  <w:tcW w:w="804" w:type="dxa"/>
                  <w:tcBorders>
                    <w:tl2br w:val="nil"/>
                    <w:tr2bl w:val="nil"/>
                  </w:tcBorders>
                  <w:vAlign w:val="center"/>
                </w:tcPr>
                <w:p w14:paraId="694A5B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0.0017</w:t>
                  </w:r>
                </w:p>
              </w:tc>
              <w:tc>
                <w:tcPr>
                  <w:tcW w:w="688" w:type="dxa"/>
                  <w:vMerge w:val="continue"/>
                  <w:tcBorders>
                    <w:tl2br w:val="nil"/>
                    <w:tr2bl w:val="nil"/>
                  </w:tcBorders>
                  <w:vAlign w:val="center"/>
                </w:tcPr>
                <w:p w14:paraId="3081DC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z w:val="21"/>
                      <w:szCs w:val="21"/>
                      <w:highlight w:val="none"/>
                      <w:lang w:val="en-US" w:eastAsia="zh-CN"/>
                    </w:rPr>
                  </w:pPr>
                </w:p>
              </w:tc>
            </w:tr>
            <w:tr w14:paraId="14ABF20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50E4AC4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焊接</w:t>
                  </w:r>
                </w:p>
              </w:tc>
              <w:tc>
                <w:tcPr>
                  <w:tcW w:w="582" w:type="dxa"/>
                  <w:tcBorders>
                    <w:tl2br w:val="nil"/>
                    <w:tr2bl w:val="nil"/>
                  </w:tcBorders>
                  <w:shd w:val="clear" w:color="auto" w:fill="auto"/>
                  <w:vAlign w:val="center"/>
                </w:tcPr>
                <w:p w14:paraId="4249BDF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焊接</w:t>
                  </w:r>
                </w:p>
              </w:tc>
              <w:tc>
                <w:tcPr>
                  <w:tcW w:w="763" w:type="dxa"/>
                  <w:tcBorders>
                    <w:tl2br w:val="nil"/>
                    <w:tr2bl w:val="nil"/>
                  </w:tcBorders>
                  <w:shd w:val="clear" w:color="auto" w:fill="auto"/>
                  <w:vAlign w:val="center"/>
                </w:tcPr>
                <w:p w14:paraId="67EC7AF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烟尘</w:t>
                  </w:r>
                </w:p>
              </w:tc>
              <w:tc>
                <w:tcPr>
                  <w:tcW w:w="1107" w:type="dxa"/>
                  <w:tcBorders>
                    <w:tl2br w:val="nil"/>
                    <w:tr2bl w:val="nil"/>
                  </w:tcBorders>
                  <w:shd w:val="clear" w:color="auto" w:fill="auto"/>
                  <w:vAlign w:val="center"/>
                </w:tcPr>
                <w:p w14:paraId="7493A05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779" w:type="dxa"/>
                  <w:tcBorders>
                    <w:tl2br w:val="nil"/>
                    <w:tr2bl w:val="nil"/>
                  </w:tcBorders>
                  <w:shd w:val="clear" w:color="auto" w:fill="auto"/>
                  <w:vAlign w:val="center"/>
                </w:tcPr>
                <w:p w14:paraId="6E84E0F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0.000202</w:t>
                  </w:r>
                </w:p>
              </w:tc>
              <w:tc>
                <w:tcPr>
                  <w:tcW w:w="572" w:type="dxa"/>
                  <w:tcBorders>
                    <w:tl2br w:val="nil"/>
                    <w:tr2bl w:val="nil"/>
                  </w:tcBorders>
                  <w:shd w:val="clear" w:color="auto" w:fill="auto"/>
                  <w:vAlign w:val="center"/>
                </w:tcPr>
                <w:p w14:paraId="2A9BB6E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集气罩</w:t>
                  </w:r>
                </w:p>
              </w:tc>
              <w:tc>
                <w:tcPr>
                  <w:tcW w:w="800" w:type="dxa"/>
                  <w:tcBorders>
                    <w:tl2br w:val="nil"/>
                    <w:tr2bl w:val="nil"/>
                  </w:tcBorders>
                  <w:shd w:val="clear" w:color="auto" w:fill="auto"/>
                  <w:vAlign w:val="center"/>
                </w:tcPr>
                <w:p w14:paraId="41A4854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90</w:t>
                  </w:r>
                </w:p>
              </w:tc>
              <w:tc>
                <w:tcPr>
                  <w:tcW w:w="841" w:type="dxa"/>
                  <w:tcBorders>
                    <w:tl2br w:val="nil"/>
                    <w:tr2bl w:val="nil"/>
                  </w:tcBorders>
                  <w:shd w:val="clear" w:color="auto" w:fill="auto"/>
                  <w:vAlign w:val="center"/>
                </w:tcPr>
                <w:p w14:paraId="4A0C7C6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034DA60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焊接烟尘净化器</w:t>
                  </w:r>
                </w:p>
              </w:tc>
              <w:tc>
                <w:tcPr>
                  <w:tcW w:w="813" w:type="dxa"/>
                  <w:tcBorders>
                    <w:tl2br w:val="nil"/>
                    <w:tr2bl w:val="nil"/>
                  </w:tcBorders>
                  <w:shd w:val="clear" w:color="auto" w:fill="auto"/>
                  <w:vAlign w:val="center"/>
                </w:tcPr>
                <w:p w14:paraId="7131935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750" w:type="dxa"/>
                  <w:tcBorders>
                    <w:tl2br w:val="nil"/>
                    <w:tr2bl w:val="nil"/>
                  </w:tcBorders>
                  <w:shd w:val="clear" w:color="auto" w:fill="auto"/>
                  <w:vAlign w:val="center"/>
                </w:tcPr>
                <w:p w14:paraId="4370BC6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95</w:t>
                  </w:r>
                </w:p>
              </w:tc>
              <w:tc>
                <w:tcPr>
                  <w:tcW w:w="773" w:type="dxa"/>
                  <w:tcBorders>
                    <w:tl2br w:val="nil"/>
                    <w:tr2bl w:val="nil"/>
                  </w:tcBorders>
                  <w:shd w:val="clear" w:color="auto" w:fill="auto"/>
                  <w:vAlign w:val="center"/>
                </w:tcPr>
                <w:p w14:paraId="473CD88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是</w:t>
                  </w:r>
                </w:p>
              </w:tc>
              <w:tc>
                <w:tcPr>
                  <w:tcW w:w="1104" w:type="dxa"/>
                  <w:tcBorders>
                    <w:tl2br w:val="nil"/>
                    <w:tr2bl w:val="nil"/>
                  </w:tcBorders>
                  <w:shd w:val="clear" w:color="auto" w:fill="auto"/>
                  <w:vAlign w:val="center"/>
                </w:tcPr>
                <w:p w14:paraId="4C84C49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933" w:type="dxa"/>
                  <w:vMerge w:val="restart"/>
                  <w:tcBorders>
                    <w:tl2br w:val="nil"/>
                    <w:tr2bl w:val="nil"/>
                  </w:tcBorders>
                  <w:shd w:val="clear" w:color="auto" w:fill="auto"/>
                  <w:vAlign w:val="center"/>
                </w:tcPr>
                <w:p w14:paraId="75B2C47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0.054</w:t>
                  </w:r>
                </w:p>
              </w:tc>
              <w:tc>
                <w:tcPr>
                  <w:tcW w:w="804" w:type="dxa"/>
                  <w:vMerge w:val="restart"/>
                  <w:tcBorders>
                    <w:tl2br w:val="nil"/>
                    <w:tr2bl w:val="nil"/>
                  </w:tcBorders>
                  <w:shd w:val="clear" w:color="auto" w:fill="auto"/>
                  <w:vAlign w:val="center"/>
                </w:tcPr>
                <w:p w14:paraId="661E9F1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cs="Times New Roman"/>
                      <w:i w:val="0"/>
                      <w:iCs w:val="0"/>
                      <w:snapToGrid w:val="0"/>
                      <w:color w:val="auto"/>
                      <w:kern w:val="0"/>
                      <w:sz w:val="21"/>
                      <w:szCs w:val="21"/>
                      <w:u w:val="none"/>
                      <w:lang w:val="en-US" w:eastAsia="zh-CN" w:bidi="ar"/>
                    </w:rPr>
                    <w:t>0.130</w:t>
                  </w:r>
                </w:p>
              </w:tc>
              <w:tc>
                <w:tcPr>
                  <w:tcW w:w="688" w:type="dxa"/>
                  <w:tcBorders>
                    <w:tl2br w:val="nil"/>
                    <w:tr2bl w:val="nil"/>
                  </w:tcBorders>
                  <w:shd w:val="clear" w:color="auto" w:fill="auto"/>
                  <w:vAlign w:val="center"/>
                </w:tcPr>
                <w:p w14:paraId="5284FD8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07DFA38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76" w:hRule="atLeast"/>
                <w:jc w:val="center"/>
              </w:trPr>
              <w:tc>
                <w:tcPr>
                  <w:tcW w:w="787" w:type="dxa"/>
                  <w:tcBorders>
                    <w:tl2br w:val="nil"/>
                    <w:tr2bl w:val="nil"/>
                  </w:tcBorders>
                  <w:shd w:val="clear" w:color="auto" w:fill="auto"/>
                  <w:vAlign w:val="center"/>
                </w:tcPr>
                <w:p w14:paraId="69C99EA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熔化</w:t>
                  </w:r>
                </w:p>
              </w:tc>
              <w:tc>
                <w:tcPr>
                  <w:tcW w:w="582" w:type="dxa"/>
                  <w:tcBorders>
                    <w:tl2br w:val="nil"/>
                    <w:tr2bl w:val="nil"/>
                  </w:tcBorders>
                  <w:shd w:val="clear" w:color="auto" w:fill="auto"/>
                  <w:vAlign w:val="center"/>
                </w:tcPr>
                <w:p w14:paraId="464A4C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电炉</w:t>
                  </w:r>
                </w:p>
              </w:tc>
              <w:tc>
                <w:tcPr>
                  <w:tcW w:w="763" w:type="dxa"/>
                  <w:tcBorders>
                    <w:tl2br w:val="nil"/>
                    <w:tr2bl w:val="nil"/>
                  </w:tcBorders>
                  <w:shd w:val="clear" w:color="auto" w:fill="auto"/>
                  <w:vAlign w:val="center"/>
                </w:tcPr>
                <w:p w14:paraId="5E23529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1FA26EA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56011ED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0.0574</w:t>
                  </w:r>
                </w:p>
              </w:tc>
              <w:tc>
                <w:tcPr>
                  <w:tcW w:w="572" w:type="dxa"/>
                  <w:tcBorders>
                    <w:tl2br w:val="nil"/>
                    <w:tr2bl w:val="nil"/>
                  </w:tcBorders>
                  <w:shd w:val="clear" w:color="auto" w:fill="auto"/>
                  <w:vAlign w:val="center"/>
                </w:tcPr>
                <w:p w14:paraId="65E360D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1E81027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4CF3AC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无组织</w:t>
                  </w:r>
                </w:p>
              </w:tc>
              <w:tc>
                <w:tcPr>
                  <w:tcW w:w="943" w:type="dxa"/>
                  <w:vMerge w:val="restart"/>
                  <w:tcBorders>
                    <w:tl2br w:val="nil"/>
                    <w:tr2bl w:val="nil"/>
                  </w:tcBorders>
                  <w:shd w:val="clear" w:color="auto" w:fill="auto"/>
                  <w:vAlign w:val="center"/>
                </w:tcPr>
                <w:p w14:paraId="6972748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洒水降尘、生产设施设置围挡、车间密闭</w:t>
                  </w:r>
                </w:p>
              </w:tc>
              <w:tc>
                <w:tcPr>
                  <w:tcW w:w="813" w:type="dxa"/>
                  <w:tcBorders>
                    <w:tl2br w:val="nil"/>
                    <w:tr2bl w:val="nil"/>
                  </w:tcBorders>
                  <w:shd w:val="clear" w:color="auto" w:fill="auto"/>
                  <w:vAlign w:val="center"/>
                </w:tcPr>
                <w:p w14:paraId="2A1E010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50" w:type="dxa"/>
                  <w:vMerge w:val="restart"/>
                  <w:tcBorders>
                    <w:tl2br w:val="nil"/>
                    <w:tr2bl w:val="nil"/>
                  </w:tcBorders>
                  <w:shd w:val="clear" w:color="auto" w:fill="auto"/>
                  <w:vAlign w:val="center"/>
                </w:tcPr>
                <w:p w14:paraId="6318E05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94</w:t>
                  </w:r>
                </w:p>
              </w:tc>
              <w:tc>
                <w:tcPr>
                  <w:tcW w:w="773" w:type="dxa"/>
                  <w:tcBorders>
                    <w:tl2br w:val="nil"/>
                    <w:tr2bl w:val="nil"/>
                  </w:tcBorders>
                  <w:shd w:val="clear" w:color="auto" w:fill="auto"/>
                  <w:vAlign w:val="center"/>
                </w:tcPr>
                <w:p w14:paraId="1372A85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471688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6317616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44A90E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1599DDA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2400</w:t>
                  </w:r>
                </w:p>
              </w:tc>
            </w:tr>
            <w:tr w14:paraId="6E2CF82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454" w:hRule="atLeast"/>
                <w:jc w:val="center"/>
              </w:trPr>
              <w:tc>
                <w:tcPr>
                  <w:tcW w:w="787" w:type="dxa"/>
                  <w:tcBorders>
                    <w:tl2br w:val="nil"/>
                    <w:tr2bl w:val="nil"/>
                  </w:tcBorders>
                  <w:shd w:val="clear" w:color="auto" w:fill="auto"/>
                  <w:vAlign w:val="center"/>
                </w:tcPr>
                <w:p w14:paraId="017FBBB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抛丸</w:t>
                  </w:r>
                </w:p>
              </w:tc>
              <w:tc>
                <w:tcPr>
                  <w:tcW w:w="582" w:type="dxa"/>
                  <w:tcBorders>
                    <w:tl2br w:val="nil"/>
                    <w:tr2bl w:val="nil"/>
                  </w:tcBorders>
                  <w:shd w:val="clear" w:color="auto" w:fill="auto"/>
                  <w:vAlign w:val="center"/>
                </w:tcPr>
                <w:p w14:paraId="0997EB2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抛丸机</w:t>
                  </w:r>
                </w:p>
              </w:tc>
              <w:tc>
                <w:tcPr>
                  <w:tcW w:w="763" w:type="dxa"/>
                  <w:tcBorders>
                    <w:tl2br w:val="nil"/>
                    <w:tr2bl w:val="nil"/>
                  </w:tcBorders>
                  <w:shd w:val="clear" w:color="auto" w:fill="auto"/>
                  <w:vAlign w:val="center"/>
                </w:tcPr>
                <w:p w14:paraId="75B8B4C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04EBF2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667244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0.263</w:t>
                  </w:r>
                </w:p>
              </w:tc>
              <w:tc>
                <w:tcPr>
                  <w:tcW w:w="572" w:type="dxa"/>
                  <w:tcBorders>
                    <w:tl2br w:val="nil"/>
                    <w:tr2bl w:val="nil"/>
                  </w:tcBorders>
                  <w:shd w:val="clear" w:color="auto" w:fill="auto"/>
                  <w:vAlign w:val="center"/>
                </w:tcPr>
                <w:p w14:paraId="145220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0968E82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3C583C6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vMerge w:val="continue"/>
                  <w:tcBorders>
                    <w:tl2br w:val="nil"/>
                    <w:tr2bl w:val="nil"/>
                  </w:tcBorders>
                  <w:shd w:val="clear" w:color="auto" w:fill="auto"/>
                  <w:vAlign w:val="center"/>
                </w:tcPr>
                <w:p w14:paraId="7F5D3CF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13" w:type="dxa"/>
                  <w:tcBorders>
                    <w:tl2br w:val="nil"/>
                    <w:tr2bl w:val="nil"/>
                  </w:tcBorders>
                  <w:shd w:val="clear" w:color="auto" w:fill="auto"/>
                  <w:vAlign w:val="center"/>
                </w:tcPr>
                <w:p w14:paraId="465E338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vMerge w:val="continue"/>
                  <w:tcBorders>
                    <w:tl2br w:val="nil"/>
                    <w:tr2bl w:val="nil"/>
                  </w:tcBorders>
                  <w:shd w:val="clear" w:color="auto" w:fill="auto"/>
                  <w:vAlign w:val="center"/>
                </w:tcPr>
                <w:p w14:paraId="3D9460E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73" w:type="dxa"/>
                  <w:tcBorders>
                    <w:tl2br w:val="nil"/>
                    <w:tr2bl w:val="nil"/>
                  </w:tcBorders>
                  <w:shd w:val="clear" w:color="auto" w:fill="auto"/>
                  <w:vAlign w:val="center"/>
                </w:tcPr>
                <w:p w14:paraId="2BE1AE7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5F6EBA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0607997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5652FE1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33F713B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5269E9E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571EE92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混砂、</w:t>
                  </w:r>
                  <w:r>
                    <w:rPr>
                      <w:rFonts w:hint="default" w:ascii="Times New Roman" w:hAnsi="Times New Roman" w:cs="Times New Roman"/>
                      <w:color w:val="auto"/>
                      <w:sz w:val="21"/>
                      <w:szCs w:val="21"/>
                      <w:highlight w:val="none"/>
                      <w:lang w:val="en-US" w:eastAsia="zh-CN"/>
                    </w:rPr>
                    <w:t>清模、翻箱落砂</w:t>
                  </w:r>
                </w:p>
              </w:tc>
              <w:tc>
                <w:tcPr>
                  <w:tcW w:w="582" w:type="dxa"/>
                  <w:tcBorders>
                    <w:tl2br w:val="nil"/>
                    <w:tr2bl w:val="nil"/>
                  </w:tcBorders>
                  <w:shd w:val="clear" w:color="auto" w:fill="auto"/>
                  <w:vAlign w:val="center"/>
                </w:tcPr>
                <w:p w14:paraId="2589993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混砂机</w:t>
                  </w:r>
                </w:p>
              </w:tc>
              <w:tc>
                <w:tcPr>
                  <w:tcW w:w="763" w:type="dxa"/>
                  <w:tcBorders>
                    <w:tl2br w:val="nil"/>
                    <w:tr2bl w:val="nil"/>
                  </w:tcBorders>
                  <w:shd w:val="clear" w:color="auto" w:fill="auto"/>
                  <w:vAlign w:val="center"/>
                </w:tcPr>
                <w:p w14:paraId="1ED5247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4804DDC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5D3FD85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1.47</w:t>
                  </w:r>
                </w:p>
              </w:tc>
              <w:tc>
                <w:tcPr>
                  <w:tcW w:w="572" w:type="dxa"/>
                  <w:tcBorders>
                    <w:tl2br w:val="nil"/>
                    <w:tr2bl w:val="nil"/>
                  </w:tcBorders>
                  <w:shd w:val="clear" w:color="auto" w:fill="auto"/>
                  <w:vAlign w:val="center"/>
                </w:tcPr>
                <w:p w14:paraId="469D0F8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349D56F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723DA09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vMerge w:val="continue"/>
                  <w:tcBorders>
                    <w:tl2br w:val="nil"/>
                    <w:tr2bl w:val="nil"/>
                  </w:tcBorders>
                  <w:shd w:val="clear" w:color="auto" w:fill="auto"/>
                  <w:vAlign w:val="center"/>
                </w:tcPr>
                <w:p w14:paraId="59A7DAE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13" w:type="dxa"/>
                  <w:tcBorders>
                    <w:tl2br w:val="nil"/>
                    <w:tr2bl w:val="nil"/>
                  </w:tcBorders>
                  <w:shd w:val="clear" w:color="auto" w:fill="auto"/>
                  <w:vAlign w:val="center"/>
                </w:tcPr>
                <w:p w14:paraId="6812AC0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vMerge w:val="continue"/>
                  <w:tcBorders>
                    <w:tl2br w:val="nil"/>
                    <w:tr2bl w:val="nil"/>
                  </w:tcBorders>
                  <w:shd w:val="clear" w:color="auto" w:fill="auto"/>
                  <w:vAlign w:val="center"/>
                </w:tcPr>
                <w:p w14:paraId="322DA42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73" w:type="dxa"/>
                  <w:tcBorders>
                    <w:tl2br w:val="nil"/>
                    <w:tr2bl w:val="nil"/>
                  </w:tcBorders>
                  <w:shd w:val="clear" w:color="auto" w:fill="auto"/>
                  <w:vAlign w:val="center"/>
                </w:tcPr>
                <w:p w14:paraId="51D95B8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0E01D0A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07BE42F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2A1FFB2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64F1DEA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72037BE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052AA11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去冒口</w:t>
                  </w:r>
                </w:p>
              </w:tc>
              <w:tc>
                <w:tcPr>
                  <w:tcW w:w="582" w:type="dxa"/>
                  <w:tcBorders>
                    <w:tl2br w:val="nil"/>
                    <w:tr2bl w:val="nil"/>
                  </w:tcBorders>
                  <w:shd w:val="clear" w:color="auto" w:fill="auto"/>
                  <w:vAlign w:val="center"/>
                </w:tcPr>
                <w:p w14:paraId="6244C76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lang w:val="en-US" w:eastAsia="zh-CN"/>
                    </w:rPr>
                    <w:t>砂轮机</w:t>
                  </w:r>
                </w:p>
              </w:tc>
              <w:tc>
                <w:tcPr>
                  <w:tcW w:w="763" w:type="dxa"/>
                  <w:tcBorders>
                    <w:tl2br w:val="nil"/>
                    <w:tr2bl w:val="nil"/>
                  </w:tcBorders>
                  <w:shd w:val="clear" w:color="auto" w:fill="auto"/>
                  <w:vAlign w:val="center"/>
                </w:tcPr>
                <w:p w14:paraId="4BE5A66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67A8A73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5037A77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0.00636</w:t>
                  </w:r>
                </w:p>
              </w:tc>
              <w:tc>
                <w:tcPr>
                  <w:tcW w:w="572" w:type="dxa"/>
                  <w:tcBorders>
                    <w:tl2br w:val="nil"/>
                    <w:tr2bl w:val="nil"/>
                  </w:tcBorders>
                  <w:shd w:val="clear" w:color="auto" w:fill="auto"/>
                  <w:vAlign w:val="center"/>
                </w:tcPr>
                <w:p w14:paraId="12F0AA6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4EC66CF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332EC08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vMerge w:val="continue"/>
                  <w:tcBorders>
                    <w:tl2br w:val="nil"/>
                    <w:tr2bl w:val="nil"/>
                  </w:tcBorders>
                  <w:shd w:val="clear" w:color="auto" w:fill="auto"/>
                  <w:vAlign w:val="center"/>
                </w:tcPr>
                <w:p w14:paraId="00D2304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13" w:type="dxa"/>
                  <w:tcBorders>
                    <w:tl2br w:val="nil"/>
                    <w:tr2bl w:val="nil"/>
                  </w:tcBorders>
                  <w:shd w:val="clear" w:color="auto" w:fill="auto"/>
                  <w:vAlign w:val="center"/>
                </w:tcPr>
                <w:p w14:paraId="6C27A65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vMerge w:val="continue"/>
                  <w:tcBorders>
                    <w:tl2br w:val="nil"/>
                    <w:tr2bl w:val="nil"/>
                  </w:tcBorders>
                  <w:shd w:val="clear" w:color="auto" w:fill="auto"/>
                  <w:vAlign w:val="center"/>
                </w:tcPr>
                <w:p w14:paraId="37144F2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73" w:type="dxa"/>
                  <w:tcBorders>
                    <w:tl2br w:val="nil"/>
                    <w:tr2bl w:val="nil"/>
                  </w:tcBorders>
                  <w:shd w:val="clear" w:color="auto" w:fill="auto"/>
                  <w:vAlign w:val="center"/>
                </w:tcPr>
                <w:p w14:paraId="7ECBB71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1ED7E79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7EEC7F2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0F9CCB6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260D6C9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1413B6A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6AA7A45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装箱</w:t>
                  </w:r>
                </w:p>
              </w:tc>
              <w:tc>
                <w:tcPr>
                  <w:tcW w:w="582" w:type="dxa"/>
                  <w:tcBorders>
                    <w:tl2br w:val="nil"/>
                    <w:tr2bl w:val="nil"/>
                  </w:tcBorders>
                  <w:shd w:val="clear" w:color="auto" w:fill="auto"/>
                  <w:vAlign w:val="center"/>
                </w:tcPr>
                <w:p w14:paraId="0BC44FC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装箱</w:t>
                  </w:r>
                </w:p>
              </w:tc>
              <w:tc>
                <w:tcPr>
                  <w:tcW w:w="763" w:type="dxa"/>
                  <w:tcBorders>
                    <w:tl2br w:val="nil"/>
                    <w:tr2bl w:val="nil"/>
                  </w:tcBorders>
                  <w:shd w:val="clear" w:color="auto" w:fill="auto"/>
                  <w:vAlign w:val="center"/>
                </w:tcPr>
                <w:p w14:paraId="4A7374E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352A2A1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1BD2085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0.237</w:t>
                  </w:r>
                </w:p>
              </w:tc>
              <w:tc>
                <w:tcPr>
                  <w:tcW w:w="572" w:type="dxa"/>
                  <w:tcBorders>
                    <w:tl2br w:val="nil"/>
                    <w:tr2bl w:val="nil"/>
                  </w:tcBorders>
                  <w:shd w:val="clear" w:color="auto" w:fill="auto"/>
                  <w:vAlign w:val="center"/>
                </w:tcPr>
                <w:p w14:paraId="3433F96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058453E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46291BA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vMerge w:val="continue"/>
                  <w:tcBorders>
                    <w:tl2br w:val="nil"/>
                    <w:tr2bl w:val="nil"/>
                  </w:tcBorders>
                  <w:shd w:val="clear" w:color="auto" w:fill="auto"/>
                  <w:vAlign w:val="center"/>
                </w:tcPr>
                <w:p w14:paraId="0AEEF29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13" w:type="dxa"/>
                  <w:tcBorders>
                    <w:tl2br w:val="nil"/>
                    <w:tr2bl w:val="nil"/>
                  </w:tcBorders>
                  <w:shd w:val="clear" w:color="auto" w:fill="auto"/>
                  <w:vAlign w:val="center"/>
                </w:tcPr>
                <w:p w14:paraId="38CFB6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vMerge w:val="continue"/>
                  <w:tcBorders>
                    <w:tl2br w:val="nil"/>
                    <w:tr2bl w:val="nil"/>
                  </w:tcBorders>
                  <w:shd w:val="clear" w:color="auto" w:fill="auto"/>
                  <w:vAlign w:val="center"/>
                </w:tcPr>
                <w:p w14:paraId="3077E58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73" w:type="dxa"/>
                  <w:tcBorders>
                    <w:tl2br w:val="nil"/>
                    <w:tr2bl w:val="nil"/>
                  </w:tcBorders>
                  <w:shd w:val="clear" w:color="auto" w:fill="auto"/>
                  <w:vAlign w:val="center"/>
                </w:tcPr>
                <w:p w14:paraId="186490B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4D9DAD6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52993C9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158584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27DE4F8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7DB9168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2DE3161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浇注</w:t>
                  </w:r>
                </w:p>
              </w:tc>
              <w:tc>
                <w:tcPr>
                  <w:tcW w:w="582" w:type="dxa"/>
                  <w:tcBorders>
                    <w:tl2br w:val="nil"/>
                    <w:tr2bl w:val="nil"/>
                  </w:tcBorders>
                  <w:shd w:val="clear" w:color="auto" w:fill="auto"/>
                  <w:vAlign w:val="center"/>
                </w:tcPr>
                <w:p w14:paraId="476842E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浇注</w:t>
                  </w:r>
                </w:p>
              </w:tc>
              <w:tc>
                <w:tcPr>
                  <w:tcW w:w="763" w:type="dxa"/>
                  <w:tcBorders>
                    <w:tl2br w:val="nil"/>
                    <w:tr2bl w:val="nil"/>
                  </w:tcBorders>
                  <w:shd w:val="clear" w:color="auto" w:fill="auto"/>
                  <w:vAlign w:val="center"/>
                </w:tcPr>
                <w:p w14:paraId="1A39273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2C7A42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32E725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0.101</w:t>
                  </w:r>
                </w:p>
              </w:tc>
              <w:tc>
                <w:tcPr>
                  <w:tcW w:w="572" w:type="dxa"/>
                  <w:tcBorders>
                    <w:tl2br w:val="nil"/>
                    <w:tr2bl w:val="nil"/>
                  </w:tcBorders>
                  <w:shd w:val="clear" w:color="auto" w:fill="auto"/>
                  <w:vAlign w:val="center"/>
                </w:tcPr>
                <w:p w14:paraId="6DD8C03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4B8A04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670CE5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vMerge w:val="continue"/>
                  <w:tcBorders>
                    <w:tl2br w:val="nil"/>
                    <w:tr2bl w:val="nil"/>
                  </w:tcBorders>
                  <w:shd w:val="clear" w:color="auto" w:fill="auto"/>
                  <w:vAlign w:val="center"/>
                </w:tcPr>
                <w:p w14:paraId="752A142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13" w:type="dxa"/>
                  <w:tcBorders>
                    <w:tl2br w:val="nil"/>
                    <w:tr2bl w:val="nil"/>
                  </w:tcBorders>
                  <w:shd w:val="clear" w:color="auto" w:fill="auto"/>
                  <w:vAlign w:val="center"/>
                </w:tcPr>
                <w:p w14:paraId="08EE52A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vMerge w:val="continue"/>
                  <w:tcBorders>
                    <w:tl2br w:val="nil"/>
                    <w:tr2bl w:val="nil"/>
                  </w:tcBorders>
                  <w:shd w:val="clear" w:color="auto" w:fill="auto"/>
                  <w:vAlign w:val="center"/>
                </w:tcPr>
                <w:p w14:paraId="4D3B63E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73" w:type="dxa"/>
                  <w:tcBorders>
                    <w:tl2br w:val="nil"/>
                    <w:tr2bl w:val="nil"/>
                  </w:tcBorders>
                  <w:shd w:val="clear" w:color="auto" w:fill="auto"/>
                  <w:vAlign w:val="center"/>
                </w:tcPr>
                <w:p w14:paraId="71CA292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22C1F6E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6AEAFD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497A2B7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1D0F85D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4E6E4A8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restart"/>
                  <w:tcBorders>
                    <w:tl2br w:val="nil"/>
                    <w:tr2bl w:val="nil"/>
                  </w:tcBorders>
                  <w:shd w:val="clear" w:color="auto" w:fill="auto"/>
                  <w:vAlign w:val="center"/>
                </w:tcPr>
                <w:p w14:paraId="126D04A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制芯、制壳</w:t>
                  </w:r>
                </w:p>
              </w:tc>
              <w:tc>
                <w:tcPr>
                  <w:tcW w:w="582" w:type="dxa"/>
                  <w:vMerge w:val="restart"/>
                  <w:tcBorders>
                    <w:tl2br w:val="nil"/>
                    <w:tr2bl w:val="nil"/>
                  </w:tcBorders>
                  <w:shd w:val="clear" w:color="auto" w:fill="auto"/>
                  <w:vAlign w:val="center"/>
                </w:tcPr>
                <w:p w14:paraId="7E01B38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lang w:val="en-US" w:eastAsia="zh-CN"/>
                    </w:rPr>
                    <w:t>自动射芯机</w:t>
                  </w:r>
                </w:p>
              </w:tc>
              <w:tc>
                <w:tcPr>
                  <w:tcW w:w="763" w:type="dxa"/>
                  <w:tcBorders>
                    <w:tl2br w:val="nil"/>
                    <w:tr2bl w:val="nil"/>
                  </w:tcBorders>
                  <w:shd w:val="clear" w:color="auto" w:fill="auto"/>
                  <w:vAlign w:val="center"/>
                </w:tcPr>
                <w:p w14:paraId="5D39309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107" w:type="dxa"/>
                  <w:tcBorders>
                    <w:tl2br w:val="nil"/>
                    <w:tr2bl w:val="nil"/>
                  </w:tcBorders>
                  <w:shd w:val="clear" w:color="auto" w:fill="auto"/>
                  <w:vAlign w:val="center"/>
                </w:tcPr>
                <w:p w14:paraId="10F859A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669A92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0.0218</w:t>
                  </w:r>
                </w:p>
              </w:tc>
              <w:tc>
                <w:tcPr>
                  <w:tcW w:w="572" w:type="dxa"/>
                  <w:tcBorders>
                    <w:tl2br w:val="nil"/>
                    <w:tr2bl w:val="nil"/>
                  </w:tcBorders>
                  <w:shd w:val="clear" w:color="auto" w:fill="auto"/>
                  <w:vAlign w:val="center"/>
                </w:tcPr>
                <w:p w14:paraId="40DBC76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538B3CD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0647309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vMerge w:val="continue"/>
                  <w:tcBorders>
                    <w:tl2br w:val="nil"/>
                    <w:tr2bl w:val="nil"/>
                  </w:tcBorders>
                  <w:shd w:val="clear" w:color="auto" w:fill="auto"/>
                  <w:vAlign w:val="center"/>
                </w:tcPr>
                <w:p w14:paraId="2CAAA78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13" w:type="dxa"/>
                  <w:tcBorders>
                    <w:tl2br w:val="nil"/>
                    <w:tr2bl w:val="nil"/>
                  </w:tcBorders>
                  <w:shd w:val="clear" w:color="auto" w:fill="auto"/>
                  <w:vAlign w:val="center"/>
                </w:tcPr>
                <w:p w14:paraId="3B45FB8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vMerge w:val="continue"/>
                  <w:tcBorders>
                    <w:tl2br w:val="nil"/>
                    <w:tr2bl w:val="nil"/>
                  </w:tcBorders>
                  <w:shd w:val="clear" w:color="auto" w:fill="auto"/>
                  <w:vAlign w:val="center"/>
                </w:tcPr>
                <w:p w14:paraId="0E60E40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73" w:type="dxa"/>
                  <w:tcBorders>
                    <w:tl2br w:val="nil"/>
                    <w:tr2bl w:val="nil"/>
                  </w:tcBorders>
                  <w:shd w:val="clear" w:color="auto" w:fill="auto"/>
                  <w:vAlign w:val="center"/>
                </w:tcPr>
                <w:p w14:paraId="76CDB75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73321A1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5B543EF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4E6BCE4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40D7CB9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38B1B32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continue"/>
                  <w:tcBorders>
                    <w:tl2br w:val="nil"/>
                    <w:tr2bl w:val="nil"/>
                  </w:tcBorders>
                  <w:shd w:val="clear" w:color="auto" w:fill="auto"/>
                  <w:vAlign w:val="center"/>
                </w:tcPr>
                <w:p w14:paraId="085ED98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p>
              </w:tc>
              <w:tc>
                <w:tcPr>
                  <w:tcW w:w="582" w:type="dxa"/>
                  <w:vMerge w:val="continue"/>
                  <w:tcBorders>
                    <w:tl2br w:val="nil"/>
                    <w:tr2bl w:val="nil"/>
                  </w:tcBorders>
                  <w:shd w:val="clear" w:color="auto" w:fill="auto"/>
                  <w:vAlign w:val="center"/>
                </w:tcPr>
                <w:p w14:paraId="2061F94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p>
              </w:tc>
              <w:tc>
                <w:tcPr>
                  <w:tcW w:w="763" w:type="dxa"/>
                  <w:tcBorders>
                    <w:tl2br w:val="nil"/>
                    <w:tr2bl w:val="nil"/>
                  </w:tcBorders>
                  <w:shd w:val="clear" w:color="auto" w:fill="auto"/>
                  <w:vAlign w:val="center"/>
                </w:tcPr>
                <w:p w14:paraId="5A79C09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shd w:val="clear" w:color="auto" w:fill="auto"/>
                  <w:vAlign w:val="center"/>
                </w:tcPr>
                <w:p w14:paraId="7F7F8BF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42DB0C8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0.0033</w:t>
                  </w:r>
                </w:p>
              </w:tc>
              <w:tc>
                <w:tcPr>
                  <w:tcW w:w="572" w:type="dxa"/>
                  <w:tcBorders>
                    <w:tl2br w:val="nil"/>
                    <w:tr2bl w:val="nil"/>
                  </w:tcBorders>
                  <w:shd w:val="clear" w:color="auto" w:fill="auto"/>
                  <w:vAlign w:val="center"/>
                </w:tcPr>
                <w:p w14:paraId="17B29DE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4E96064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0DA2442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621C35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07C7E3D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68952EB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41B22BA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39A9A66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restart"/>
                  <w:tcBorders>
                    <w:tl2br w:val="nil"/>
                    <w:tr2bl w:val="nil"/>
                  </w:tcBorders>
                  <w:shd w:val="clear" w:color="auto" w:fill="auto"/>
                  <w:vAlign w:val="center"/>
                </w:tcPr>
                <w:p w14:paraId="333031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0.0143</w:t>
                  </w:r>
                </w:p>
              </w:tc>
              <w:tc>
                <w:tcPr>
                  <w:tcW w:w="804" w:type="dxa"/>
                  <w:vMerge w:val="restart"/>
                  <w:tcBorders>
                    <w:tl2br w:val="nil"/>
                    <w:tr2bl w:val="nil"/>
                  </w:tcBorders>
                  <w:shd w:val="clear" w:color="auto" w:fill="auto"/>
                  <w:vAlign w:val="center"/>
                </w:tcPr>
                <w:p w14:paraId="23335FD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0.0344</w:t>
                  </w:r>
                </w:p>
              </w:tc>
              <w:tc>
                <w:tcPr>
                  <w:tcW w:w="688" w:type="dxa"/>
                  <w:tcBorders>
                    <w:tl2br w:val="nil"/>
                    <w:tr2bl w:val="nil"/>
                  </w:tcBorders>
                  <w:shd w:val="clear" w:color="auto" w:fill="auto"/>
                  <w:vAlign w:val="center"/>
                </w:tcPr>
                <w:p w14:paraId="5349AAF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4CBB95F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3A9D422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浇注</w:t>
                  </w:r>
                </w:p>
              </w:tc>
              <w:tc>
                <w:tcPr>
                  <w:tcW w:w="582" w:type="dxa"/>
                  <w:tcBorders>
                    <w:tl2br w:val="nil"/>
                    <w:tr2bl w:val="nil"/>
                  </w:tcBorders>
                  <w:shd w:val="clear" w:color="auto" w:fill="auto"/>
                  <w:vAlign w:val="center"/>
                </w:tcPr>
                <w:p w14:paraId="377E464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浇注</w:t>
                  </w:r>
                </w:p>
              </w:tc>
              <w:tc>
                <w:tcPr>
                  <w:tcW w:w="763" w:type="dxa"/>
                  <w:tcBorders>
                    <w:tl2br w:val="nil"/>
                    <w:tr2bl w:val="nil"/>
                  </w:tcBorders>
                  <w:shd w:val="clear" w:color="auto" w:fill="auto"/>
                  <w:vAlign w:val="center"/>
                </w:tcPr>
                <w:p w14:paraId="1C1B229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shd w:val="clear" w:color="auto" w:fill="auto"/>
                  <w:vAlign w:val="center"/>
                </w:tcPr>
                <w:p w14:paraId="709FA84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578C109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0.0301</w:t>
                  </w:r>
                </w:p>
              </w:tc>
              <w:tc>
                <w:tcPr>
                  <w:tcW w:w="572" w:type="dxa"/>
                  <w:tcBorders>
                    <w:tl2br w:val="nil"/>
                    <w:tr2bl w:val="nil"/>
                  </w:tcBorders>
                  <w:shd w:val="clear" w:color="auto" w:fill="auto"/>
                  <w:vAlign w:val="center"/>
                </w:tcPr>
                <w:p w14:paraId="5E5DB1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320E475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261DE6F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173A855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7A77643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59E21CB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2C0DC95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7C254A1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3A7D987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7736C50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6EA88ED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1794200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0EB7D0C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模型切割</w:t>
                  </w:r>
                </w:p>
              </w:tc>
              <w:tc>
                <w:tcPr>
                  <w:tcW w:w="582" w:type="dxa"/>
                  <w:tcBorders>
                    <w:tl2br w:val="nil"/>
                    <w:tr2bl w:val="nil"/>
                  </w:tcBorders>
                  <w:shd w:val="clear" w:color="auto" w:fill="auto"/>
                  <w:vAlign w:val="center"/>
                </w:tcPr>
                <w:p w14:paraId="7728DEF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lang w:val="en-US" w:eastAsia="zh-CN"/>
                    </w:rPr>
                    <w:t>泡沫切割机</w:t>
                  </w:r>
                </w:p>
              </w:tc>
              <w:tc>
                <w:tcPr>
                  <w:tcW w:w="763" w:type="dxa"/>
                  <w:tcBorders>
                    <w:tl2br w:val="nil"/>
                    <w:tr2bl w:val="nil"/>
                  </w:tcBorders>
                  <w:shd w:val="clear" w:color="auto" w:fill="auto"/>
                  <w:vAlign w:val="center"/>
                </w:tcPr>
                <w:p w14:paraId="5487029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shd w:val="clear" w:color="auto" w:fill="auto"/>
                  <w:vAlign w:val="center"/>
                </w:tcPr>
                <w:p w14:paraId="0CDD8AD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470E31D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0.0009</w:t>
                  </w:r>
                </w:p>
              </w:tc>
              <w:tc>
                <w:tcPr>
                  <w:tcW w:w="572" w:type="dxa"/>
                  <w:tcBorders>
                    <w:tl2br w:val="nil"/>
                    <w:tr2bl w:val="nil"/>
                  </w:tcBorders>
                  <w:shd w:val="clear" w:color="auto" w:fill="auto"/>
                  <w:vAlign w:val="center"/>
                </w:tcPr>
                <w:p w14:paraId="4E09AD4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35C457C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146B8D4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2222A79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102451D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6B83DFD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0282CE8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331315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045D864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60D47BF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36CAD6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35D4985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tcBorders>
                    <w:tl2br w:val="nil"/>
                    <w:tr2bl w:val="nil"/>
                  </w:tcBorders>
                  <w:shd w:val="clear" w:color="auto" w:fill="auto"/>
                  <w:vAlign w:val="center"/>
                </w:tcPr>
                <w:p w14:paraId="5A4CC7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烘干</w:t>
                  </w:r>
                  <w:r>
                    <w:rPr>
                      <w:rFonts w:hint="eastAsia" w:ascii="Times New Roman" w:hAnsi="Times New Roman" w:cs="Times New Roman"/>
                      <w:color w:val="auto"/>
                      <w:sz w:val="21"/>
                      <w:szCs w:val="21"/>
                      <w:highlight w:val="none"/>
                      <w:lang w:val="en-US" w:eastAsia="zh-CN"/>
                    </w:rPr>
                    <w:t>工序</w:t>
                  </w:r>
                </w:p>
              </w:tc>
              <w:tc>
                <w:tcPr>
                  <w:tcW w:w="582" w:type="dxa"/>
                  <w:tcBorders>
                    <w:tl2br w:val="nil"/>
                    <w:tr2bl w:val="nil"/>
                  </w:tcBorders>
                  <w:shd w:val="clear" w:color="auto" w:fill="auto"/>
                  <w:vAlign w:val="center"/>
                </w:tcPr>
                <w:p w14:paraId="58C696B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lang w:val="en-US" w:eastAsia="zh-CN"/>
                    </w:rPr>
                    <w:t>热风烘干机</w:t>
                  </w:r>
                </w:p>
              </w:tc>
              <w:tc>
                <w:tcPr>
                  <w:tcW w:w="763" w:type="dxa"/>
                  <w:tcBorders>
                    <w:tl2br w:val="nil"/>
                    <w:tr2bl w:val="nil"/>
                  </w:tcBorders>
                  <w:shd w:val="clear" w:color="auto" w:fill="auto"/>
                  <w:vAlign w:val="center"/>
                </w:tcPr>
                <w:p w14:paraId="753B7B1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VOCs</w:t>
                  </w:r>
                </w:p>
              </w:tc>
              <w:tc>
                <w:tcPr>
                  <w:tcW w:w="1107" w:type="dxa"/>
                  <w:tcBorders>
                    <w:tl2br w:val="nil"/>
                    <w:tr2bl w:val="nil"/>
                  </w:tcBorders>
                  <w:shd w:val="clear" w:color="auto" w:fill="auto"/>
                  <w:vAlign w:val="center"/>
                </w:tcPr>
                <w:p w14:paraId="3D3F6CF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046D09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0.0000525</w:t>
                  </w:r>
                </w:p>
              </w:tc>
              <w:tc>
                <w:tcPr>
                  <w:tcW w:w="572" w:type="dxa"/>
                  <w:tcBorders>
                    <w:tl2br w:val="nil"/>
                    <w:tr2bl w:val="nil"/>
                  </w:tcBorders>
                  <w:shd w:val="clear" w:color="auto" w:fill="auto"/>
                  <w:vAlign w:val="center"/>
                </w:tcPr>
                <w:p w14:paraId="7BD2524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21EF0AF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48B24D4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617446B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38D98C1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77DEB28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5B7039B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4E581DD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33" w:type="dxa"/>
                  <w:vMerge w:val="continue"/>
                  <w:tcBorders>
                    <w:tl2br w:val="nil"/>
                    <w:tr2bl w:val="nil"/>
                  </w:tcBorders>
                  <w:shd w:val="clear" w:color="auto" w:fill="auto"/>
                  <w:vAlign w:val="center"/>
                </w:tcPr>
                <w:p w14:paraId="59A6994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804" w:type="dxa"/>
                  <w:vMerge w:val="continue"/>
                  <w:tcBorders>
                    <w:tl2br w:val="nil"/>
                    <w:tr2bl w:val="nil"/>
                  </w:tcBorders>
                  <w:shd w:val="clear" w:color="auto" w:fill="auto"/>
                  <w:vAlign w:val="center"/>
                </w:tcPr>
                <w:p w14:paraId="3B5FC9C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88" w:type="dxa"/>
                  <w:tcBorders>
                    <w:tl2br w:val="nil"/>
                    <w:tr2bl w:val="nil"/>
                  </w:tcBorders>
                  <w:shd w:val="clear" w:color="auto" w:fill="auto"/>
                  <w:vAlign w:val="center"/>
                </w:tcPr>
                <w:p w14:paraId="020CD62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2400</w:t>
                  </w:r>
                </w:p>
              </w:tc>
            </w:tr>
            <w:tr w14:paraId="5C9590F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restart"/>
                  <w:tcBorders>
                    <w:tl2br w:val="nil"/>
                    <w:tr2bl w:val="nil"/>
                  </w:tcBorders>
                  <w:shd w:val="clear" w:color="auto" w:fill="auto"/>
                  <w:vAlign w:val="center"/>
                </w:tcPr>
                <w:p w14:paraId="145B660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浇注、模型切割、烘干工序</w:t>
                  </w:r>
                </w:p>
              </w:tc>
              <w:tc>
                <w:tcPr>
                  <w:tcW w:w="582" w:type="dxa"/>
                  <w:vMerge w:val="restart"/>
                  <w:tcBorders>
                    <w:tl2br w:val="nil"/>
                    <w:tr2bl w:val="nil"/>
                  </w:tcBorders>
                  <w:shd w:val="clear" w:color="auto" w:fill="auto"/>
                  <w:vAlign w:val="center"/>
                </w:tcPr>
                <w:p w14:paraId="6ED8D71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浇注、模型切割、烘干工序</w:t>
                  </w:r>
                </w:p>
              </w:tc>
              <w:tc>
                <w:tcPr>
                  <w:tcW w:w="763" w:type="dxa"/>
                  <w:tcBorders>
                    <w:tl2br w:val="nil"/>
                    <w:tr2bl w:val="nil"/>
                  </w:tcBorders>
                  <w:shd w:val="clear" w:color="auto" w:fill="auto"/>
                  <w:vAlign w:val="center"/>
                </w:tcPr>
                <w:p w14:paraId="1C11AB5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苯乙烯</w:t>
                  </w:r>
                </w:p>
              </w:tc>
              <w:tc>
                <w:tcPr>
                  <w:tcW w:w="1107" w:type="dxa"/>
                  <w:tcBorders>
                    <w:tl2br w:val="nil"/>
                    <w:tr2bl w:val="nil"/>
                  </w:tcBorders>
                  <w:shd w:val="clear" w:color="auto" w:fill="auto"/>
                  <w:vAlign w:val="center"/>
                </w:tcPr>
                <w:p w14:paraId="101B627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7BB704C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572" w:type="dxa"/>
                  <w:tcBorders>
                    <w:tl2br w:val="nil"/>
                    <w:tr2bl w:val="nil"/>
                  </w:tcBorders>
                  <w:shd w:val="clear" w:color="auto" w:fill="auto"/>
                  <w:vAlign w:val="center"/>
                </w:tcPr>
                <w:p w14:paraId="5BE09AA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6F72A31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540A661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583FC4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4BE5EF6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4239441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0DB36EE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542C769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933" w:type="dxa"/>
                  <w:tcBorders>
                    <w:tl2br w:val="nil"/>
                    <w:tr2bl w:val="nil"/>
                  </w:tcBorders>
                  <w:shd w:val="clear" w:color="auto" w:fill="auto"/>
                  <w:vAlign w:val="center"/>
                </w:tcPr>
                <w:p w14:paraId="1F1AEC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804" w:type="dxa"/>
                  <w:tcBorders>
                    <w:tl2br w:val="nil"/>
                    <w:tr2bl w:val="nil"/>
                  </w:tcBorders>
                  <w:shd w:val="clear" w:color="auto" w:fill="auto"/>
                  <w:vAlign w:val="center"/>
                </w:tcPr>
                <w:p w14:paraId="596EBC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688" w:type="dxa"/>
                  <w:tcBorders>
                    <w:tl2br w:val="nil"/>
                    <w:tr2bl w:val="nil"/>
                  </w:tcBorders>
                  <w:shd w:val="clear" w:color="auto" w:fill="auto"/>
                  <w:vAlign w:val="center"/>
                </w:tcPr>
                <w:p w14:paraId="58C6380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2400</w:t>
                  </w:r>
                </w:p>
              </w:tc>
            </w:tr>
            <w:tr w14:paraId="78CD025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continue"/>
                  <w:tcBorders>
                    <w:tl2br w:val="nil"/>
                    <w:tr2bl w:val="nil"/>
                  </w:tcBorders>
                  <w:shd w:val="clear" w:color="auto" w:fill="auto"/>
                  <w:vAlign w:val="center"/>
                </w:tcPr>
                <w:p w14:paraId="3A9B902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shd w:val="clear" w:color="auto" w:fill="auto"/>
                  <w:vAlign w:val="center"/>
                </w:tcPr>
                <w:p w14:paraId="0728198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p>
              </w:tc>
              <w:tc>
                <w:tcPr>
                  <w:tcW w:w="763" w:type="dxa"/>
                  <w:tcBorders>
                    <w:tl2br w:val="nil"/>
                    <w:tr2bl w:val="nil"/>
                  </w:tcBorders>
                  <w:shd w:val="clear" w:color="auto" w:fill="auto"/>
                  <w:vAlign w:val="center"/>
                </w:tcPr>
                <w:p w14:paraId="08C693B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臭气浓度</w:t>
                  </w:r>
                </w:p>
              </w:tc>
              <w:tc>
                <w:tcPr>
                  <w:tcW w:w="1107" w:type="dxa"/>
                  <w:tcBorders>
                    <w:tl2br w:val="nil"/>
                    <w:tr2bl w:val="nil"/>
                  </w:tcBorders>
                  <w:shd w:val="clear" w:color="auto" w:fill="auto"/>
                  <w:vAlign w:val="center"/>
                </w:tcPr>
                <w:p w14:paraId="5267C7B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7A7DD26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572" w:type="dxa"/>
                  <w:tcBorders>
                    <w:tl2br w:val="nil"/>
                    <w:tr2bl w:val="nil"/>
                  </w:tcBorders>
                  <w:shd w:val="clear" w:color="auto" w:fill="auto"/>
                  <w:vAlign w:val="center"/>
                </w:tcPr>
                <w:p w14:paraId="11473E6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5E4FC13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0E58D6B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1E398F7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6C2B07B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4233DF2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7CA9696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2A0AAE1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933" w:type="dxa"/>
                  <w:tcBorders>
                    <w:tl2br w:val="nil"/>
                    <w:tr2bl w:val="nil"/>
                  </w:tcBorders>
                  <w:shd w:val="clear" w:color="auto" w:fill="auto"/>
                  <w:vAlign w:val="center"/>
                </w:tcPr>
                <w:p w14:paraId="215FC50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804" w:type="dxa"/>
                  <w:tcBorders>
                    <w:tl2br w:val="nil"/>
                    <w:tr2bl w:val="nil"/>
                  </w:tcBorders>
                  <w:shd w:val="clear" w:color="auto" w:fill="auto"/>
                  <w:vAlign w:val="center"/>
                </w:tcPr>
                <w:p w14:paraId="61F505B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688" w:type="dxa"/>
                  <w:tcBorders>
                    <w:tl2br w:val="nil"/>
                    <w:tr2bl w:val="nil"/>
                  </w:tcBorders>
                  <w:shd w:val="clear" w:color="auto" w:fill="auto"/>
                  <w:vAlign w:val="center"/>
                </w:tcPr>
                <w:p w14:paraId="2618375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2400</w:t>
                  </w:r>
                </w:p>
              </w:tc>
            </w:tr>
            <w:tr w14:paraId="22F7B76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restart"/>
                  <w:tcBorders>
                    <w:tl2br w:val="nil"/>
                    <w:tr2bl w:val="nil"/>
                  </w:tcBorders>
                  <w:shd w:val="clear" w:color="auto" w:fill="auto"/>
                  <w:vAlign w:val="center"/>
                </w:tcPr>
                <w:p w14:paraId="6ADD95D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制芯、制壳</w:t>
                  </w:r>
                  <w:r>
                    <w:rPr>
                      <w:rFonts w:hint="eastAsia" w:ascii="Times New Roman" w:hAnsi="Times New Roman" w:cs="Times New Roman"/>
                      <w:color w:val="auto"/>
                      <w:sz w:val="21"/>
                      <w:szCs w:val="21"/>
                      <w:highlight w:val="none"/>
                      <w:lang w:val="en-US" w:eastAsia="zh-CN"/>
                    </w:rPr>
                    <w:t>、</w:t>
                  </w:r>
                </w:p>
                <w:p w14:paraId="004791D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浇注</w:t>
                  </w:r>
                </w:p>
              </w:tc>
              <w:tc>
                <w:tcPr>
                  <w:tcW w:w="582" w:type="dxa"/>
                  <w:vMerge w:val="restart"/>
                  <w:tcBorders>
                    <w:tl2br w:val="nil"/>
                    <w:tr2bl w:val="nil"/>
                  </w:tcBorders>
                  <w:shd w:val="clear" w:color="auto" w:fill="auto"/>
                  <w:vAlign w:val="center"/>
                </w:tcPr>
                <w:p w14:paraId="584B847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自动射芯机/浇注</w:t>
                  </w:r>
                </w:p>
              </w:tc>
              <w:tc>
                <w:tcPr>
                  <w:tcW w:w="763" w:type="dxa"/>
                  <w:tcBorders>
                    <w:tl2br w:val="nil"/>
                    <w:tr2bl w:val="nil"/>
                  </w:tcBorders>
                  <w:shd w:val="clear" w:color="auto" w:fill="auto"/>
                  <w:vAlign w:val="center"/>
                </w:tcPr>
                <w:p w14:paraId="7AB3ADE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107" w:type="dxa"/>
                  <w:tcBorders>
                    <w:tl2br w:val="nil"/>
                    <w:tr2bl w:val="nil"/>
                  </w:tcBorders>
                  <w:shd w:val="clear" w:color="auto" w:fill="auto"/>
                  <w:vAlign w:val="center"/>
                </w:tcPr>
                <w:p w14:paraId="6C2C754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26AFAD9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0.0086</w:t>
                  </w:r>
                </w:p>
              </w:tc>
              <w:tc>
                <w:tcPr>
                  <w:tcW w:w="572" w:type="dxa"/>
                  <w:tcBorders>
                    <w:tl2br w:val="nil"/>
                    <w:tr2bl w:val="nil"/>
                  </w:tcBorders>
                  <w:shd w:val="clear" w:color="auto" w:fill="auto"/>
                  <w:vAlign w:val="center"/>
                </w:tcPr>
                <w:p w14:paraId="6C9AF38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76E23D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710088D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0636C84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0EFB2CA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1282669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42F265C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0FA048C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933" w:type="dxa"/>
                  <w:tcBorders>
                    <w:tl2br w:val="nil"/>
                    <w:tr2bl w:val="nil"/>
                  </w:tcBorders>
                  <w:shd w:val="clear" w:color="auto" w:fill="auto"/>
                  <w:vAlign w:val="center"/>
                </w:tcPr>
                <w:p w14:paraId="7B48060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0.0036</w:t>
                  </w:r>
                </w:p>
              </w:tc>
              <w:tc>
                <w:tcPr>
                  <w:tcW w:w="804" w:type="dxa"/>
                  <w:tcBorders>
                    <w:tl2br w:val="nil"/>
                    <w:tr2bl w:val="nil"/>
                  </w:tcBorders>
                  <w:shd w:val="clear" w:color="auto" w:fill="auto"/>
                  <w:vAlign w:val="center"/>
                </w:tcPr>
                <w:p w14:paraId="2E2836D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0.0086</w:t>
                  </w:r>
                </w:p>
              </w:tc>
              <w:tc>
                <w:tcPr>
                  <w:tcW w:w="688" w:type="dxa"/>
                  <w:tcBorders>
                    <w:tl2br w:val="nil"/>
                    <w:tr2bl w:val="nil"/>
                  </w:tcBorders>
                  <w:shd w:val="clear" w:color="auto" w:fill="auto"/>
                  <w:vAlign w:val="center"/>
                </w:tcPr>
                <w:p w14:paraId="165C42A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2400</w:t>
                  </w:r>
                </w:p>
              </w:tc>
            </w:tr>
            <w:tr w14:paraId="79D3F14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87" w:type="dxa"/>
                  <w:vMerge w:val="continue"/>
                  <w:tcBorders>
                    <w:tl2br w:val="nil"/>
                    <w:tr2bl w:val="nil"/>
                  </w:tcBorders>
                  <w:shd w:val="clear" w:color="auto" w:fill="auto"/>
                  <w:vAlign w:val="center"/>
                </w:tcPr>
                <w:p w14:paraId="668ADDC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p>
              </w:tc>
              <w:tc>
                <w:tcPr>
                  <w:tcW w:w="582" w:type="dxa"/>
                  <w:vMerge w:val="continue"/>
                  <w:tcBorders>
                    <w:tl2br w:val="nil"/>
                    <w:tr2bl w:val="nil"/>
                  </w:tcBorders>
                  <w:shd w:val="clear" w:color="auto" w:fill="auto"/>
                  <w:vAlign w:val="center"/>
                </w:tcPr>
                <w:p w14:paraId="43B8EFE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p>
              </w:tc>
              <w:tc>
                <w:tcPr>
                  <w:tcW w:w="763" w:type="dxa"/>
                  <w:tcBorders>
                    <w:tl2br w:val="nil"/>
                    <w:tr2bl w:val="nil"/>
                  </w:tcBorders>
                  <w:shd w:val="clear" w:color="auto" w:fill="auto"/>
                  <w:vAlign w:val="center"/>
                </w:tcPr>
                <w:p w14:paraId="57A7840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107" w:type="dxa"/>
                  <w:tcBorders>
                    <w:tl2br w:val="nil"/>
                    <w:tr2bl w:val="nil"/>
                  </w:tcBorders>
                  <w:shd w:val="clear" w:color="auto" w:fill="auto"/>
                  <w:vAlign w:val="center"/>
                </w:tcPr>
                <w:p w14:paraId="01B7F0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9" w:type="dxa"/>
                  <w:tcBorders>
                    <w:tl2br w:val="nil"/>
                    <w:tr2bl w:val="nil"/>
                  </w:tcBorders>
                  <w:shd w:val="clear" w:color="auto" w:fill="auto"/>
                  <w:vAlign w:val="center"/>
                </w:tcPr>
                <w:p w14:paraId="0A5A6EF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0.00156</w:t>
                  </w:r>
                </w:p>
              </w:tc>
              <w:tc>
                <w:tcPr>
                  <w:tcW w:w="572" w:type="dxa"/>
                  <w:tcBorders>
                    <w:tl2br w:val="nil"/>
                    <w:tr2bl w:val="nil"/>
                  </w:tcBorders>
                  <w:shd w:val="clear" w:color="auto" w:fill="auto"/>
                  <w:vAlign w:val="center"/>
                </w:tcPr>
                <w:p w14:paraId="3B2D37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00" w:type="dxa"/>
                  <w:tcBorders>
                    <w:tl2br w:val="nil"/>
                    <w:tr2bl w:val="nil"/>
                  </w:tcBorders>
                  <w:shd w:val="clear" w:color="auto" w:fill="auto"/>
                  <w:vAlign w:val="center"/>
                </w:tcPr>
                <w:p w14:paraId="6DFA74E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41" w:type="dxa"/>
                  <w:tcBorders>
                    <w:tl2br w:val="nil"/>
                    <w:tr2bl w:val="nil"/>
                  </w:tcBorders>
                  <w:shd w:val="clear" w:color="auto" w:fill="auto"/>
                  <w:vAlign w:val="center"/>
                </w:tcPr>
                <w:p w14:paraId="327A327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无组织</w:t>
                  </w:r>
                </w:p>
              </w:tc>
              <w:tc>
                <w:tcPr>
                  <w:tcW w:w="943" w:type="dxa"/>
                  <w:tcBorders>
                    <w:tl2br w:val="nil"/>
                    <w:tr2bl w:val="nil"/>
                  </w:tcBorders>
                  <w:shd w:val="clear" w:color="auto" w:fill="auto"/>
                  <w:vAlign w:val="center"/>
                </w:tcPr>
                <w:p w14:paraId="62DB304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813" w:type="dxa"/>
                  <w:tcBorders>
                    <w:tl2br w:val="nil"/>
                    <w:tr2bl w:val="nil"/>
                  </w:tcBorders>
                  <w:shd w:val="clear" w:color="auto" w:fill="auto"/>
                  <w:vAlign w:val="center"/>
                </w:tcPr>
                <w:p w14:paraId="490F66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50" w:type="dxa"/>
                  <w:tcBorders>
                    <w:tl2br w:val="nil"/>
                    <w:tr2bl w:val="nil"/>
                  </w:tcBorders>
                  <w:shd w:val="clear" w:color="auto" w:fill="auto"/>
                  <w:vAlign w:val="center"/>
                </w:tcPr>
                <w:p w14:paraId="13DECE7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773" w:type="dxa"/>
                  <w:tcBorders>
                    <w:tl2br w:val="nil"/>
                    <w:tr2bl w:val="nil"/>
                  </w:tcBorders>
                  <w:shd w:val="clear" w:color="auto" w:fill="auto"/>
                  <w:vAlign w:val="center"/>
                </w:tcPr>
                <w:p w14:paraId="24B8E95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是</w:t>
                  </w:r>
                </w:p>
              </w:tc>
              <w:tc>
                <w:tcPr>
                  <w:tcW w:w="1104" w:type="dxa"/>
                  <w:tcBorders>
                    <w:tl2br w:val="nil"/>
                    <w:tr2bl w:val="nil"/>
                  </w:tcBorders>
                  <w:shd w:val="clear" w:color="auto" w:fill="auto"/>
                  <w:vAlign w:val="center"/>
                </w:tcPr>
                <w:p w14:paraId="018C7AB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w:t>
                  </w:r>
                </w:p>
              </w:tc>
              <w:tc>
                <w:tcPr>
                  <w:tcW w:w="933" w:type="dxa"/>
                  <w:tcBorders>
                    <w:tl2br w:val="nil"/>
                    <w:tr2bl w:val="nil"/>
                  </w:tcBorders>
                  <w:shd w:val="clear" w:color="auto" w:fill="auto"/>
                  <w:vAlign w:val="center"/>
                </w:tcPr>
                <w:p w14:paraId="7B02FE7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0.00065</w:t>
                  </w:r>
                </w:p>
              </w:tc>
              <w:tc>
                <w:tcPr>
                  <w:tcW w:w="804" w:type="dxa"/>
                  <w:tcBorders>
                    <w:tl2br w:val="nil"/>
                    <w:tr2bl w:val="nil"/>
                  </w:tcBorders>
                  <w:shd w:val="clear" w:color="auto" w:fill="auto"/>
                  <w:vAlign w:val="center"/>
                </w:tcPr>
                <w:p w14:paraId="639D632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0.00156</w:t>
                  </w:r>
                </w:p>
              </w:tc>
              <w:tc>
                <w:tcPr>
                  <w:tcW w:w="688" w:type="dxa"/>
                  <w:tcBorders>
                    <w:tl2br w:val="nil"/>
                    <w:tr2bl w:val="nil"/>
                  </w:tcBorders>
                  <w:shd w:val="clear" w:color="auto" w:fill="auto"/>
                  <w:vAlign w:val="center"/>
                </w:tcPr>
                <w:p w14:paraId="109459D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2400</w:t>
                  </w:r>
                </w:p>
              </w:tc>
            </w:tr>
          </w:tbl>
          <w:p w14:paraId="7E651EB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4、排污许可</w:t>
            </w:r>
          </w:p>
          <w:p w14:paraId="432B545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项目属于</w:t>
            </w:r>
            <w:r>
              <w:rPr>
                <w:rFonts w:hint="eastAsia" w:ascii="Times New Roman" w:hAnsi="Times New Roman" w:cs="Times New Roman"/>
                <w:color w:val="auto"/>
                <w:lang w:eastAsia="zh-CN"/>
              </w:rPr>
              <w:t>C3391黑色金属铸造</w:t>
            </w:r>
            <w:r>
              <w:rPr>
                <w:rFonts w:hint="default" w:ascii="Times New Roman" w:hAnsi="Times New Roman" w:cs="Times New Roman"/>
                <w:color w:val="auto"/>
              </w:rPr>
              <w:t>，根据《排污许可管理名录》，排污许可管理要求如下。</w:t>
            </w:r>
          </w:p>
          <w:p w14:paraId="4575FBA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ascii="Times New Roman" w:hAnsi="Times New Roman" w:cs="Times New Roman"/>
                <w:b/>
                <w:bCs/>
                <w:color w:val="auto"/>
                <w:lang w:val="en-US" w:eastAsia="zh-CN"/>
              </w:rPr>
              <w:t>5</w:t>
            </w:r>
            <w:r>
              <w:rPr>
                <w:rFonts w:hint="default" w:ascii="Times New Roman" w:hAnsi="Times New Roman" w:cs="Times New Roman"/>
                <w:b/>
                <w:bCs/>
                <w:color w:val="auto"/>
              </w:rPr>
              <w:t>排污许可管理名录信息表</w:t>
            </w:r>
          </w:p>
          <w:p w14:paraId="77E30487">
            <w:pPr>
              <w:spacing w:line="147" w:lineRule="exact"/>
              <w:rPr>
                <w:rFonts w:hint="default" w:ascii="Times New Roman" w:hAnsi="Times New Roman" w:cs="Times New Roman"/>
                <w:color w:val="auto"/>
              </w:rPr>
            </w:pPr>
          </w:p>
          <w:tbl>
            <w:tblPr>
              <w:tblStyle w:val="21"/>
              <w:tblW w:w="13039"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2766"/>
              <w:gridCol w:w="10273"/>
            </w:tblGrid>
            <w:tr w14:paraId="669D741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2766" w:type="dxa"/>
                  <w:tcBorders>
                    <w:tl2br w:val="nil"/>
                    <w:tr2bl w:val="nil"/>
                  </w:tcBorders>
                  <w:vAlign w:val="top"/>
                </w:tcPr>
                <w:p w14:paraId="2D0FA157">
                  <w:pPr>
                    <w:pStyle w:val="22"/>
                    <w:spacing w:before="125" w:line="221" w:lineRule="auto"/>
                    <w:ind w:left="943"/>
                    <w:rPr>
                      <w:rFonts w:hint="default" w:ascii="Times New Roman" w:hAnsi="Times New Roman" w:cs="Times New Roman"/>
                      <w:b/>
                      <w:bCs/>
                      <w:color w:val="auto"/>
                      <w:sz w:val="21"/>
                      <w:szCs w:val="21"/>
                    </w:rPr>
                  </w:pPr>
                  <w:r>
                    <w:rPr>
                      <w:rFonts w:hint="default" w:ascii="Times New Roman" w:hAnsi="Times New Roman" w:cs="Times New Roman"/>
                      <w:b/>
                      <w:bCs/>
                      <w:color w:val="auto"/>
                      <w:spacing w:val="-2"/>
                      <w:sz w:val="21"/>
                      <w:szCs w:val="21"/>
                    </w:rPr>
                    <w:t>一级行业类别</w:t>
                  </w:r>
                </w:p>
              </w:tc>
              <w:tc>
                <w:tcPr>
                  <w:tcW w:w="10273" w:type="dxa"/>
                  <w:tcBorders>
                    <w:tl2br w:val="nil"/>
                    <w:tr2bl w:val="nil"/>
                  </w:tcBorders>
                  <w:vAlign w:val="center"/>
                </w:tcPr>
                <w:p w14:paraId="4EC8CE1F">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二十八、金属制品业 33</w:t>
                  </w:r>
                </w:p>
              </w:tc>
            </w:tr>
            <w:tr w14:paraId="54E91E1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3" w:hRule="atLeast"/>
                <w:jc w:val="center"/>
              </w:trPr>
              <w:tc>
                <w:tcPr>
                  <w:tcW w:w="2766" w:type="dxa"/>
                  <w:tcBorders>
                    <w:tl2br w:val="nil"/>
                    <w:tr2bl w:val="nil"/>
                  </w:tcBorders>
                  <w:vAlign w:val="center"/>
                </w:tcPr>
                <w:p w14:paraId="0FC6B981">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二级行业类别</w:t>
                  </w:r>
                </w:p>
              </w:tc>
              <w:tc>
                <w:tcPr>
                  <w:tcW w:w="10273" w:type="dxa"/>
                  <w:tcBorders>
                    <w:tl2br w:val="nil"/>
                    <w:tr2bl w:val="nil"/>
                  </w:tcBorders>
                  <w:vAlign w:val="center"/>
                </w:tcPr>
                <w:p w14:paraId="662A241E">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铸造及其他金属制品制造 339</w:t>
                  </w:r>
                </w:p>
              </w:tc>
            </w:tr>
            <w:tr w14:paraId="6A06CEF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9" w:hRule="atLeast"/>
                <w:jc w:val="center"/>
              </w:trPr>
              <w:tc>
                <w:tcPr>
                  <w:tcW w:w="2766" w:type="dxa"/>
                  <w:tcBorders>
                    <w:tl2br w:val="nil"/>
                    <w:tr2bl w:val="nil"/>
                  </w:tcBorders>
                  <w:vAlign w:val="center"/>
                </w:tcPr>
                <w:p w14:paraId="1CE31614">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重点管理</w:t>
                  </w:r>
                </w:p>
              </w:tc>
              <w:tc>
                <w:tcPr>
                  <w:tcW w:w="10273" w:type="dxa"/>
                  <w:tcBorders>
                    <w:tl2br w:val="nil"/>
                    <w:tr2bl w:val="nil"/>
                  </w:tcBorders>
                  <w:vAlign w:val="center"/>
                </w:tcPr>
                <w:p w14:paraId="31F1478B">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黑色金属铸造 3391（使用冲天炉的），有色金属铸造 3392（生产铅基及铅青铜铸件的）</w:t>
                  </w:r>
                </w:p>
              </w:tc>
            </w:tr>
            <w:tr w14:paraId="31468F9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2766" w:type="dxa"/>
                  <w:tcBorders>
                    <w:tl2br w:val="nil"/>
                    <w:tr2bl w:val="nil"/>
                  </w:tcBorders>
                  <w:vAlign w:val="center"/>
                </w:tcPr>
                <w:p w14:paraId="50BB70FF">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简化管理</w:t>
                  </w:r>
                </w:p>
              </w:tc>
              <w:tc>
                <w:tcPr>
                  <w:tcW w:w="10273" w:type="dxa"/>
                  <w:tcBorders>
                    <w:tl2br w:val="nil"/>
                    <w:tr2bl w:val="nil"/>
                  </w:tcBorders>
                  <w:shd w:val="clear" w:color="auto" w:fill="D7D7D7" w:themeFill="background1" w:themeFillShade="D8"/>
                  <w:vAlign w:val="center"/>
                </w:tcPr>
                <w:p w14:paraId="7A219767">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除重点管理以外的黑色金属铸造3391、有色金属铸造 3392</w:t>
                  </w:r>
                </w:p>
              </w:tc>
            </w:tr>
            <w:tr w14:paraId="63AFD55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64" w:hRule="atLeast"/>
                <w:jc w:val="center"/>
              </w:trPr>
              <w:tc>
                <w:tcPr>
                  <w:tcW w:w="2766" w:type="dxa"/>
                  <w:tcBorders>
                    <w:tl2br w:val="nil"/>
                    <w:tr2bl w:val="nil"/>
                  </w:tcBorders>
                  <w:vAlign w:val="center"/>
                </w:tcPr>
                <w:p w14:paraId="20FD7892">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登记管理</w:t>
                  </w:r>
                </w:p>
              </w:tc>
              <w:tc>
                <w:tcPr>
                  <w:tcW w:w="10273" w:type="dxa"/>
                  <w:tcBorders>
                    <w:tl2br w:val="nil"/>
                    <w:tr2bl w:val="nil"/>
                  </w:tcBorders>
                  <w:shd w:val="clear" w:color="auto" w:fill="auto"/>
                  <w:vAlign w:val="center"/>
                </w:tcPr>
                <w:p w14:paraId="33CCAC2E">
                  <w:pPr>
                    <w:pStyle w:val="22"/>
                    <w:keepNext w:val="0"/>
                    <w:keepLines w:val="0"/>
                    <w:pageBreakBefore w:val="0"/>
                    <w:widowControl/>
                    <w:kinsoku/>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w:t>
                  </w:r>
                </w:p>
              </w:tc>
            </w:tr>
          </w:tbl>
          <w:p w14:paraId="1D341E6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由</w:t>
            </w:r>
            <w:r>
              <w:rPr>
                <w:rFonts w:hint="eastAsia" w:ascii="Times New Roman" w:hAnsi="Times New Roman" w:cs="Times New Roman"/>
                <w:color w:val="auto"/>
                <w:lang w:val="en-US" w:eastAsia="zh-CN"/>
              </w:rPr>
              <w:t>此</w:t>
            </w:r>
            <w:r>
              <w:rPr>
                <w:rFonts w:hint="default" w:ascii="Times New Roman" w:hAnsi="Times New Roman" w:cs="Times New Roman"/>
                <w:color w:val="auto"/>
              </w:rPr>
              <w:t>可知，项目排污许可管理要求为</w:t>
            </w:r>
            <w:r>
              <w:rPr>
                <w:rFonts w:hint="eastAsia" w:ascii="Times New Roman" w:hAnsi="Times New Roman" w:cs="Times New Roman"/>
                <w:color w:val="auto"/>
                <w:lang w:val="en-US" w:eastAsia="zh-CN"/>
              </w:rPr>
              <w:t>简化</w:t>
            </w:r>
            <w:r>
              <w:rPr>
                <w:rFonts w:hint="default" w:ascii="Times New Roman" w:hAnsi="Times New Roman" w:cs="Times New Roman"/>
                <w:color w:val="auto"/>
              </w:rPr>
              <w:t>管理，</w:t>
            </w:r>
            <w:r>
              <w:rPr>
                <w:rFonts w:hint="default" w:ascii="Times New Roman" w:hAnsi="Times New Roman" w:cs="Times New Roman"/>
                <w:color w:val="auto"/>
                <w:lang w:val="en-US" w:eastAsia="zh-CN"/>
              </w:rPr>
              <w:t>项目建成后</w:t>
            </w:r>
            <w:r>
              <w:rPr>
                <w:rFonts w:hint="default" w:ascii="Times New Roman" w:hAnsi="Times New Roman" w:cs="Times New Roman"/>
                <w:color w:val="auto"/>
              </w:rPr>
              <w:t>需要按照国家及当地主管部门要求依法</w:t>
            </w:r>
            <w:r>
              <w:rPr>
                <w:rFonts w:hint="eastAsia" w:ascii="Times New Roman" w:hAnsi="Times New Roman" w:cs="Times New Roman"/>
                <w:color w:val="auto"/>
                <w:lang w:val="en-US" w:eastAsia="zh-CN"/>
              </w:rPr>
              <w:t>重新申领排污许可证</w:t>
            </w:r>
            <w:r>
              <w:rPr>
                <w:rFonts w:hint="default" w:ascii="Times New Roman" w:hAnsi="Times New Roman" w:cs="Times New Roman"/>
                <w:color w:val="auto"/>
              </w:rPr>
              <w:t>。</w:t>
            </w:r>
          </w:p>
          <w:p w14:paraId="7F89B1C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5、排放口基本情况、排放标准</w:t>
            </w:r>
          </w:p>
          <w:p w14:paraId="07B1FF1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ascii="Times New Roman" w:hAnsi="Times New Roman" w:cs="Times New Roman"/>
                <w:b/>
                <w:bCs/>
                <w:color w:val="auto"/>
                <w:lang w:val="en-US" w:eastAsia="zh-CN"/>
              </w:rPr>
              <w:t>6</w:t>
            </w:r>
            <w:r>
              <w:rPr>
                <w:rFonts w:hint="default" w:ascii="Times New Roman" w:hAnsi="Times New Roman" w:cs="Times New Roman"/>
                <w:b/>
                <w:bCs/>
                <w:color w:val="auto"/>
              </w:rPr>
              <w:t>排放口基本情况、排放标准信息表</w:t>
            </w:r>
          </w:p>
          <w:p w14:paraId="11BD424C">
            <w:pPr>
              <w:spacing w:line="146" w:lineRule="exact"/>
              <w:rPr>
                <w:rFonts w:hint="default" w:ascii="Times New Roman" w:hAnsi="Times New Roman" w:cs="Times New Roman"/>
                <w:color w:val="auto"/>
              </w:rPr>
            </w:pPr>
          </w:p>
          <w:tbl>
            <w:tblPr>
              <w:tblStyle w:val="21"/>
              <w:tblW w:w="1303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3"/>
              <w:gridCol w:w="753"/>
              <w:gridCol w:w="753"/>
              <w:gridCol w:w="867"/>
              <w:gridCol w:w="1545"/>
              <w:gridCol w:w="913"/>
              <w:gridCol w:w="793"/>
              <w:gridCol w:w="881"/>
              <w:gridCol w:w="3509"/>
              <w:gridCol w:w="1189"/>
              <w:gridCol w:w="1073"/>
            </w:tblGrid>
            <w:tr w14:paraId="133CF4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jc w:val="center"/>
              </w:trPr>
              <w:tc>
                <w:tcPr>
                  <w:tcW w:w="763" w:type="dxa"/>
                  <w:vMerge w:val="restart"/>
                  <w:tcBorders>
                    <w:bottom w:val="nil"/>
                  </w:tcBorders>
                  <w:vAlign w:val="center"/>
                </w:tcPr>
                <w:p w14:paraId="738963E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编号</w:t>
                  </w:r>
                </w:p>
              </w:tc>
              <w:tc>
                <w:tcPr>
                  <w:tcW w:w="753" w:type="dxa"/>
                  <w:vMerge w:val="restart"/>
                  <w:tcBorders>
                    <w:bottom w:val="nil"/>
                  </w:tcBorders>
                  <w:vAlign w:val="center"/>
                </w:tcPr>
                <w:p w14:paraId="55224F3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名称</w:t>
                  </w:r>
                </w:p>
              </w:tc>
              <w:tc>
                <w:tcPr>
                  <w:tcW w:w="753" w:type="dxa"/>
                  <w:vMerge w:val="restart"/>
                  <w:tcBorders>
                    <w:bottom w:val="nil"/>
                  </w:tcBorders>
                  <w:vAlign w:val="center"/>
                </w:tcPr>
                <w:p w14:paraId="0B66A8C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类型</w:t>
                  </w:r>
                </w:p>
              </w:tc>
              <w:tc>
                <w:tcPr>
                  <w:tcW w:w="867" w:type="dxa"/>
                  <w:vMerge w:val="restart"/>
                  <w:tcBorders>
                    <w:bottom w:val="nil"/>
                  </w:tcBorders>
                  <w:vAlign w:val="center"/>
                </w:tcPr>
                <w:p w14:paraId="562E515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污染物</w:t>
                  </w:r>
                  <w:r>
                    <w:rPr>
                      <w:rFonts w:hint="default" w:ascii="Times New Roman" w:hAnsi="Times New Roman" w:eastAsia="宋体" w:cs="Times New Roman"/>
                      <w:b/>
                      <w:bCs/>
                      <w:color w:val="auto"/>
                      <w:spacing w:val="-2"/>
                      <w:sz w:val="21"/>
                      <w:szCs w:val="21"/>
                    </w:rPr>
                    <w:t>种类</w:t>
                  </w:r>
                </w:p>
              </w:tc>
              <w:tc>
                <w:tcPr>
                  <w:tcW w:w="1545" w:type="dxa"/>
                  <w:vMerge w:val="restart"/>
                  <w:tcBorders>
                    <w:bottom w:val="nil"/>
                  </w:tcBorders>
                  <w:vAlign w:val="center"/>
                </w:tcPr>
                <w:p w14:paraId="72AFE8C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3"/>
                      <w:sz w:val="21"/>
                      <w:szCs w:val="21"/>
                    </w:rPr>
                  </w:pPr>
                  <w:r>
                    <w:rPr>
                      <w:rFonts w:hint="default" w:ascii="Times New Roman" w:hAnsi="Times New Roman" w:eastAsia="宋体" w:cs="Times New Roman"/>
                      <w:b/>
                      <w:bCs/>
                      <w:color w:val="auto"/>
                      <w:spacing w:val="-3"/>
                      <w:sz w:val="21"/>
                      <w:szCs w:val="21"/>
                    </w:rPr>
                    <w:t>地理坐标</w:t>
                  </w:r>
                </w:p>
              </w:tc>
              <w:tc>
                <w:tcPr>
                  <w:tcW w:w="913" w:type="dxa"/>
                  <w:vMerge w:val="restart"/>
                  <w:tcBorders>
                    <w:bottom w:val="nil"/>
                  </w:tcBorders>
                  <w:vAlign w:val="center"/>
                </w:tcPr>
                <w:p w14:paraId="3FB4C16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2"/>
                      <w:sz w:val="21"/>
                      <w:szCs w:val="21"/>
                    </w:rPr>
                    <w:t>高度（m）</w:t>
                  </w:r>
                </w:p>
              </w:tc>
              <w:tc>
                <w:tcPr>
                  <w:tcW w:w="793" w:type="dxa"/>
                  <w:vMerge w:val="restart"/>
                  <w:tcBorders>
                    <w:bottom w:val="nil"/>
                  </w:tcBorders>
                  <w:vAlign w:val="center"/>
                </w:tcPr>
                <w:p w14:paraId="582B02E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8"/>
                      <w:sz w:val="21"/>
                      <w:szCs w:val="21"/>
                    </w:rPr>
                    <w:t>出口内径（m）</w:t>
                  </w:r>
                </w:p>
              </w:tc>
              <w:tc>
                <w:tcPr>
                  <w:tcW w:w="881" w:type="dxa"/>
                  <w:vMerge w:val="restart"/>
                  <w:tcBorders>
                    <w:bottom w:val="nil"/>
                  </w:tcBorders>
                  <w:vAlign w:val="center"/>
                </w:tcPr>
                <w:p w14:paraId="38A5011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温度</w:t>
                  </w:r>
                </w:p>
                <w:p w14:paraId="4CA092C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5"/>
                      <w:sz w:val="21"/>
                      <w:szCs w:val="21"/>
                    </w:rPr>
                    <w:t>(℃)</w:t>
                  </w:r>
                </w:p>
              </w:tc>
              <w:tc>
                <w:tcPr>
                  <w:tcW w:w="5771" w:type="dxa"/>
                  <w:gridSpan w:val="3"/>
                  <w:vAlign w:val="center"/>
                </w:tcPr>
                <w:p w14:paraId="33D961A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国家或地方污染物排放标准</w:t>
                  </w:r>
                </w:p>
              </w:tc>
            </w:tr>
            <w:tr w14:paraId="2F0BC4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jc w:val="center"/>
              </w:trPr>
              <w:tc>
                <w:tcPr>
                  <w:tcW w:w="763" w:type="dxa"/>
                  <w:vMerge w:val="continue"/>
                  <w:tcBorders>
                    <w:top w:val="nil"/>
                  </w:tcBorders>
                  <w:vAlign w:val="center"/>
                </w:tcPr>
                <w:p w14:paraId="322AEB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753" w:type="dxa"/>
                  <w:vMerge w:val="continue"/>
                  <w:tcBorders>
                    <w:top w:val="nil"/>
                  </w:tcBorders>
                  <w:vAlign w:val="center"/>
                </w:tcPr>
                <w:p w14:paraId="657690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753" w:type="dxa"/>
                  <w:vMerge w:val="continue"/>
                  <w:tcBorders>
                    <w:top w:val="nil"/>
                  </w:tcBorders>
                  <w:vAlign w:val="center"/>
                </w:tcPr>
                <w:p w14:paraId="29D861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867" w:type="dxa"/>
                  <w:vMerge w:val="continue"/>
                  <w:tcBorders>
                    <w:top w:val="nil"/>
                  </w:tcBorders>
                  <w:vAlign w:val="center"/>
                </w:tcPr>
                <w:p w14:paraId="6304C5E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1545" w:type="dxa"/>
                  <w:vMerge w:val="continue"/>
                  <w:tcBorders>
                    <w:top w:val="nil"/>
                  </w:tcBorders>
                  <w:vAlign w:val="center"/>
                </w:tcPr>
                <w:p w14:paraId="2D567B1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3"/>
                      <w:sz w:val="21"/>
                      <w:szCs w:val="21"/>
                    </w:rPr>
                  </w:pPr>
                </w:p>
              </w:tc>
              <w:tc>
                <w:tcPr>
                  <w:tcW w:w="913" w:type="dxa"/>
                  <w:vMerge w:val="continue"/>
                  <w:tcBorders>
                    <w:top w:val="nil"/>
                  </w:tcBorders>
                  <w:vAlign w:val="center"/>
                </w:tcPr>
                <w:p w14:paraId="4A413D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793" w:type="dxa"/>
                  <w:vMerge w:val="continue"/>
                  <w:tcBorders>
                    <w:top w:val="nil"/>
                  </w:tcBorders>
                  <w:vAlign w:val="center"/>
                </w:tcPr>
                <w:p w14:paraId="28D04C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881" w:type="dxa"/>
                  <w:vMerge w:val="continue"/>
                  <w:tcBorders>
                    <w:top w:val="nil"/>
                  </w:tcBorders>
                  <w:vAlign w:val="center"/>
                </w:tcPr>
                <w:p w14:paraId="137E91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p>
              </w:tc>
              <w:tc>
                <w:tcPr>
                  <w:tcW w:w="3509" w:type="dxa"/>
                  <w:vAlign w:val="center"/>
                </w:tcPr>
                <w:p w14:paraId="3BD49E6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名称</w:t>
                  </w:r>
                </w:p>
              </w:tc>
              <w:tc>
                <w:tcPr>
                  <w:tcW w:w="1189" w:type="dxa"/>
                  <w:vAlign w:val="center"/>
                </w:tcPr>
                <w:p w14:paraId="65A9AD9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浓度限值</w:t>
                  </w:r>
                </w:p>
                <w:p w14:paraId="3CFB80C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（mg/Nm</w:t>
                  </w:r>
                  <w:r>
                    <w:rPr>
                      <w:rFonts w:hint="default" w:ascii="Times New Roman" w:hAnsi="Times New Roman" w:eastAsia="宋体" w:cs="Times New Roman"/>
                      <w:b/>
                      <w:bCs/>
                      <w:color w:val="auto"/>
                      <w:spacing w:val="-4"/>
                      <w:sz w:val="21"/>
                      <w:szCs w:val="21"/>
                      <w:vertAlign w:val="superscript"/>
                      <w:lang w:val="en-US" w:eastAsia="zh-CN"/>
                    </w:rPr>
                    <w:t>3</w:t>
                  </w:r>
                  <w:r>
                    <w:rPr>
                      <w:rFonts w:hint="default" w:ascii="Times New Roman" w:hAnsi="Times New Roman" w:eastAsia="宋体" w:cs="Times New Roman"/>
                      <w:b/>
                      <w:bCs/>
                      <w:color w:val="auto"/>
                      <w:spacing w:val="-4"/>
                      <w:sz w:val="21"/>
                      <w:szCs w:val="21"/>
                    </w:rPr>
                    <w:t>）</w:t>
                  </w:r>
                </w:p>
              </w:tc>
              <w:tc>
                <w:tcPr>
                  <w:tcW w:w="1073" w:type="dxa"/>
                  <w:vAlign w:val="center"/>
                </w:tcPr>
                <w:p w14:paraId="030D1E5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速率限值</w:t>
                  </w:r>
                </w:p>
                <w:p w14:paraId="42AE835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（kg/h）</w:t>
                  </w:r>
                </w:p>
              </w:tc>
            </w:tr>
            <w:tr w14:paraId="2F8BA8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restart"/>
                  <w:shd w:val="clear" w:color="auto" w:fill="auto"/>
                  <w:vAlign w:val="center"/>
                </w:tcPr>
                <w:p w14:paraId="6824CE2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rPr>
                    <w:t>DA001</w:t>
                  </w:r>
                </w:p>
              </w:tc>
              <w:tc>
                <w:tcPr>
                  <w:tcW w:w="753" w:type="dxa"/>
                  <w:vMerge w:val="restart"/>
                  <w:shd w:val="clear" w:color="auto" w:fill="auto"/>
                  <w:vAlign w:val="center"/>
                </w:tcPr>
                <w:p w14:paraId="2F7CF5E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电炉浇注西排气筒</w:t>
                  </w:r>
                </w:p>
              </w:tc>
              <w:tc>
                <w:tcPr>
                  <w:tcW w:w="753" w:type="dxa"/>
                  <w:vMerge w:val="restart"/>
                  <w:vAlign w:val="center"/>
                </w:tcPr>
                <w:p w14:paraId="5DEBABB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一般排</w:t>
                  </w:r>
                  <w:r>
                    <w:rPr>
                      <w:rFonts w:hint="default" w:ascii="Times New Roman" w:hAnsi="Times New Roman" w:eastAsia="宋体" w:cs="Times New Roman"/>
                      <w:color w:val="auto"/>
                      <w:spacing w:val="-2"/>
                      <w:sz w:val="21"/>
                      <w:szCs w:val="21"/>
                    </w:rPr>
                    <w:t>放口</w:t>
                  </w:r>
                </w:p>
              </w:tc>
              <w:tc>
                <w:tcPr>
                  <w:tcW w:w="867" w:type="dxa"/>
                  <w:shd w:val="clear" w:color="auto" w:fill="auto"/>
                  <w:vAlign w:val="center"/>
                </w:tcPr>
                <w:p w14:paraId="7CF5324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颗粒物</w:t>
                  </w:r>
                </w:p>
              </w:tc>
              <w:tc>
                <w:tcPr>
                  <w:tcW w:w="1545" w:type="dxa"/>
                  <w:vMerge w:val="restart"/>
                  <w:vAlign w:val="center"/>
                </w:tcPr>
                <w:p w14:paraId="7000DDF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117°59′6.023″,</w:t>
                  </w:r>
                </w:p>
                <w:p w14:paraId="03A4A9A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36°35′52.999″</w:t>
                  </w:r>
                </w:p>
              </w:tc>
              <w:tc>
                <w:tcPr>
                  <w:tcW w:w="913" w:type="dxa"/>
                  <w:vMerge w:val="restart"/>
                  <w:shd w:val="clear" w:color="auto" w:fill="auto"/>
                  <w:vAlign w:val="center"/>
                </w:tcPr>
                <w:p w14:paraId="29CF685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15</w:t>
                  </w:r>
                </w:p>
              </w:tc>
              <w:tc>
                <w:tcPr>
                  <w:tcW w:w="793" w:type="dxa"/>
                  <w:vMerge w:val="restart"/>
                  <w:shd w:val="clear" w:color="auto" w:fill="auto"/>
                  <w:vAlign w:val="center"/>
                </w:tcPr>
                <w:p w14:paraId="1DF0C84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r>
                    <w:rPr>
                      <w:rFonts w:hint="eastAsia" w:ascii="Times New Roman" w:hAnsi="Times New Roman" w:cs="Times New Roman"/>
                      <w:color w:val="auto"/>
                      <w:spacing w:val="-6"/>
                      <w:sz w:val="21"/>
                      <w:szCs w:val="21"/>
                      <w:highlight w:val="none"/>
                      <w:lang w:val="en-US" w:eastAsia="zh-CN"/>
                    </w:rPr>
                    <w:t>0.34</w:t>
                  </w:r>
                </w:p>
              </w:tc>
              <w:tc>
                <w:tcPr>
                  <w:tcW w:w="881" w:type="dxa"/>
                  <w:vMerge w:val="restart"/>
                  <w:shd w:val="clear" w:color="auto" w:fill="auto"/>
                  <w:vAlign w:val="center"/>
                </w:tcPr>
                <w:p w14:paraId="0C6CE07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60</w:t>
                  </w:r>
                </w:p>
              </w:tc>
              <w:tc>
                <w:tcPr>
                  <w:tcW w:w="3509" w:type="dxa"/>
                  <w:shd w:val="clear" w:color="auto" w:fill="auto"/>
                  <w:vAlign w:val="center"/>
                </w:tcPr>
                <w:p w14:paraId="498280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《区域性大气污染物综合排放标准》（DB37/2376-2019）表1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重点控制区</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大气污染物排放浓度限值</w:t>
                  </w:r>
                </w:p>
              </w:tc>
              <w:tc>
                <w:tcPr>
                  <w:tcW w:w="1189" w:type="dxa"/>
                  <w:shd w:val="clear" w:color="auto" w:fill="auto"/>
                  <w:vAlign w:val="center"/>
                </w:tcPr>
                <w:p w14:paraId="12A50AEF">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073" w:type="dxa"/>
                  <w:shd w:val="clear" w:color="auto" w:fill="auto"/>
                  <w:vAlign w:val="center"/>
                </w:tcPr>
                <w:p w14:paraId="4AFEBD0E">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44C61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shd w:val="clear" w:color="auto" w:fill="auto"/>
                  <w:vAlign w:val="center"/>
                </w:tcPr>
                <w:p w14:paraId="4F9DDAD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
                      <w:sz w:val="21"/>
                      <w:szCs w:val="21"/>
                    </w:rPr>
                  </w:pPr>
                </w:p>
              </w:tc>
              <w:tc>
                <w:tcPr>
                  <w:tcW w:w="753" w:type="dxa"/>
                  <w:vMerge w:val="continue"/>
                  <w:shd w:val="clear" w:color="auto" w:fill="auto"/>
                  <w:vAlign w:val="center"/>
                </w:tcPr>
                <w:p w14:paraId="12BE8D3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snapToGrid w:val="0"/>
                      <w:color w:val="auto"/>
                      <w:kern w:val="0"/>
                      <w:sz w:val="21"/>
                      <w:szCs w:val="21"/>
                      <w:lang w:val="en-US" w:eastAsia="zh-CN" w:bidi="ar-SA"/>
                    </w:rPr>
                  </w:pPr>
                </w:p>
              </w:tc>
              <w:tc>
                <w:tcPr>
                  <w:tcW w:w="753" w:type="dxa"/>
                  <w:vMerge w:val="continue"/>
                  <w:vAlign w:val="center"/>
                </w:tcPr>
                <w:p w14:paraId="79F2046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4B6DFAC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VOCs</w:t>
                  </w:r>
                </w:p>
              </w:tc>
              <w:tc>
                <w:tcPr>
                  <w:tcW w:w="1545" w:type="dxa"/>
                  <w:vMerge w:val="continue"/>
                  <w:vAlign w:val="center"/>
                </w:tcPr>
                <w:p w14:paraId="37BC821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shd w:val="clear" w:color="auto" w:fill="auto"/>
                  <w:vAlign w:val="center"/>
                </w:tcPr>
                <w:p w14:paraId="45AB60A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6"/>
                      <w:sz w:val="21"/>
                      <w:szCs w:val="21"/>
                      <w:highlight w:val="none"/>
                      <w:lang w:val="en-US"/>
                    </w:rPr>
                  </w:pPr>
                </w:p>
              </w:tc>
              <w:tc>
                <w:tcPr>
                  <w:tcW w:w="793" w:type="dxa"/>
                  <w:vMerge w:val="continue"/>
                  <w:shd w:val="clear" w:color="auto" w:fill="auto"/>
                  <w:vAlign w:val="center"/>
                </w:tcPr>
                <w:p w14:paraId="1B4CED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p>
              </w:tc>
              <w:tc>
                <w:tcPr>
                  <w:tcW w:w="881" w:type="dxa"/>
                  <w:vMerge w:val="continue"/>
                  <w:shd w:val="clear" w:color="auto" w:fill="auto"/>
                  <w:vAlign w:val="center"/>
                </w:tcPr>
                <w:p w14:paraId="036F878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p>
              </w:tc>
              <w:tc>
                <w:tcPr>
                  <w:tcW w:w="3509" w:type="dxa"/>
                  <w:shd w:val="clear" w:color="auto" w:fill="auto"/>
                  <w:vAlign w:val="center"/>
                </w:tcPr>
                <w:p w14:paraId="0C71948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pacing w:val="-6"/>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w:t>
                  </w:r>
                  <w:r>
                    <w:rPr>
                      <w:rFonts w:hint="eastAsia" w:ascii="Times New Roman" w:hAnsi="Times New Roman" w:cs="Times New Roman"/>
                      <w:color w:val="auto"/>
                      <w:spacing w:val="-2"/>
                      <w:sz w:val="21"/>
                      <w:szCs w:val="21"/>
                      <w:lang w:val="en-US" w:eastAsia="zh-CN"/>
                    </w:rPr>
                    <w:t>1</w:t>
                  </w:r>
                  <w:r>
                    <w:rPr>
                      <w:rFonts w:hint="default" w:ascii="Times New Roman" w:hAnsi="Times New Roman" w:cs="Times New Roman"/>
                      <w:color w:val="auto"/>
                      <w:spacing w:val="-2"/>
                      <w:sz w:val="21"/>
                      <w:szCs w:val="21"/>
                      <w:lang w:eastAsia="zh-CN"/>
                    </w:rPr>
                    <w:t>排放限值</w:t>
                  </w:r>
                  <w:r>
                    <w:rPr>
                      <w:rFonts w:hint="default" w:ascii="Times New Roman" w:hAnsi="Times New Roman" w:eastAsia="宋体" w:cs="Times New Roman"/>
                      <w:color w:val="auto"/>
                      <w:spacing w:val="-1"/>
                      <w:sz w:val="21"/>
                      <w:szCs w:val="21"/>
                    </w:rPr>
                    <w:t>要求</w:t>
                  </w:r>
                </w:p>
              </w:tc>
              <w:tc>
                <w:tcPr>
                  <w:tcW w:w="1189" w:type="dxa"/>
                  <w:shd w:val="clear" w:color="auto" w:fill="auto"/>
                  <w:vAlign w:val="center"/>
                </w:tcPr>
                <w:p w14:paraId="3D6C898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60</w:t>
                  </w:r>
                </w:p>
              </w:tc>
              <w:tc>
                <w:tcPr>
                  <w:tcW w:w="1073" w:type="dxa"/>
                  <w:shd w:val="clear" w:color="auto" w:fill="auto"/>
                  <w:vAlign w:val="center"/>
                </w:tcPr>
                <w:p w14:paraId="704E5B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r>
            <w:tr w14:paraId="0D7A32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jc w:val="center"/>
              </w:trPr>
              <w:tc>
                <w:tcPr>
                  <w:tcW w:w="763" w:type="dxa"/>
                  <w:vMerge w:val="continue"/>
                  <w:shd w:val="clear" w:color="auto" w:fill="auto"/>
                  <w:vAlign w:val="center"/>
                </w:tcPr>
                <w:p w14:paraId="10D11C0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
                      <w:sz w:val="21"/>
                      <w:szCs w:val="21"/>
                    </w:rPr>
                  </w:pPr>
                </w:p>
              </w:tc>
              <w:tc>
                <w:tcPr>
                  <w:tcW w:w="753" w:type="dxa"/>
                  <w:vMerge w:val="continue"/>
                  <w:shd w:val="clear" w:color="auto" w:fill="auto"/>
                  <w:vAlign w:val="center"/>
                </w:tcPr>
                <w:p w14:paraId="5A55221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snapToGrid w:val="0"/>
                      <w:color w:val="auto"/>
                      <w:kern w:val="0"/>
                      <w:sz w:val="21"/>
                      <w:szCs w:val="21"/>
                      <w:lang w:val="en-US" w:eastAsia="zh-CN" w:bidi="ar-SA"/>
                    </w:rPr>
                  </w:pPr>
                </w:p>
              </w:tc>
              <w:tc>
                <w:tcPr>
                  <w:tcW w:w="753" w:type="dxa"/>
                  <w:vMerge w:val="continue"/>
                  <w:vAlign w:val="center"/>
                </w:tcPr>
                <w:p w14:paraId="7A16591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030A338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苯乙烯</w:t>
                  </w:r>
                </w:p>
              </w:tc>
              <w:tc>
                <w:tcPr>
                  <w:tcW w:w="1545" w:type="dxa"/>
                  <w:vMerge w:val="continue"/>
                  <w:vAlign w:val="center"/>
                </w:tcPr>
                <w:p w14:paraId="7388D2E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shd w:val="clear" w:color="auto" w:fill="auto"/>
                  <w:vAlign w:val="center"/>
                </w:tcPr>
                <w:p w14:paraId="54DBAAA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6"/>
                      <w:sz w:val="21"/>
                      <w:szCs w:val="21"/>
                      <w:highlight w:val="none"/>
                      <w:lang w:val="en-US"/>
                    </w:rPr>
                  </w:pPr>
                </w:p>
              </w:tc>
              <w:tc>
                <w:tcPr>
                  <w:tcW w:w="793" w:type="dxa"/>
                  <w:vMerge w:val="continue"/>
                  <w:shd w:val="clear" w:color="auto" w:fill="auto"/>
                  <w:vAlign w:val="center"/>
                </w:tcPr>
                <w:p w14:paraId="388BA4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881" w:type="dxa"/>
                  <w:vMerge w:val="continue"/>
                  <w:shd w:val="clear" w:color="auto" w:fill="auto"/>
                  <w:vAlign w:val="center"/>
                </w:tcPr>
                <w:p w14:paraId="07A4A3F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p>
              </w:tc>
              <w:tc>
                <w:tcPr>
                  <w:tcW w:w="3509" w:type="dxa"/>
                  <w:shd w:val="clear" w:color="auto" w:fill="auto"/>
                  <w:vAlign w:val="center"/>
                </w:tcPr>
                <w:p w14:paraId="2F8AC19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pacing w:val="-6"/>
                      <w:sz w:val="21"/>
                      <w:szCs w:val="21"/>
                      <w:lang w:eastAsia="zh-CN"/>
                    </w:rPr>
                  </w:pPr>
                  <w:r>
                    <w:rPr>
                      <w:rFonts w:hint="eastAsia" w:ascii="Times New Roman" w:hAnsi="Times New Roman" w:cs="Times New Roman"/>
                      <w:color w:val="auto"/>
                      <w:sz w:val="21"/>
                      <w:szCs w:val="21"/>
                      <w:lang w:val="en-US" w:eastAsia="zh-CN"/>
                    </w:rPr>
                    <w:t>《恶臭污染物排放标准》（GB14554-93）</w:t>
                  </w:r>
                </w:p>
              </w:tc>
              <w:tc>
                <w:tcPr>
                  <w:tcW w:w="1189" w:type="dxa"/>
                  <w:shd w:val="clear" w:color="auto" w:fill="auto"/>
                  <w:vAlign w:val="center"/>
                </w:tcPr>
                <w:p w14:paraId="08FA866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073" w:type="dxa"/>
                  <w:shd w:val="clear" w:color="auto" w:fill="auto"/>
                  <w:vAlign w:val="center"/>
                </w:tcPr>
                <w:p w14:paraId="046A33F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6.5</w:t>
                  </w:r>
                </w:p>
              </w:tc>
            </w:tr>
            <w:tr w14:paraId="0EC4B0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shd w:val="clear" w:color="auto" w:fill="auto"/>
                  <w:vAlign w:val="center"/>
                </w:tcPr>
                <w:p w14:paraId="13BB3E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
                      <w:sz w:val="21"/>
                      <w:szCs w:val="21"/>
                    </w:rPr>
                  </w:pPr>
                </w:p>
              </w:tc>
              <w:tc>
                <w:tcPr>
                  <w:tcW w:w="753" w:type="dxa"/>
                  <w:vMerge w:val="continue"/>
                  <w:shd w:val="clear" w:color="auto" w:fill="auto"/>
                  <w:vAlign w:val="center"/>
                </w:tcPr>
                <w:p w14:paraId="66E55FC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snapToGrid w:val="0"/>
                      <w:color w:val="auto"/>
                      <w:kern w:val="0"/>
                      <w:sz w:val="21"/>
                      <w:szCs w:val="21"/>
                      <w:lang w:val="en-US" w:eastAsia="zh-CN" w:bidi="ar-SA"/>
                    </w:rPr>
                  </w:pPr>
                </w:p>
              </w:tc>
              <w:tc>
                <w:tcPr>
                  <w:tcW w:w="753" w:type="dxa"/>
                  <w:vMerge w:val="continue"/>
                  <w:vAlign w:val="center"/>
                </w:tcPr>
                <w:p w14:paraId="7C66919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44BC296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臭气浓度</w:t>
                  </w:r>
                </w:p>
              </w:tc>
              <w:tc>
                <w:tcPr>
                  <w:tcW w:w="1545" w:type="dxa"/>
                  <w:vMerge w:val="continue"/>
                  <w:vAlign w:val="center"/>
                </w:tcPr>
                <w:p w14:paraId="23859BA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shd w:val="clear" w:color="auto" w:fill="auto"/>
                  <w:vAlign w:val="center"/>
                </w:tcPr>
                <w:p w14:paraId="203AA80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6"/>
                      <w:sz w:val="21"/>
                      <w:szCs w:val="21"/>
                      <w:highlight w:val="none"/>
                      <w:lang w:val="en-US"/>
                    </w:rPr>
                  </w:pPr>
                </w:p>
              </w:tc>
              <w:tc>
                <w:tcPr>
                  <w:tcW w:w="793" w:type="dxa"/>
                  <w:vMerge w:val="continue"/>
                  <w:shd w:val="clear" w:color="auto" w:fill="auto"/>
                  <w:vAlign w:val="center"/>
                </w:tcPr>
                <w:p w14:paraId="759DE2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881" w:type="dxa"/>
                  <w:vMerge w:val="continue"/>
                  <w:shd w:val="clear" w:color="auto" w:fill="auto"/>
                  <w:vAlign w:val="center"/>
                </w:tcPr>
                <w:p w14:paraId="3ECA08A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p>
              </w:tc>
              <w:tc>
                <w:tcPr>
                  <w:tcW w:w="3509" w:type="dxa"/>
                  <w:shd w:val="clear" w:color="auto" w:fill="auto"/>
                  <w:vAlign w:val="center"/>
                </w:tcPr>
                <w:p w14:paraId="169FCF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pacing w:val="-6"/>
                      <w:sz w:val="21"/>
                      <w:szCs w:val="21"/>
                      <w:lang w:eastAsia="zh-CN"/>
                    </w:rPr>
                  </w:pPr>
                  <w:r>
                    <w:rPr>
                      <w:rFonts w:hint="eastAsia" w:ascii="Times New Roman" w:hAnsi="Times New Roman" w:cs="Times New Roman"/>
                      <w:color w:val="auto"/>
                      <w:sz w:val="21"/>
                      <w:szCs w:val="21"/>
                      <w:lang w:val="en-US" w:eastAsia="zh-CN"/>
                    </w:rPr>
                    <w:t>《恶臭污染物排放标准》（GB14554-93）</w:t>
                  </w:r>
                </w:p>
              </w:tc>
              <w:tc>
                <w:tcPr>
                  <w:tcW w:w="1189" w:type="dxa"/>
                  <w:shd w:val="clear" w:color="auto" w:fill="auto"/>
                  <w:vAlign w:val="center"/>
                </w:tcPr>
                <w:p w14:paraId="047C9FE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073" w:type="dxa"/>
                  <w:shd w:val="clear" w:color="auto" w:fill="auto"/>
                  <w:vAlign w:val="center"/>
                </w:tcPr>
                <w:p w14:paraId="2C35B61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2000（无量纲）</w:t>
                  </w:r>
                </w:p>
              </w:tc>
            </w:tr>
            <w:tr w14:paraId="478C5A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shd w:val="clear" w:color="auto" w:fill="auto"/>
                  <w:vAlign w:val="center"/>
                </w:tcPr>
                <w:p w14:paraId="16F8C9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
                      <w:sz w:val="21"/>
                      <w:szCs w:val="21"/>
                    </w:rPr>
                  </w:pPr>
                </w:p>
              </w:tc>
              <w:tc>
                <w:tcPr>
                  <w:tcW w:w="753" w:type="dxa"/>
                  <w:vMerge w:val="continue"/>
                  <w:shd w:val="clear" w:color="auto" w:fill="auto"/>
                  <w:vAlign w:val="center"/>
                </w:tcPr>
                <w:p w14:paraId="0AEAF3A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snapToGrid w:val="0"/>
                      <w:color w:val="auto"/>
                      <w:kern w:val="0"/>
                      <w:sz w:val="21"/>
                      <w:szCs w:val="21"/>
                      <w:lang w:val="en-US" w:eastAsia="zh-CN" w:bidi="ar-SA"/>
                    </w:rPr>
                  </w:pPr>
                </w:p>
              </w:tc>
              <w:tc>
                <w:tcPr>
                  <w:tcW w:w="753" w:type="dxa"/>
                  <w:vMerge w:val="continue"/>
                  <w:vAlign w:val="center"/>
                </w:tcPr>
                <w:p w14:paraId="11B22BE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164C80B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545" w:type="dxa"/>
                  <w:vMerge w:val="continue"/>
                  <w:vAlign w:val="center"/>
                </w:tcPr>
                <w:p w14:paraId="0AB908A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shd w:val="clear" w:color="auto" w:fill="auto"/>
                  <w:vAlign w:val="center"/>
                </w:tcPr>
                <w:p w14:paraId="1AE685C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6"/>
                      <w:sz w:val="21"/>
                      <w:szCs w:val="21"/>
                      <w:highlight w:val="none"/>
                      <w:lang w:val="en-US"/>
                    </w:rPr>
                  </w:pPr>
                </w:p>
              </w:tc>
              <w:tc>
                <w:tcPr>
                  <w:tcW w:w="793" w:type="dxa"/>
                  <w:vMerge w:val="continue"/>
                  <w:shd w:val="clear" w:color="auto" w:fill="auto"/>
                  <w:vAlign w:val="center"/>
                </w:tcPr>
                <w:p w14:paraId="01E8A7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881" w:type="dxa"/>
                  <w:vMerge w:val="continue"/>
                  <w:shd w:val="clear" w:color="auto" w:fill="auto"/>
                  <w:vAlign w:val="center"/>
                </w:tcPr>
                <w:p w14:paraId="18963A8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p>
              </w:tc>
              <w:tc>
                <w:tcPr>
                  <w:tcW w:w="3509" w:type="dxa"/>
                  <w:vMerge w:val="restart"/>
                  <w:shd w:val="clear" w:color="auto" w:fill="auto"/>
                  <w:vAlign w:val="center"/>
                </w:tcPr>
                <w:p w14:paraId="6AE66AF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《大气污染物综合排放标准》（GB16297-1996）表2</w:t>
                  </w:r>
                </w:p>
              </w:tc>
              <w:tc>
                <w:tcPr>
                  <w:tcW w:w="1189" w:type="dxa"/>
                  <w:shd w:val="clear" w:color="auto" w:fill="auto"/>
                  <w:vAlign w:val="center"/>
                </w:tcPr>
                <w:p w14:paraId="1C8AFAC4">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25</w:t>
                  </w:r>
                </w:p>
              </w:tc>
              <w:tc>
                <w:tcPr>
                  <w:tcW w:w="1073" w:type="dxa"/>
                  <w:shd w:val="clear" w:color="auto" w:fill="auto"/>
                  <w:vAlign w:val="center"/>
                </w:tcPr>
                <w:p w14:paraId="31072077">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0.26</w:t>
                  </w:r>
                </w:p>
              </w:tc>
            </w:tr>
            <w:tr w14:paraId="2F99EE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shd w:val="clear" w:color="auto" w:fill="auto"/>
                  <w:vAlign w:val="center"/>
                </w:tcPr>
                <w:p w14:paraId="5B744D8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
                      <w:sz w:val="21"/>
                      <w:szCs w:val="21"/>
                    </w:rPr>
                  </w:pPr>
                </w:p>
              </w:tc>
              <w:tc>
                <w:tcPr>
                  <w:tcW w:w="753" w:type="dxa"/>
                  <w:vMerge w:val="continue"/>
                  <w:shd w:val="clear" w:color="auto" w:fill="auto"/>
                  <w:vAlign w:val="center"/>
                </w:tcPr>
                <w:p w14:paraId="076B4C5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snapToGrid w:val="0"/>
                      <w:color w:val="auto"/>
                      <w:kern w:val="0"/>
                      <w:sz w:val="21"/>
                      <w:szCs w:val="21"/>
                      <w:lang w:val="en-US" w:eastAsia="zh-CN" w:bidi="ar-SA"/>
                    </w:rPr>
                  </w:pPr>
                </w:p>
              </w:tc>
              <w:tc>
                <w:tcPr>
                  <w:tcW w:w="753" w:type="dxa"/>
                  <w:vMerge w:val="continue"/>
                  <w:vAlign w:val="center"/>
                </w:tcPr>
                <w:p w14:paraId="3547541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2C13C71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545" w:type="dxa"/>
                  <w:vMerge w:val="continue"/>
                  <w:vAlign w:val="center"/>
                </w:tcPr>
                <w:p w14:paraId="41F38D0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shd w:val="clear" w:color="auto" w:fill="auto"/>
                  <w:vAlign w:val="center"/>
                </w:tcPr>
                <w:p w14:paraId="7CA4FA6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6"/>
                      <w:sz w:val="21"/>
                      <w:szCs w:val="21"/>
                      <w:highlight w:val="none"/>
                      <w:lang w:val="en-US"/>
                    </w:rPr>
                  </w:pPr>
                </w:p>
              </w:tc>
              <w:tc>
                <w:tcPr>
                  <w:tcW w:w="793" w:type="dxa"/>
                  <w:vMerge w:val="continue"/>
                  <w:shd w:val="clear" w:color="auto" w:fill="auto"/>
                  <w:vAlign w:val="center"/>
                </w:tcPr>
                <w:p w14:paraId="14FBBD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881" w:type="dxa"/>
                  <w:vMerge w:val="continue"/>
                  <w:shd w:val="clear" w:color="auto" w:fill="auto"/>
                  <w:vAlign w:val="center"/>
                </w:tcPr>
                <w:p w14:paraId="41F7535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p>
              </w:tc>
              <w:tc>
                <w:tcPr>
                  <w:tcW w:w="3509" w:type="dxa"/>
                  <w:vMerge w:val="continue"/>
                  <w:shd w:val="clear" w:color="auto" w:fill="auto"/>
                  <w:vAlign w:val="center"/>
                </w:tcPr>
                <w:p w14:paraId="571990D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p>
              </w:tc>
              <w:tc>
                <w:tcPr>
                  <w:tcW w:w="1189" w:type="dxa"/>
                  <w:shd w:val="clear" w:color="auto" w:fill="auto"/>
                  <w:vAlign w:val="center"/>
                </w:tcPr>
                <w:p w14:paraId="5941B7D2">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100</w:t>
                  </w:r>
                </w:p>
              </w:tc>
              <w:tc>
                <w:tcPr>
                  <w:tcW w:w="1073" w:type="dxa"/>
                  <w:shd w:val="clear" w:color="auto" w:fill="auto"/>
                  <w:vAlign w:val="center"/>
                </w:tcPr>
                <w:p w14:paraId="4FACDE95">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0.10</w:t>
                  </w:r>
                </w:p>
              </w:tc>
            </w:tr>
            <w:tr w14:paraId="729F07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763" w:type="dxa"/>
                  <w:vMerge w:val="restart"/>
                  <w:vAlign w:val="center"/>
                </w:tcPr>
                <w:p w14:paraId="53110E3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2</w:t>
                  </w:r>
                </w:p>
              </w:tc>
              <w:tc>
                <w:tcPr>
                  <w:tcW w:w="753" w:type="dxa"/>
                  <w:vMerge w:val="restart"/>
                  <w:vAlign w:val="center"/>
                </w:tcPr>
                <w:p w14:paraId="023CC49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电炉浇注东排气筒</w:t>
                  </w:r>
                </w:p>
              </w:tc>
              <w:tc>
                <w:tcPr>
                  <w:tcW w:w="753" w:type="dxa"/>
                  <w:vMerge w:val="restart"/>
                  <w:vAlign w:val="center"/>
                </w:tcPr>
                <w:p w14:paraId="37F32C9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一般排</w:t>
                  </w:r>
                  <w:r>
                    <w:rPr>
                      <w:rFonts w:hint="default" w:ascii="Times New Roman" w:hAnsi="Times New Roman" w:eastAsia="宋体" w:cs="Times New Roman"/>
                      <w:color w:val="auto"/>
                      <w:spacing w:val="-2"/>
                      <w:sz w:val="21"/>
                      <w:szCs w:val="21"/>
                    </w:rPr>
                    <w:t>放口</w:t>
                  </w:r>
                </w:p>
              </w:tc>
              <w:tc>
                <w:tcPr>
                  <w:tcW w:w="867" w:type="dxa"/>
                  <w:shd w:val="clear" w:color="auto" w:fill="auto"/>
                  <w:vAlign w:val="center"/>
                </w:tcPr>
                <w:p w14:paraId="448DDAC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VOCs</w:t>
                  </w:r>
                </w:p>
              </w:tc>
              <w:tc>
                <w:tcPr>
                  <w:tcW w:w="1545" w:type="dxa"/>
                  <w:vMerge w:val="restart"/>
                  <w:vAlign w:val="center"/>
                </w:tcPr>
                <w:p w14:paraId="3F2ABA4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117°59′8.128″,</w:t>
                  </w:r>
                </w:p>
                <w:p w14:paraId="0095D9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36°35′52.420″</w:t>
                  </w:r>
                </w:p>
              </w:tc>
              <w:tc>
                <w:tcPr>
                  <w:tcW w:w="913" w:type="dxa"/>
                  <w:vMerge w:val="restart"/>
                  <w:vAlign w:val="center"/>
                </w:tcPr>
                <w:p w14:paraId="00618F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793" w:type="dxa"/>
                  <w:vMerge w:val="restart"/>
                  <w:vAlign w:val="center"/>
                </w:tcPr>
                <w:p w14:paraId="03C324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r>
                    <w:rPr>
                      <w:rFonts w:hint="eastAsia" w:ascii="Times New Roman" w:hAnsi="Times New Roman" w:cs="Times New Roman"/>
                      <w:color w:val="auto"/>
                      <w:spacing w:val="-6"/>
                      <w:sz w:val="21"/>
                      <w:szCs w:val="21"/>
                      <w:highlight w:val="none"/>
                      <w:lang w:val="en-US" w:eastAsia="zh-CN"/>
                    </w:rPr>
                    <w:t>0.76</w:t>
                  </w:r>
                </w:p>
              </w:tc>
              <w:tc>
                <w:tcPr>
                  <w:tcW w:w="881" w:type="dxa"/>
                  <w:vMerge w:val="restart"/>
                  <w:vAlign w:val="center"/>
                </w:tcPr>
                <w:p w14:paraId="45F01B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3509" w:type="dxa"/>
                  <w:shd w:val="clear" w:color="auto" w:fill="auto"/>
                  <w:vAlign w:val="center"/>
                </w:tcPr>
                <w:p w14:paraId="7FDB9B4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pacing w:val="-6"/>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w:t>
                  </w:r>
                  <w:r>
                    <w:rPr>
                      <w:rFonts w:hint="eastAsia" w:ascii="Times New Roman" w:hAnsi="Times New Roman" w:cs="Times New Roman"/>
                      <w:color w:val="auto"/>
                      <w:spacing w:val="-2"/>
                      <w:sz w:val="21"/>
                      <w:szCs w:val="21"/>
                      <w:lang w:val="en-US" w:eastAsia="zh-CN"/>
                    </w:rPr>
                    <w:t>1</w:t>
                  </w:r>
                  <w:r>
                    <w:rPr>
                      <w:rFonts w:hint="default" w:ascii="Times New Roman" w:hAnsi="Times New Roman" w:cs="Times New Roman"/>
                      <w:color w:val="auto"/>
                      <w:spacing w:val="-2"/>
                      <w:sz w:val="21"/>
                      <w:szCs w:val="21"/>
                      <w:lang w:eastAsia="zh-CN"/>
                    </w:rPr>
                    <w:t>排放限值</w:t>
                  </w:r>
                  <w:r>
                    <w:rPr>
                      <w:rFonts w:hint="default" w:ascii="Times New Roman" w:hAnsi="Times New Roman" w:eastAsia="宋体" w:cs="Times New Roman"/>
                      <w:color w:val="auto"/>
                      <w:spacing w:val="-1"/>
                      <w:sz w:val="21"/>
                      <w:szCs w:val="21"/>
                    </w:rPr>
                    <w:t>要求</w:t>
                  </w:r>
                </w:p>
              </w:tc>
              <w:tc>
                <w:tcPr>
                  <w:tcW w:w="1189" w:type="dxa"/>
                  <w:shd w:val="clear" w:color="auto" w:fill="auto"/>
                  <w:vAlign w:val="center"/>
                </w:tcPr>
                <w:p w14:paraId="10D3820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60</w:t>
                  </w:r>
                </w:p>
              </w:tc>
              <w:tc>
                <w:tcPr>
                  <w:tcW w:w="1073" w:type="dxa"/>
                  <w:shd w:val="clear" w:color="auto" w:fill="auto"/>
                  <w:vAlign w:val="center"/>
                </w:tcPr>
                <w:p w14:paraId="1FDD960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r>
            <w:tr w14:paraId="3D89A7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2E513B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753" w:type="dxa"/>
                  <w:vMerge w:val="continue"/>
                  <w:vAlign w:val="center"/>
                </w:tcPr>
                <w:p w14:paraId="3484EB6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207B96B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186FF3D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545" w:type="dxa"/>
                  <w:vMerge w:val="continue"/>
                  <w:vAlign w:val="center"/>
                </w:tcPr>
                <w:p w14:paraId="1B9B493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3B9832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highlight w:val="none"/>
                    </w:rPr>
                  </w:pPr>
                </w:p>
              </w:tc>
              <w:tc>
                <w:tcPr>
                  <w:tcW w:w="793" w:type="dxa"/>
                  <w:vMerge w:val="continue"/>
                  <w:vAlign w:val="center"/>
                </w:tcPr>
                <w:p w14:paraId="69F4C9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p>
              </w:tc>
              <w:tc>
                <w:tcPr>
                  <w:tcW w:w="881" w:type="dxa"/>
                  <w:vMerge w:val="continue"/>
                  <w:vAlign w:val="center"/>
                </w:tcPr>
                <w:p w14:paraId="2DEDCC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shd w:val="clear" w:color="auto" w:fill="auto"/>
                  <w:vAlign w:val="center"/>
                </w:tcPr>
                <w:p w14:paraId="2C08331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《区域性大气污染物综合排放标准》（DB37/2376-2019）表1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重点控制区</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大气污染物排放浓度限值</w:t>
                  </w:r>
                </w:p>
              </w:tc>
              <w:tc>
                <w:tcPr>
                  <w:tcW w:w="1189" w:type="dxa"/>
                  <w:shd w:val="clear" w:color="auto" w:fill="auto"/>
                  <w:vAlign w:val="center"/>
                </w:tcPr>
                <w:p w14:paraId="0D777767">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073" w:type="dxa"/>
                  <w:shd w:val="clear" w:color="auto" w:fill="auto"/>
                  <w:vAlign w:val="center"/>
                </w:tcPr>
                <w:p w14:paraId="3078ED0F">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47E6BC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05BB4E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753" w:type="dxa"/>
                  <w:vMerge w:val="continue"/>
                  <w:vAlign w:val="center"/>
                </w:tcPr>
                <w:p w14:paraId="7FC5B7C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026CE4E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64F5765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苯乙烯</w:t>
                  </w:r>
                </w:p>
              </w:tc>
              <w:tc>
                <w:tcPr>
                  <w:tcW w:w="1545" w:type="dxa"/>
                  <w:vMerge w:val="continue"/>
                  <w:vAlign w:val="center"/>
                </w:tcPr>
                <w:p w14:paraId="7532442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1FD662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highlight w:val="none"/>
                    </w:rPr>
                  </w:pPr>
                </w:p>
              </w:tc>
              <w:tc>
                <w:tcPr>
                  <w:tcW w:w="793" w:type="dxa"/>
                  <w:vMerge w:val="continue"/>
                  <w:vAlign w:val="center"/>
                </w:tcPr>
                <w:p w14:paraId="1D08DC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p>
              </w:tc>
              <w:tc>
                <w:tcPr>
                  <w:tcW w:w="881" w:type="dxa"/>
                  <w:vMerge w:val="continue"/>
                  <w:vAlign w:val="center"/>
                </w:tcPr>
                <w:p w14:paraId="69C00F9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shd w:val="clear" w:color="auto" w:fill="auto"/>
                  <w:vAlign w:val="center"/>
                </w:tcPr>
                <w:p w14:paraId="276F07B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6"/>
                      <w:kern w:val="0"/>
                      <w:sz w:val="21"/>
                      <w:szCs w:val="21"/>
                      <w:lang w:val="en-US" w:eastAsia="zh-CN" w:bidi="ar-SA"/>
                    </w:rPr>
                  </w:pPr>
                  <w:r>
                    <w:rPr>
                      <w:rFonts w:hint="eastAsia" w:ascii="Times New Roman" w:hAnsi="Times New Roman" w:cs="Times New Roman"/>
                      <w:color w:val="auto"/>
                      <w:sz w:val="21"/>
                      <w:szCs w:val="21"/>
                      <w:lang w:val="en-US" w:eastAsia="zh-CN"/>
                    </w:rPr>
                    <w:t>《恶臭污染物排放标准》（GB14554-93）</w:t>
                  </w:r>
                </w:p>
              </w:tc>
              <w:tc>
                <w:tcPr>
                  <w:tcW w:w="1189" w:type="dxa"/>
                  <w:shd w:val="clear" w:color="auto" w:fill="auto"/>
                  <w:vAlign w:val="center"/>
                </w:tcPr>
                <w:p w14:paraId="3AF81FB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1073" w:type="dxa"/>
                  <w:shd w:val="clear" w:color="auto" w:fill="auto"/>
                  <w:vAlign w:val="center"/>
                </w:tcPr>
                <w:p w14:paraId="35521A8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6.5</w:t>
                  </w:r>
                </w:p>
              </w:tc>
            </w:tr>
            <w:tr w14:paraId="72284F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03E2291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753" w:type="dxa"/>
                  <w:vMerge w:val="continue"/>
                  <w:vAlign w:val="center"/>
                </w:tcPr>
                <w:p w14:paraId="27713A6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45BE2F2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272E59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臭气浓度</w:t>
                  </w:r>
                </w:p>
              </w:tc>
              <w:tc>
                <w:tcPr>
                  <w:tcW w:w="1545" w:type="dxa"/>
                  <w:vMerge w:val="continue"/>
                  <w:vAlign w:val="center"/>
                </w:tcPr>
                <w:p w14:paraId="5E9D76E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767D48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highlight w:val="none"/>
                    </w:rPr>
                  </w:pPr>
                </w:p>
              </w:tc>
              <w:tc>
                <w:tcPr>
                  <w:tcW w:w="793" w:type="dxa"/>
                  <w:vMerge w:val="continue"/>
                  <w:vAlign w:val="center"/>
                </w:tcPr>
                <w:p w14:paraId="69A508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p>
              </w:tc>
              <w:tc>
                <w:tcPr>
                  <w:tcW w:w="881" w:type="dxa"/>
                  <w:vMerge w:val="continue"/>
                  <w:vAlign w:val="center"/>
                </w:tcPr>
                <w:p w14:paraId="5FE7A22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shd w:val="clear" w:color="auto" w:fill="auto"/>
                  <w:vAlign w:val="center"/>
                </w:tcPr>
                <w:p w14:paraId="0FDB302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6"/>
                      <w:kern w:val="0"/>
                      <w:sz w:val="21"/>
                      <w:szCs w:val="21"/>
                      <w:lang w:val="en-US" w:eastAsia="zh-CN" w:bidi="ar-SA"/>
                    </w:rPr>
                  </w:pPr>
                  <w:r>
                    <w:rPr>
                      <w:rFonts w:hint="eastAsia" w:ascii="Times New Roman" w:hAnsi="Times New Roman" w:cs="Times New Roman"/>
                      <w:color w:val="auto"/>
                      <w:sz w:val="21"/>
                      <w:szCs w:val="21"/>
                      <w:lang w:val="en-US" w:eastAsia="zh-CN"/>
                    </w:rPr>
                    <w:t>《恶臭污染物排放标准》（GB14554-93）</w:t>
                  </w:r>
                </w:p>
              </w:tc>
              <w:tc>
                <w:tcPr>
                  <w:tcW w:w="1189" w:type="dxa"/>
                  <w:shd w:val="clear" w:color="auto" w:fill="auto"/>
                  <w:vAlign w:val="center"/>
                </w:tcPr>
                <w:p w14:paraId="0EB816B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1073" w:type="dxa"/>
                  <w:shd w:val="clear" w:color="auto" w:fill="auto"/>
                  <w:vAlign w:val="center"/>
                </w:tcPr>
                <w:p w14:paraId="2450C10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2000（无量纲）</w:t>
                  </w:r>
                </w:p>
              </w:tc>
            </w:tr>
            <w:tr w14:paraId="1F601C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372113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753" w:type="dxa"/>
                  <w:vMerge w:val="continue"/>
                  <w:vAlign w:val="center"/>
                </w:tcPr>
                <w:p w14:paraId="1232E1B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49DE4CA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5599102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545" w:type="dxa"/>
                  <w:vMerge w:val="continue"/>
                  <w:vAlign w:val="center"/>
                </w:tcPr>
                <w:p w14:paraId="5591EBB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20310A7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highlight w:val="none"/>
                    </w:rPr>
                  </w:pPr>
                </w:p>
              </w:tc>
              <w:tc>
                <w:tcPr>
                  <w:tcW w:w="793" w:type="dxa"/>
                  <w:vMerge w:val="continue"/>
                  <w:vAlign w:val="center"/>
                </w:tcPr>
                <w:p w14:paraId="656EDC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p>
              </w:tc>
              <w:tc>
                <w:tcPr>
                  <w:tcW w:w="881" w:type="dxa"/>
                  <w:vMerge w:val="continue"/>
                  <w:vAlign w:val="center"/>
                </w:tcPr>
                <w:p w14:paraId="5F65E6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vMerge w:val="restart"/>
                  <w:shd w:val="clear" w:color="auto" w:fill="auto"/>
                  <w:vAlign w:val="center"/>
                </w:tcPr>
                <w:p w14:paraId="1E60759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《大气污染物综合排放标准》（GB16297-1996）表2</w:t>
                  </w:r>
                </w:p>
              </w:tc>
              <w:tc>
                <w:tcPr>
                  <w:tcW w:w="1189" w:type="dxa"/>
                  <w:shd w:val="clear" w:color="auto" w:fill="auto"/>
                  <w:vAlign w:val="center"/>
                </w:tcPr>
                <w:p w14:paraId="2097F110">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25</w:t>
                  </w:r>
                </w:p>
              </w:tc>
              <w:tc>
                <w:tcPr>
                  <w:tcW w:w="1073" w:type="dxa"/>
                  <w:shd w:val="clear" w:color="auto" w:fill="auto"/>
                  <w:vAlign w:val="center"/>
                </w:tcPr>
                <w:p w14:paraId="2EA1D3B1">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0.26</w:t>
                  </w:r>
                </w:p>
              </w:tc>
            </w:tr>
            <w:tr w14:paraId="255233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27F6F3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753" w:type="dxa"/>
                  <w:vMerge w:val="continue"/>
                  <w:vAlign w:val="center"/>
                </w:tcPr>
                <w:p w14:paraId="652AD09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71CAD36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3DAE532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545" w:type="dxa"/>
                  <w:vMerge w:val="continue"/>
                  <w:vAlign w:val="center"/>
                </w:tcPr>
                <w:p w14:paraId="3126D36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67FBDE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highlight w:val="none"/>
                    </w:rPr>
                  </w:pPr>
                </w:p>
              </w:tc>
              <w:tc>
                <w:tcPr>
                  <w:tcW w:w="793" w:type="dxa"/>
                  <w:vMerge w:val="continue"/>
                  <w:vAlign w:val="center"/>
                </w:tcPr>
                <w:p w14:paraId="784BA2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p>
              </w:tc>
              <w:tc>
                <w:tcPr>
                  <w:tcW w:w="881" w:type="dxa"/>
                  <w:vMerge w:val="continue"/>
                  <w:vAlign w:val="center"/>
                </w:tcPr>
                <w:p w14:paraId="445535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vMerge w:val="continue"/>
                  <w:shd w:val="clear" w:color="auto" w:fill="auto"/>
                  <w:vAlign w:val="center"/>
                </w:tcPr>
                <w:p w14:paraId="4B1C15D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p>
              </w:tc>
              <w:tc>
                <w:tcPr>
                  <w:tcW w:w="1189" w:type="dxa"/>
                  <w:shd w:val="clear" w:color="auto" w:fill="auto"/>
                  <w:vAlign w:val="center"/>
                </w:tcPr>
                <w:p w14:paraId="4792C331">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100</w:t>
                  </w:r>
                </w:p>
              </w:tc>
              <w:tc>
                <w:tcPr>
                  <w:tcW w:w="1073" w:type="dxa"/>
                  <w:shd w:val="clear" w:color="auto" w:fill="auto"/>
                  <w:vAlign w:val="center"/>
                </w:tcPr>
                <w:p w14:paraId="65070CA2">
                  <w:pPr>
                    <w:widowControl/>
                    <w:tabs>
                      <w:tab w:val="left" w:pos="5420"/>
                    </w:tabs>
                    <w:adjustRightInd w:val="0"/>
                    <w:snapToGrid w:val="0"/>
                    <w:spacing w:line="240" w:lineRule="auto"/>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0.10</w:t>
                  </w:r>
                </w:p>
              </w:tc>
            </w:tr>
            <w:tr w14:paraId="25EBBC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restart"/>
                  <w:vAlign w:val="center"/>
                </w:tcPr>
                <w:p w14:paraId="5F4538A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DA003</w:t>
                  </w:r>
                </w:p>
              </w:tc>
              <w:tc>
                <w:tcPr>
                  <w:tcW w:w="753" w:type="dxa"/>
                  <w:vMerge w:val="restart"/>
                  <w:vAlign w:val="center"/>
                </w:tcPr>
                <w:p w14:paraId="3D3BD9E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射芯抛丸排气筒</w:t>
                  </w:r>
                </w:p>
              </w:tc>
              <w:tc>
                <w:tcPr>
                  <w:tcW w:w="753" w:type="dxa"/>
                  <w:vMerge w:val="restart"/>
                  <w:shd w:val="clear" w:color="auto" w:fill="auto"/>
                  <w:vAlign w:val="center"/>
                </w:tcPr>
                <w:p w14:paraId="1E2B9FB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一般排</w:t>
                  </w:r>
                  <w:r>
                    <w:rPr>
                      <w:rFonts w:hint="default" w:ascii="Times New Roman" w:hAnsi="Times New Roman" w:eastAsia="宋体" w:cs="Times New Roman"/>
                      <w:color w:val="auto"/>
                      <w:spacing w:val="-2"/>
                      <w:sz w:val="21"/>
                      <w:szCs w:val="21"/>
                    </w:rPr>
                    <w:t>放口</w:t>
                  </w:r>
                </w:p>
              </w:tc>
              <w:tc>
                <w:tcPr>
                  <w:tcW w:w="867" w:type="dxa"/>
                  <w:shd w:val="clear" w:color="auto" w:fill="auto"/>
                  <w:vAlign w:val="center"/>
                </w:tcPr>
                <w:p w14:paraId="0E05BCF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VOCs</w:t>
                  </w:r>
                </w:p>
              </w:tc>
              <w:tc>
                <w:tcPr>
                  <w:tcW w:w="1545" w:type="dxa"/>
                  <w:vMerge w:val="restart"/>
                  <w:vAlign w:val="center"/>
                </w:tcPr>
                <w:p w14:paraId="7E5E1AE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117°59′7.172″,</w:t>
                  </w:r>
                </w:p>
                <w:p w14:paraId="3738B54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36°35′51.594″</w:t>
                  </w:r>
                </w:p>
              </w:tc>
              <w:tc>
                <w:tcPr>
                  <w:tcW w:w="913" w:type="dxa"/>
                  <w:vMerge w:val="restart"/>
                  <w:vAlign w:val="center"/>
                </w:tcPr>
                <w:p w14:paraId="16F055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6"/>
                      <w:sz w:val="21"/>
                      <w:szCs w:val="21"/>
                      <w:highlight w:val="none"/>
                      <w:lang w:val="en-US" w:eastAsia="zh-CN"/>
                    </w:rPr>
                  </w:pPr>
                  <w:r>
                    <w:rPr>
                      <w:rFonts w:hint="eastAsia" w:ascii="Times New Roman" w:hAnsi="Times New Roman" w:cs="Times New Roman"/>
                      <w:color w:val="auto"/>
                      <w:spacing w:val="-6"/>
                      <w:sz w:val="21"/>
                      <w:szCs w:val="21"/>
                      <w:highlight w:val="none"/>
                      <w:lang w:val="en-US" w:eastAsia="zh-CN"/>
                    </w:rPr>
                    <w:t>15</w:t>
                  </w:r>
                </w:p>
              </w:tc>
              <w:tc>
                <w:tcPr>
                  <w:tcW w:w="793" w:type="dxa"/>
                  <w:vMerge w:val="restart"/>
                  <w:vAlign w:val="center"/>
                </w:tcPr>
                <w:p w14:paraId="4457DD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6"/>
                      <w:sz w:val="21"/>
                      <w:szCs w:val="21"/>
                      <w:highlight w:val="none"/>
                      <w:lang w:val="en-US" w:eastAsia="zh-CN"/>
                    </w:rPr>
                  </w:pPr>
                  <w:r>
                    <w:rPr>
                      <w:rFonts w:hint="eastAsia" w:ascii="Times New Roman" w:hAnsi="Times New Roman" w:cs="Times New Roman"/>
                      <w:color w:val="auto"/>
                      <w:spacing w:val="-6"/>
                      <w:sz w:val="21"/>
                      <w:szCs w:val="21"/>
                      <w:highlight w:val="none"/>
                      <w:lang w:val="en-US" w:eastAsia="zh-CN"/>
                    </w:rPr>
                    <w:t>0.48</w:t>
                  </w:r>
                </w:p>
              </w:tc>
              <w:tc>
                <w:tcPr>
                  <w:tcW w:w="881" w:type="dxa"/>
                  <w:vMerge w:val="restart"/>
                  <w:vAlign w:val="center"/>
                </w:tcPr>
                <w:p w14:paraId="3C5B8CE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45</w:t>
                  </w:r>
                </w:p>
              </w:tc>
              <w:tc>
                <w:tcPr>
                  <w:tcW w:w="3509" w:type="dxa"/>
                  <w:shd w:val="clear" w:color="auto" w:fill="auto"/>
                  <w:vAlign w:val="center"/>
                </w:tcPr>
                <w:p w14:paraId="703CB4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pacing w:val="-6"/>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w:t>
                  </w:r>
                  <w:r>
                    <w:rPr>
                      <w:rFonts w:hint="eastAsia" w:ascii="Times New Roman" w:hAnsi="Times New Roman" w:cs="Times New Roman"/>
                      <w:color w:val="auto"/>
                      <w:spacing w:val="-2"/>
                      <w:sz w:val="21"/>
                      <w:szCs w:val="21"/>
                      <w:lang w:val="en-US" w:eastAsia="zh-CN"/>
                    </w:rPr>
                    <w:t>1</w:t>
                  </w:r>
                  <w:r>
                    <w:rPr>
                      <w:rFonts w:hint="default" w:ascii="Times New Roman" w:hAnsi="Times New Roman" w:cs="Times New Roman"/>
                      <w:color w:val="auto"/>
                      <w:spacing w:val="-2"/>
                      <w:sz w:val="21"/>
                      <w:szCs w:val="21"/>
                      <w:lang w:eastAsia="zh-CN"/>
                    </w:rPr>
                    <w:t>排放限值</w:t>
                  </w:r>
                  <w:r>
                    <w:rPr>
                      <w:rFonts w:hint="default" w:ascii="Times New Roman" w:hAnsi="Times New Roman" w:eastAsia="宋体" w:cs="Times New Roman"/>
                      <w:color w:val="auto"/>
                      <w:spacing w:val="-1"/>
                      <w:sz w:val="21"/>
                      <w:szCs w:val="21"/>
                    </w:rPr>
                    <w:t>要求</w:t>
                  </w:r>
                </w:p>
              </w:tc>
              <w:tc>
                <w:tcPr>
                  <w:tcW w:w="1189" w:type="dxa"/>
                  <w:shd w:val="clear" w:color="auto" w:fill="auto"/>
                  <w:vAlign w:val="center"/>
                </w:tcPr>
                <w:p w14:paraId="2A2316C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60</w:t>
                  </w:r>
                </w:p>
              </w:tc>
              <w:tc>
                <w:tcPr>
                  <w:tcW w:w="1073" w:type="dxa"/>
                  <w:shd w:val="clear" w:color="auto" w:fill="auto"/>
                  <w:vAlign w:val="center"/>
                </w:tcPr>
                <w:p w14:paraId="5D55775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r>
            <w:tr w14:paraId="78BDC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218B2C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1"/>
                      <w:sz w:val="21"/>
                      <w:szCs w:val="21"/>
                      <w:lang w:val="en-US" w:eastAsia="zh-CN"/>
                    </w:rPr>
                  </w:pPr>
                </w:p>
              </w:tc>
              <w:tc>
                <w:tcPr>
                  <w:tcW w:w="753" w:type="dxa"/>
                  <w:vMerge w:val="continue"/>
                  <w:vAlign w:val="center"/>
                </w:tcPr>
                <w:p w14:paraId="1F8B99F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531D260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11C53DF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545" w:type="dxa"/>
                  <w:vMerge w:val="continue"/>
                  <w:vAlign w:val="center"/>
                </w:tcPr>
                <w:p w14:paraId="6F57ACA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14458B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793" w:type="dxa"/>
                  <w:vMerge w:val="continue"/>
                  <w:vAlign w:val="center"/>
                </w:tcPr>
                <w:p w14:paraId="073585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881" w:type="dxa"/>
                  <w:vMerge w:val="continue"/>
                  <w:vAlign w:val="center"/>
                </w:tcPr>
                <w:p w14:paraId="4FEAA1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shd w:val="clear" w:color="auto" w:fill="auto"/>
                  <w:vAlign w:val="center"/>
                </w:tcPr>
                <w:p w14:paraId="0EAF4C0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《区域性大气污染物综合排放标准》（DB37/2376-2019）表1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重点控制区</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大气污染物排放浓度限值</w:t>
                  </w:r>
                </w:p>
              </w:tc>
              <w:tc>
                <w:tcPr>
                  <w:tcW w:w="1189" w:type="dxa"/>
                  <w:shd w:val="clear" w:color="auto" w:fill="auto"/>
                  <w:vAlign w:val="center"/>
                </w:tcPr>
                <w:p w14:paraId="5B9E084E">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073" w:type="dxa"/>
                  <w:shd w:val="clear" w:color="auto" w:fill="auto"/>
                  <w:vAlign w:val="center"/>
                </w:tcPr>
                <w:p w14:paraId="4DBD0D8D">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0FDD3C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47CB1C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1"/>
                      <w:sz w:val="21"/>
                      <w:szCs w:val="21"/>
                      <w:lang w:val="en-US" w:eastAsia="zh-CN"/>
                    </w:rPr>
                  </w:pPr>
                </w:p>
              </w:tc>
              <w:tc>
                <w:tcPr>
                  <w:tcW w:w="753" w:type="dxa"/>
                  <w:vMerge w:val="continue"/>
                  <w:vAlign w:val="center"/>
                </w:tcPr>
                <w:p w14:paraId="0A65447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7440E60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45196F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苯乙烯</w:t>
                  </w:r>
                </w:p>
              </w:tc>
              <w:tc>
                <w:tcPr>
                  <w:tcW w:w="1545" w:type="dxa"/>
                  <w:vMerge w:val="continue"/>
                  <w:vAlign w:val="center"/>
                </w:tcPr>
                <w:p w14:paraId="75EAF62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40D7B48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793" w:type="dxa"/>
                  <w:vMerge w:val="continue"/>
                  <w:vAlign w:val="center"/>
                </w:tcPr>
                <w:p w14:paraId="11D4ED8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881" w:type="dxa"/>
                  <w:vMerge w:val="continue"/>
                  <w:vAlign w:val="center"/>
                </w:tcPr>
                <w:p w14:paraId="5EACC6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shd w:val="clear" w:color="auto" w:fill="auto"/>
                  <w:vAlign w:val="center"/>
                </w:tcPr>
                <w:p w14:paraId="06973AD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《恶臭污染物排放标准》（GB14554-93）</w:t>
                  </w:r>
                </w:p>
              </w:tc>
              <w:tc>
                <w:tcPr>
                  <w:tcW w:w="1189" w:type="dxa"/>
                  <w:shd w:val="clear" w:color="auto" w:fill="auto"/>
                  <w:vAlign w:val="center"/>
                </w:tcPr>
                <w:p w14:paraId="70361C6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w:t>
                  </w:r>
                </w:p>
              </w:tc>
              <w:tc>
                <w:tcPr>
                  <w:tcW w:w="1073" w:type="dxa"/>
                  <w:shd w:val="clear" w:color="auto" w:fill="auto"/>
                  <w:vAlign w:val="center"/>
                </w:tcPr>
                <w:p w14:paraId="78E2DDE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6.5</w:t>
                  </w:r>
                </w:p>
              </w:tc>
            </w:tr>
            <w:tr w14:paraId="1E14E6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29ECB50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1"/>
                      <w:sz w:val="21"/>
                      <w:szCs w:val="21"/>
                      <w:lang w:val="en-US" w:eastAsia="zh-CN"/>
                    </w:rPr>
                  </w:pPr>
                </w:p>
              </w:tc>
              <w:tc>
                <w:tcPr>
                  <w:tcW w:w="753" w:type="dxa"/>
                  <w:vMerge w:val="continue"/>
                  <w:vAlign w:val="center"/>
                </w:tcPr>
                <w:p w14:paraId="40AA611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4F645F9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7940A02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臭气浓度</w:t>
                  </w:r>
                </w:p>
              </w:tc>
              <w:tc>
                <w:tcPr>
                  <w:tcW w:w="1545" w:type="dxa"/>
                  <w:vMerge w:val="continue"/>
                  <w:vAlign w:val="center"/>
                </w:tcPr>
                <w:p w14:paraId="3A22A79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17078F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793" w:type="dxa"/>
                  <w:vMerge w:val="continue"/>
                  <w:vAlign w:val="center"/>
                </w:tcPr>
                <w:p w14:paraId="233276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881" w:type="dxa"/>
                  <w:vMerge w:val="continue"/>
                  <w:vAlign w:val="center"/>
                </w:tcPr>
                <w:p w14:paraId="3BB108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shd w:val="clear" w:color="auto" w:fill="auto"/>
                  <w:vAlign w:val="center"/>
                </w:tcPr>
                <w:p w14:paraId="1411FE5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《恶臭污染物排放标准》（GB14554-93）</w:t>
                  </w:r>
                </w:p>
              </w:tc>
              <w:tc>
                <w:tcPr>
                  <w:tcW w:w="1189" w:type="dxa"/>
                  <w:shd w:val="clear" w:color="auto" w:fill="auto"/>
                  <w:vAlign w:val="center"/>
                </w:tcPr>
                <w:p w14:paraId="3DC1DDA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w:t>
                  </w:r>
                </w:p>
              </w:tc>
              <w:tc>
                <w:tcPr>
                  <w:tcW w:w="1073" w:type="dxa"/>
                  <w:shd w:val="clear" w:color="auto" w:fill="auto"/>
                  <w:vAlign w:val="center"/>
                </w:tcPr>
                <w:p w14:paraId="7B58906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2000（无量纲）</w:t>
                  </w:r>
                </w:p>
              </w:tc>
            </w:tr>
            <w:tr w14:paraId="50DC3F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25749D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1"/>
                      <w:sz w:val="21"/>
                      <w:szCs w:val="21"/>
                      <w:lang w:val="en-US" w:eastAsia="zh-CN"/>
                    </w:rPr>
                  </w:pPr>
                </w:p>
              </w:tc>
              <w:tc>
                <w:tcPr>
                  <w:tcW w:w="753" w:type="dxa"/>
                  <w:vMerge w:val="continue"/>
                  <w:vAlign w:val="center"/>
                </w:tcPr>
                <w:p w14:paraId="5231398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086E8FB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46F6E97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545" w:type="dxa"/>
                  <w:vMerge w:val="continue"/>
                  <w:vAlign w:val="center"/>
                </w:tcPr>
                <w:p w14:paraId="47B1877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5B5F96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793" w:type="dxa"/>
                  <w:vMerge w:val="continue"/>
                  <w:vAlign w:val="center"/>
                </w:tcPr>
                <w:p w14:paraId="6BE003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881" w:type="dxa"/>
                  <w:vMerge w:val="continue"/>
                  <w:vAlign w:val="center"/>
                </w:tcPr>
                <w:p w14:paraId="572C870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vMerge w:val="restart"/>
                  <w:shd w:val="clear" w:color="auto" w:fill="auto"/>
                  <w:vAlign w:val="center"/>
                </w:tcPr>
                <w:p w14:paraId="20FBCE6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《大气污染物综合排放标准》（GB16297-1996）表2</w:t>
                  </w:r>
                </w:p>
              </w:tc>
              <w:tc>
                <w:tcPr>
                  <w:tcW w:w="1189" w:type="dxa"/>
                  <w:shd w:val="clear" w:color="auto" w:fill="auto"/>
                  <w:vAlign w:val="center"/>
                </w:tcPr>
                <w:p w14:paraId="706B5213">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25</w:t>
                  </w:r>
                </w:p>
              </w:tc>
              <w:tc>
                <w:tcPr>
                  <w:tcW w:w="1073" w:type="dxa"/>
                  <w:shd w:val="clear" w:color="auto" w:fill="auto"/>
                  <w:vAlign w:val="center"/>
                </w:tcPr>
                <w:p w14:paraId="3CE4105E">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0.26</w:t>
                  </w:r>
                </w:p>
              </w:tc>
            </w:tr>
            <w:tr w14:paraId="71BE19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763" w:type="dxa"/>
                  <w:vMerge w:val="continue"/>
                  <w:vAlign w:val="center"/>
                </w:tcPr>
                <w:p w14:paraId="646A0E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1"/>
                      <w:sz w:val="21"/>
                      <w:szCs w:val="21"/>
                      <w:lang w:val="en-US" w:eastAsia="zh-CN"/>
                    </w:rPr>
                  </w:pPr>
                </w:p>
              </w:tc>
              <w:tc>
                <w:tcPr>
                  <w:tcW w:w="753" w:type="dxa"/>
                  <w:vMerge w:val="continue"/>
                  <w:vAlign w:val="center"/>
                </w:tcPr>
                <w:p w14:paraId="53CF8B8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3"/>
                      <w:sz w:val="21"/>
                      <w:szCs w:val="21"/>
                      <w:lang w:val="en-US" w:eastAsia="zh-CN"/>
                    </w:rPr>
                  </w:pPr>
                </w:p>
              </w:tc>
              <w:tc>
                <w:tcPr>
                  <w:tcW w:w="753" w:type="dxa"/>
                  <w:vMerge w:val="continue"/>
                  <w:vAlign w:val="center"/>
                </w:tcPr>
                <w:p w14:paraId="60803D1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867" w:type="dxa"/>
                  <w:shd w:val="clear" w:color="auto" w:fill="auto"/>
                  <w:vAlign w:val="center"/>
                </w:tcPr>
                <w:p w14:paraId="7D60E2F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545" w:type="dxa"/>
                  <w:vMerge w:val="continue"/>
                  <w:vAlign w:val="center"/>
                </w:tcPr>
                <w:p w14:paraId="7F21F4C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highlight w:val="none"/>
                    </w:rPr>
                  </w:pPr>
                </w:p>
              </w:tc>
              <w:tc>
                <w:tcPr>
                  <w:tcW w:w="913" w:type="dxa"/>
                  <w:vMerge w:val="continue"/>
                  <w:vAlign w:val="center"/>
                </w:tcPr>
                <w:p w14:paraId="137153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auto"/>
                      <w:spacing w:val="-6"/>
                      <w:sz w:val="21"/>
                      <w:szCs w:val="21"/>
                      <w:highlight w:val="none"/>
                      <w:lang w:val="en-US" w:eastAsia="zh-CN"/>
                    </w:rPr>
                  </w:pPr>
                </w:p>
              </w:tc>
              <w:tc>
                <w:tcPr>
                  <w:tcW w:w="793" w:type="dxa"/>
                  <w:vMerge w:val="continue"/>
                  <w:vAlign w:val="center"/>
                </w:tcPr>
                <w:p w14:paraId="5CF107D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881" w:type="dxa"/>
                  <w:vMerge w:val="continue"/>
                  <w:vAlign w:val="center"/>
                </w:tcPr>
                <w:p w14:paraId="21C9BD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3509" w:type="dxa"/>
                  <w:vMerge w:val="continue"/>
                  <w:shd w:val="clear" w:color="auto" w:fill="auto"/>
                  <w:vAlign w:val="center"/>
                </w:tcPr>
                <w:p w14:paraId="4A070E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1189" w:type="dxa"/>
                  <w:shd w:val="clear" w:color="auto" w:fill="auto"/>
                  <w:vAlign w:val="center"/>
                </w:tcPr>
                <w:p w14:paraId="09A0A7C3">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100</w:t>
                  </w:r>
                </w:p>
              </w:tc>
              <w:tc>
                <w:tcPr>
                  <w:tcW w:w="1073" w:type="dxa"/>
                  <w:shd w:val="clear" w:color="auto" w:fill="auto"/>
                  <w:vAlign w:val="center"/>
                </w:tcPr>
                <w:p w14:paraId="65EBFF9A">
                  <w:pPr>
                    <w:widowControl/>
                    <w:tabs>
                      <w:tab w:val="left" w:pos="5420"/>
                    </w:tabs>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0.10</w:t>
                  </w:r>
                </w:p>
              </w:tc>
            </w:tr>
          </w:tbl>
          <w:p w14:paraId="53D1CF6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6、监测要求</w:t>
            </w:r>
          </w:p>
          <w:p w14:paraId="660DFC15">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根据</w:t>
            </w:r>
            <w:r>
              <w:rPr>
                <w:rFonts w:hint="eastAsia" w:ascii="Times New Roman" w:hAnsi="Times New Roman" w:cs="Times New Roman"/>
                <w:color w:val="auto"/>
                <w:lang w:eastAsia="zh-CN"/>
              </w:rPr>
              <w:t xml:space="preserve">《排污许可证申请与核发技术规范 </w:t>
            </w:r>
            <w:r>
              <w:rPr>
                <w:rFonts w:hint="eastAsia" w:ascii="Times New Roman" w:hAnsi="Times New Roman" w:cs="Times New Roman"/>
                <w:color w:val="auto"/>
                <w:lang w:val="en-US" w:eastAsia="zh-CN"/>
              </w:rPr>
              <w:t xml:space="preserve"> 金属铸造工业</w:t>
            </w:r>
            <w:r>
              <w:rPr>
                <w:rFonts w:hint="eastAsia" w:ascii="Times New Roman" w:hAnsi="Times New Roman" w:cs="Times New Roman"/>
                <w:color w:val="auto"/>
                <w:lang w:eastAsia="zh-CN"/>
              </w:rPr>
              <w:t>》（HJ</w:t>
            </w:r>
            <w:r>
              <w:rPr>
                <w:rFonts w:hint="eastAsia" w:ascii="Times New Roman" w:hAnsi="Times New Roman" w:cs="Times New Roman"/>
                <w:color w:val="auto"/>
                <w:lang w:val="en-US" w:eastAsia="zh-CN"/>
              </w:rPr>
              <w:t>1115-2020</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排污单位自行监测技术指南 金属铸造工业</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HJ1251-2022</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铸造工业大气污染物排放标准</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GB39726-2020</w:t>
            </w:r>
            <w:r>
              <w:rPr>
                <w:rFonts w:hint="eastAsia" w:ascii="Times New Roman" w:hAnsi="Times New Roman" w:cs="Times New Roman"/>
                <w:color w:val="auto"/>
                <w:lang w:eastAsia="zh-CN"/>
              </w:rPr>
              <w:t>）</w:t>
            </w:r>
            <w:r>
              <w:rPr>
                <w:rFonts w:hint="default" w:ascii="Times New Roman" w:hAnsi="Times New Roman" w:cs="Times New Roman"/>
                <w:color w:val="auto"/>
              </w:rPr>
              <w:t>要求，项目废气监测要求见下表。</w:t>
            </w:r>
          </w:p>
          <w:p w14:paraId="1E177E1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ascii="Times New Roman" w:hAnsi="Times New Roman" w:cs="Times New Roman"/>
                <w:b/>
                <w:bCs/>
                <w:color w:val="auto"/>
                <w:lang w:val="en-US" w:eastAsia="zh-CN"/>
              </w:rPr>
              <w:t>7</w:t>
            </w:r>
            <w:r>
              <w:rPr>
                <w:rFonts w:hint="default" w:ascii="Times New Roman" w:hAnsi="Times New Roman" w:cs="Times New Roman"/>
                <w:b/>
                <w:bCs/>
                <w:color w:val="auto"/>
              </w:rPr>
              <w:t>项目废气监测信息表</w:t>
            </w:r>
          </w:p>
          <w:p w14:paraId="0AF79F60">
            <w:pPr>
              <w:spacing w:line="149" w:lineRule="exact"/>
              <w:rPr>
                <w:rFonts w:hint="default" w:ascii="Times New Roman" w:hAnsi="Times New Roman" w:cs="Times New Roman"/>
                <w:color w:val="auto"/>
              </w:rPr>
            </w:pPr>
          </w:p>
          <w:tbl>
            <w:tblPr>
              <w:tblStyle w:val="21"/>
              <w:tblW w:w="1303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257"/>
              <w:gridCol w:w="1907"/>
              <w:gridCol w:w="4610"/>
              <w:gridCol w:w="3265"/>
            </w:tblGrid>
            <w:tr w14:paraId="031D03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jc w:val="center"/>
              </w:trPr>
              <w:tc>
                <w:tcPr>
                  <w:tcW w:w="3257" w:type="dxa"/>
                  <w:vAlign w:val="center"/>
                </w:tcPr>
                <w:p w14:paraId="104BED1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监测点位</w:t>
                  </w:r>
                </w:p>
              </w:tc>
              <w:tc>
                <w:tcPr>
                  <w:tcW w:w="1907" w:type="dxa"/>
                  <w:vAlign w:val="center"/>
                </w:tcPr>
                <w:p w14:paraId="2D6F63B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
                      <w:sz w:val="21"/>
                      <w:szCs w:val="21"/>
                    </w:rPr>
                    <w:t>排放口类型</w:t>
                  </w:r>
                </w:p>
              </w:tc>
              <w:tc>
                <w:tcPr>
                  <w:tcW w:w="4610" w:type="dxa"/>
                  <w:vAlign w:val="center"/>
                </w:tcPr>
                <w:p w14:paraId="48C6F41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监测因子</w:t>
                  </w:r>
                </w:p>
              </w:tc>
              <w:tc>
                <w:tcPr>
                  <w:tcW w:w="3265" w:type="dxa"/>
                  <w:vAlign w:val="center"/>
                </w:tcPr>
                <w:p w14:paraId="2FC23C5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监测频次</w:t>
                  </w:r>
                </w:p>
              </w:tc>
            </w:tr>
            <w:tr w14:paraId="13A995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jc w:val="center"/>
              </w:trPr>
              <w:tc>
                <w:tcPr>
                  <w:tcW w:w="3257" w:type="dxa"/>
                  <w:vAlign w:val="center"/>
                </w:tcPr>
                <w:p w14:paraId="2AE676D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DA001</w:t>
                  </w:r>
                </w:p>
              </w:tc>
              <w:tc>
                <w:tcPr>
                  <w:tcW w:w="1907" w:type="dxa"/>
                  <w:vAlign w:val="center"/>
                </w:tcPr>
                <w:p w14:paraId="791B714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一般排放口</w:t>
                  </w:r>
                </w:p>
              </w:tc>
              <w:tc>
                <w:tcPr>
                  <w:tcW w:w="4610" w:type="dxa"/>
                  <w:vAlign w:val="center"/>
                </w:tcPr>
                <w:p w14:paraId="47A5E3B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VOCs</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颗粒物、苯乙烯、臭气浓度、甲醛、酚类</w:t>
                  </w:r>
                </w:p>
              </w:tc>
              <w:tc>
                <w:tcPr>
                  <w:tcW w:w="3265" w:type="dxa"/>
                  <w:vAlign w:val="center"/>
                </w:tcPr>
                <w:p w14:paraId="45766BE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1次/</w:t>
                  </w:r>
                  <w:r>
                    <w:rPr>
                      <w:rFonts w:hint="eastAsia" w:ascii="Times New Roman" w:hAnsi="Times New Roman" w:cs="Times New Roman"/>
                      <w:color w:val="auto"/>
                      <w:spacing w:val="-10"/>
                      <w:sz w:val="21"/>
                      <w:szCs w:val="21"/>
                      <w:highlight w:val="none"/>
                      <w:lang w:val="en-US" w:eastAsia="zh-CN"/>
                    </w:rPr>
                    <w:t>半</w:t>
                  </w:r>
                  <w:r>
                    <w:rPr>
                      <w:rFonts w:hint="default" w:ascii="Times New Roman" w:hAnsi="Times New Roman" w:eastAsia="宋体" w:cs="Times New Roman"/>
                      <w:color w:val="auto"/>
                      <w:spacing w:val="-10"/>
                      <w:sz w:val="21"/>
                      <w:szCs w:val="21"/>
                      <w:highlight w:val="none"/>
                    </w:rPr>
                    <w:t>年</w:t>
                  </w:r>
                </w:p>
              </w:tc>
            </w:tr>
            <w:tr w14:paraId="4D6C09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jc w:val="center"/>
              </w:trPr>
              <w:tc>
                <w:tcPr>
                  <w:tcW w:w="3257" w:type="dxa"/>
                  <w:vAlign w:val="center"/>
                </w:tcPr>
                <w:p w14:paraId="57A80BD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2</w:t>
                  </w:r>
                </w:p>
              </w:tc>
              <w:tc>
                <w:tcPr>
                  <w:tcW w:w="1907" w:type="dxa"/>
                  <w:vAlign w:val="center"/>
                </w:tcPr>
                <w:p w14:paraId="4E50215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一般排放口</w:t>
                  </w:r>
                </w:p>
              </w:tc>
              <w:tc>
                <w:tcPr>
                  <w:tcW w:w="4610" w:type="dxa"/>
                  <w:shd w:val="clear" w:color="auto" w:fill="auto"/>
                  <w:vAlign w:val="center"/>
                </w:tcPr>
                <w:p w14:paraId="362B03F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VOCs</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颗粒物、苯乙烯、臭气浓度、甲醛、酚类</w:t>
                  </w:r>
                </w:p>
              </w:tc>
              <w:tc>
                <w:tcPr>
                  <w:tcW w:w="3265" w:type="dxa"/>
                  <w:vAlign w:val="center"/>
                </w:tcPr>
                <w:p w14:paraId="07B2D02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0"/>
                      <w:sz w:val="21"/>
                      <w:szCs w:val="21"/>
                      <w:highlight w:val="none"/>
                    </w:rPr>
                    <w:t>1次/</w:t>
                  </w:r>
                  <w:r>
                    <w:rPr>
                      <w:rFonts w:hint="eastAsia" w:ascii="Times New Roman" w:hAnsi="Times New Roman" w:cs="Times New Roman"/>
                      <w:color w:val="auto"/>
                      <w:spacing w:val="-10"/>
                      <w:sz w:val="21"/>
                      <w:szCs w:val="21"/>
                      <w:highlight w:val="none"/>
                      <w:lang w:val="en-US" w:eastAsia="zh-CN"/>
                    </w:rPr>
                    <w:t>半</w:t>
                  </w:r>
                  <w:r>
                    <w:rPr>
                      <w:rFonts w:hint="default" w:ascii="Times New Roman" w:hAnsi="Times New Roman" w:eastAsia="宋体" w:cs="Times New Roman"/>
                      <w:color w:val="auto"/>
                      <w:spacing w:val="-10"/>
                      <w:sz w:val="21"/>
                      <w:szCs w:val="21"/>
                      <w:highlight w:val="none"/>
                    </w:rPr>
                    <w:t>年</w:t>
                  </w:r>
                </w:p>
              </w:tc>
            </w:tr>
            <w:tr w14:paraId="0E44EB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jc w:val="center"/>
              </w:trPr>
              <w:tc>
                <w:tcPr>
                  <w:tcW w:w="3257" w:type="dxa"/>
                  <w:vAlign w:val="center"/>
                </w:tcPr>
                <w:p w14:paraId="63E5408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3</w:t>
                  </w:r>
                </w:p>
              </w:tc>
              <w:tc>
                <w:tcPr>
                  <w:tcW w:w="1907" w:type="dxa"/>
                  <w:vAlign w:val="center"/>
                </w:tcPr>
                <w:p w14:paraId="4338792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一般排放口</w:t>
                  </w:r>
                </w:p>
              </w:tc>
              <w:tc>
                <w:tcPr>
                  <w:tcW w:w="4610" w:type="dxa"/>
                  <w:shd w:val="clear" w:color="auto" w:fill="auto"/>
                  <w:vAlign w:val="center"/>
                </w:tcPr>
                <w:p w14:paraId="24FBA6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VOCs</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颗粒物、苯乙烯、臭气浓度、甲醛、酚类</w:t>
                  </w:r>
                </w:p>
              </w:tc>
              <w:tc>
                <w:tcPr>
                  <w:tcW w:w="3265" w:type="dxa"/>
                  <w:vAlign w:val="center"/>
                </w:tcPr>
                <w:p w14:paraId="7D35D44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1次/</w:t>
                  </w:r>
                  <w:r>
                    <w:rPr>
                      <w:rFonts w:hint="eastAsia" w:ascii="Times New Roman" w:hAnsi="Times New Roman" w:cs="Times New Roman"/>
                      <w:color w:val="auto"/>
                      <w:spacing w:val="-10"/>
                      <w:sz w:val="21"/>
                      <w:szCs w:val="21"/>
                      <w:highlight w:val="none"/>
                      <w:lang w:val="en-US" w:eastAsia="zh-CN"/>
                    </w:rPr>
                    <w:t>半</w:t>
                  </w:r>
                  <w:r>
                    <w:rPr>
                      <w:rFonts w:hint="default" w:ascii="Times New Roman" w:hAnsi="Times New Roman" w:eastAsia="宋体" w:cs="Times New Roman"/>
                      <w:color w:val="auto"/>
                      <w:spacing w:val="-10"/>
                      <w:sz w:val="21"/>
                      <w:szCs w:val="21"/>
                      <w:highlight w:val="none"/>
                    </w:rPr>
                    <w:t>年</w:t>
                  </w:r>
                </w:p>
              </w:tc>
            </w:tr>
            <w:tr w14:paraId="5AD281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jc w:val="center"/>
              </w:trPr>
              <w:tc>
                <w:tcPr>
                  <w:tcW w:w="5164" w:type="dxa"/>
                  <w:gridSpan w:val="2"/>
                  <w:vAlign w:val="center"/>
                </w:tcPr>
                <w:p w14:paraId="7FEE9C9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厂界</w:t>
                  </w:r>
                </w:p>
              </w:tc>
              <w:tc>
                <w:tcPr>
                  <w:tcW w:w="4610" w:type="dxa"/>
                  <w:vAlign w:val="center"/>
                </w:tcPr>
                <w:p w14:paraId="2AA58CE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VOCs</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颗粒物、苯乙烯、臭气浓度、甲醛、酚类</w:t>
                  </w:r>
                </w:p>
              </w:tc>
              <w:tc>
                <w:tcPr>
                  <w:tcW w:w="3265" w:type="dxa"/>
                  <w:vAlign w:val="center"/>
                </w:tcPr>
                <w:p w14:paraId="5893DF7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0"/>
                      <w:sz w:val="21"/>
                      <w:szCs w:val="21"/>
                      <w:highlight w:val="none"/>
                    </w:rPr>
                    <w:t>1次/年</w:t>
                  </w:r>
                </w:p>
              </w:tc>
            </w:tr>
            <w:tr w14:paraId="6D15ED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jc w:val="center"/>
              </w:trPr>
              <w:tc>
                <w:tcPr>
                  <w:tcW w:w="5164" w:type="dxa"/>
                  <w:gridSpan w:val="2"/>
                  <w:vAlign w:val="center"/>
                </w:tcPr>
                <w:p w14:paraId="29FC1A8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厂区内</w:t>
                  </w:r>
                </w:p>
              </w:tc>
              <w:tc>
                <w:tcPr>
                  <w:tcW w:w="4610" w:type="dxa"/>
                  <w:vAlign w:val="center"/>
                </w:tcPr>
                <w:p w14:paraId="2622D50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VOCs</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颗粒物</w:t>
                  </w:r>
                </w:p>
              </w:tc>
              <w:tc>
                <w:tcPr>
                  <w:tcW w:w="3265" w:type="dxa"/>
                  <w:vAlign w:val="center"/>
                </w:tcPr>
                <w:p w14:paraId="1D24A2A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1次/年</w:t>
                  </w:r>
                </w:p>
              </w:tc>
            </w:tr>
          </w:tbl>
          <w:p w14:paraId="7EB2FCD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7、非正常情况</w:t>
            </w:r>
          </w:p>
          <w:p w14:paraId="3DD0FE2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非正常情况主要是停电或设备开停车、检修时，环保装置未提前开启，造成废气超标排放，以</w:t>
            </w:r>
            <w:r>
              <w:rPr>
                <w:rFonts w:hint="eastAsia" w:ascii="Times New Roman" w:hAnsi="Times New Roman" w:cs="Times New Roman"/>
                <w:color w:val="auto"/>
                <w:lang w:val="en-US" w:eastAsia="zh-CN"/>
              </w:rPr>
              <w:t>布袋除尘器</w:t>
            </w:r>
            <w:r>
              <w:rPr>
                <w:rFonts w:hint="default" w:ascii="Times New Roman" w:hAnsi="Times New Roman" w:cs="Times New Roman"/>
                <w:color w:val="auto"/>
              </w:rPr>
              <w:t>净化效率</w:t>
            </w:r>
            <w:r>
              <w:rPr>
                <w:rFonts w:hint="eastAsia" w:ascii="Times New Roman" w:hAnsi="Times New Roman" w:cs="Times New Roman"/>
                <w:color w:val="auto"/>
                <w:lang w:val="en-US" w:eastAsia="zh-CN"/>
              </w:rPr>
              <w:t>下降到95%</w:t>
            </w:r>
            <w:r>
              <w:rPr>
                <w:rFonts w:hint="default" w:ascii="Times New Roman" w:hAnsi="Times New Roman" w:cs="Times New Roman"/>
                <w:color w:val="auto"/>
              </w:rPr>
              <w:t>考虑</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活性炭吸附装置</w:t>
            </w:r>
            <w:r>
              <w:rPr>
                <w:rFonts w:hint="default" w:ascii="Times New Roman" w:hAnsi="Times New Roman" w:cs="Times New Roman"/>
                <w:color w:val="auto"/>
              </w:rPr>
              <w:t>净化效率</w:t>
            </w:r>
            <w:r>
              <w:rPr>
                <w:rFonts w:hint="eastAsia" w:ascii="Times New Roman" w:hAnsi="Times New Roman" w:cs="Times New Roman"/>
                <w:color w:val="auto"/>
                <w:lang w:val="en-US" w:eastAsia="zh-CN"/>
              </w:rPr>
              <w:t>下降到50%</w:t>
            </w:r>
            <w:r>
              <w:rPr>
                <w:rFonts w:hint="default" w:ascii="Times New Roman" w:hAnsi="Times New Roman" w:cs="Times New Roman"/>
                <w:color w:val="auto"/>
              </w:rPr>
              <w:t>考虑，源强最大的时段废气排放1h对周围环境的影响。</w:t>
            </w:r>
          </w:p>
          <w:p w14:paraId="2D1FC2E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ascii="Times New Roman" w:hAnsi="Times New Roman" w:cs="Times New Roman"/>
                <w:b/>
                <w:bCs/>
                <w:color w:val="auto"/>
                <w:lang w:val="en-US" w:eastAsia="zh-CN"/>
              </w:rPr>
              <w:t>8</w:t>
            </w:r>
            <w:r>
              <w:rPr>
                <w:rFonts w:hint="default" w:ascii="Times New Roman" w:hAnsi="Times New Roman" w:cs="Times New Roman"/>
                <w:b/>
                <w:bCs/>
                <w:color w:val="auto"/>
              </w:rPr>
              <w:t>非正常情况污染物排放信息表</w:t>
            </w:r>
          </w:p>
          <w:p w14:paraId="30B58F44">
            <w:pPr>
              <w:spacing w:line="147" w:lineRule="exact"/>
              <w:rPr>
                <w:rFonts w:hint="default" w:ascii="Times New Roman" w:hAnsi="Times New Roman" w:cs="Times New Roman"/>
                <w:color w:val="auto"/>
              </w:rPr>
            </w:pPr>
          </w:p>
          <w:tbl>
            <w:tblPr>
              <w:tblStyle w:val="21"/>
              <w:tblW w:w="1303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27"/>
              <w:gridCol w:w="969"/>
              <w:gridCol w:w="1179"/>
              <w:gridCol w:w="805"/>
              <w:gridCol w:w="1250"/>
              <w:gridCol w:w="1349"/>
              <w:gridCol w:w="1471"/>
              <w:gridCol w:w="1889"/>
              <w:gridCol w:w="3200"/>
            </w:tblGrid>
            <w:tr w14:paraId="0027EB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27" w:type="dxa"/>
                  <w:vAlign w:val="center"/>
                </w:tcPr>
                <w:p w14:paraId="16A6723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排放口</w:t>
                  </w:r>
                </w:p>
                <w:p w14:paraId="37413FD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编号</w:t>
                  </w:r>
                </w:p>
              </w:tc>
              <w:tc>
                <w:tcPr>
                  <w:tcW w:w="969" w:type="dxa"/>
                  <w:vAlign w:val="center"/>
                </w:tcPr>
                <w:p w14:paraId="0D6C4B0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排放口</w:t>
                  </w:r>
                </w:p>
                <w:p w14:paraId="02AB569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名称</w:t>
                  </w:r>
                </w:p>
              </w:tc>
              <w:tc>
                <w:tcPr>
                  <w:tcW w:w="1179" w:type="dxa"/>
                  <w:vAlign w:val="center"/>
                </w:tcPr>
                <w:p w14:paraId="4E27741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产污环节</w:t>
                  </w:r>
                </w:p>
              </w:tc>
              <w:tc>
                <w:tcPr>
                  <w:tcW w:w="805" w:type="dxa"/>
                  <w:vAlign w:val="center"/>
                </w:tcPr>
                <w:p w14:paraId="5D00452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污染物</w:t>
                  </w:r>
                  <w:r>
                    <w:rPr>
                      <w:rFonts w:hint="default" w:ascii="Times New Roman" w:hAnsi="Times New Roman" w:eastAsia="宋体" w:cs="Times New Roman"/>
                      <w:b/>
                      <w:bCs/>
                      <w:color w:val="auto"/>
                      <w:spacing w:val="-2"/>
                      <w:sz w:val="21"/>
                      <w:szCs w:val="21"/>
                    </w:rPr>
                    <w:t>种类</w:t>
                  </w:r>
                </w:p>
              </w:tc>
              <w:tc>
                <w:tcPr>
                  <w:tcW w:w="1250" w:type="dxa"/>
                  <w:vAlign w:val="center"/>
                </w:tcPr>
                <w:p w14:paraId="66DF502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排放浓度</w:t>
                  </w:r>
                </w:p>
                <w:p w14:paraId="7507015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（mg/m</w:t>
                  </w:r>
                  <w:r>
                    <w:rPr>
                      <w:rFonts w:hint="default" w:ascii="Times New Roman" w:hAnsi="Times New Roman" w:eastAsia="宋体" w:cs="Times New Roman"/>
                      <w:b/>
                      <w:bCs/>
                      <w:color w:val="auto"/>
                      <w:spacing w:val="-4"/>
                      <w:sz w:val="21"/>
                      <w:szCs w:val="21"/>
                      <w:vertAlign w:val="superscript"/>
                      <w:lang w:val="en-US" w:eastAsia="zh-CN"/>
                    </w:rPr>
                    <w:t>3</w:t>
                  </w:r>
                  <w:r>
                    <w:rPr>
                      <w:rFonts w:hint="default" w:ascii="Times New Roman" w:hAnsi="Times New Roman" w:eastAsia="宋体" w:cs="Times New Roman"/>
                      <w:b/>
                      <w:bCs/>
                      <w:color w:val="auto"/>
                      <w:spacing w:val="-4"/>
                      <w:sz w:val="21"/>
                      <w:szCs w:val="21"/>
                    </w:rPr>
                    <w:t>）</w:t>
                  </w:r>
                </w:p>
              </w:tc>
              <w:tc>
                <w:tcPr>
                  <w:tcW w:w="1349" w:type="dxa"/>
                  <w:vAlign w:val="center"/>
                </w:tcPr>
                <w:p w14:paraId="60BB0AA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排放量</w:t>
                  </w:r>
                </w:p>
                <w:p w14:paraId="7B958FC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5"/>
                      <w:sz w:val="21"/>
                      <w:szCs w:val="21"/>
                    </w:rPr>
                    <w:t>（kg/a）</w:t>
                  </w:r>
                </w:p>
              </w:tc>
              <w:tc>
                <w:tcPr>
                  <w:tcW w:w="1471" w:type="dxa"/>
                  <w:vAlign w:val="center"/>
                </w:tcPr>
                <w:p w14:paraId="4F95206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频次</w:t>
                  </w:r>
                  <w:r>
                    <w:rPr>
                      <w:rFonts w:hint="default" w:ascii="Times New Roman" w:hAnsi="Times New Roman" w:eastAsia="宋体" w:cs="Times New Roman"/>
                      <w:b/>
                      <w:bCs/>
                      <w:color w:val="auto"/>
                      <w:spacing w:val="-5"/>
                      <w:sz w:val="21"/>
                      <w:szCs w:val="21"/>
                    </w:rPr>
                    <w:t>（次/年）</w:t>
                  </w:r>
                </w:p>
              </w:tc>
              <w:tc>
                <w:tcPr>
                  <w:tcW w:w="1889" w:type="dxa"/>
                  <w:vAlign w:val="center"/>
                </w:tcPr>
                <w:p w14:paraId="6F199C4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持续时间（h/</w:t>
                  </w:r>
                  <w:r>
                    <w:rPr>
                      <w:rFonts w:hint="eastAsia" w:ascii="Times New Roman" w:hAnsi="Times New Roman" w:cs="Times New Roman"/>
                      <w:b/>
                      <w:bCs/>
                      <w:color w:val="auto"/>
                      <w:spacing w:val="-3"/>
                      <w:sz w:val="21"/>
                      <w:szCs w:val="21"/>
                      <w:lang w:val="en-US" w:eastAsia="zh-CN"/>
                    </w:rPr>
                    <w:t>次</w:t>
                  </w:r>
                  <w:r>
                    <w:rPr>
                      <w:rFonts w:hint="default" w:ascii="Times New Roman" w:hAnsi="Times New Roman" w:eastAsia="宋体" w:cs="Times New Roman"/>
                      <w:b/>
                      <w:bCs/>
                      <w:color w:val="auto"/>
                      <w:spacing w:val="-3"/>
                      <w:sz w:val="21"/>
                      <w:szCs w:val="21"/>
                    </w:rPr>
                    <w:t>）</w:t>
                  </w:r>
                </w:p>
              </w:tc>
              <w:tc>
                <w:tcPr>
                  <w:tcW w:w="3200" w:type="dxa"/>
                  <w:vAlign w:val="center"/>
                </w:tcPr>
                <w:p w14:paraId="7137C59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措施</w:t>
                  </w:r>
                </w:p>
              </w:tc>
            </w:tr>
            <w:tr w14:paraId="33EED1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27" w:type="dxa"/>
                  <w:vMerge w:val="restart"/>
                  <w:shd w:val="clear" w:color="auto" w:fill="auto"/>
                  <w:vAlign w:val="center"/>
                </w:tcPr>
                <w:p w14:paraId="1E890F9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rPr>
                    <w:t>DA001</w:t>
                  </w:r>
                </w:p>
              </w:tc>
              <w:tc>
                <w:tcPr>
                  <w:tcW w:w="969" w:type="dxa"/>
                  <w:vMerge w:val="restart"/>
                  <w:shd w:val="clear" w:color="auto" w:fill="auto"/>
                  <w:vAlign w:val="center"/>
                </w:tcPr>
                <w:p w14:paraId="7532C87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snapToGrid w:val="0"/>
                      <w:color w:val="auto"/>
                      <w:kern w:val="0"/>
                      <w:sz w:val="21"/>
                      <w:szCs w:val="21"/>
                      <w:lang w:val="en-US" w:eastAsia="zh-CN" w:bidi="ar-SA"/>
                    </w:rPr>
                    <w:t>电炉浇注西排气筒</w:t>
                  </w:r>
                </w:p>
              </w:tc>
              <w:tc>
                <w:tcPr>
                  <w:tcW w:w="1179" w:type="dxa"/>
                  <w:vMerge w:val="restart"/>
                  <w:shd w:val="clear" w:color="auto" w:fill="auto"/>
                  <w:vAlign w:val="center"/>
                </w:tcPr>
                <w:p w14:paraId="75CA7BE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熔化、浇注、抛丸</w:t>
                  </w:r>
                </w:p>
              </w:tc>
              <w:tc>
                <w:tcPr>
                  <w:tcW w:w="805" w:type="dxa"/>
                  <w:shd w:val="clear" w:color="auto" w:fill="auto"/>
                  <w:vAlign w:val="center"/>
                </w:tcPr>
                <w:p w14:paraId="0229C9A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250" w:type="dxa"/>
                  <w:vAlign w:val="center"/>
                </w:tcPr>
                <w:p w14:paraId="248456E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28.33 </w:t>
                  </w:r>
                </w:p>
              </w:tc>
              <w:tc>
                <w:tcPr>
                  <w:tcW w:w="1349" w:type="dxa"/>
                  <w:vAlign w:val="center"/>
                </w:tcPr>
                <w:p w14:paraId="2E6ED5F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0.283 </w:t>
                  </w:r>
                </w:p>
              </w:tc>
              <w:tc>
                <w:tcPr>
                  <w:tcW w:w="1471" w:type="dxa"/>
                  <w:shd w:val="clear" w:color="auto" w:fill="auto"/>
                  <w:vAlign w:val="center"/>
                </w:tcPr>
                <w:p w14:paraId="6B6298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w:t>
                  </w:r>
                </w:p>
              </w:tc>
              <w:tc>
                <w:tcPr>
                  <w:tcW w:w="1889" w:type="dxa"/>
                  <w:shd w:val="clear" w:color="auto" w:fill="auto"/>
                  <w:vAlign w:val="center"/>
                </w:tcPr>
                <w:p w14:paraId="5B36980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w:t>
                  </w:r>
                </w:p>
              </w:tc>
              <w:tc>
                <w:tcPr>
                  <w:tcW w:w="3200" w:type="dxa"/>
                  <w:vMerge w:val="restart"/>
                  <w:vAlign w:val="center"/>
                </w:tcPr>
                <w:p w14:paraId="4310ED1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装置开车时先运行废气处理系统，停车时后停</w:t>
                  </w:r>
                  <w:r>
                    <w:rPr>
                      <w:rFonts w:hint="default" w:ascii="Times New Roman" w:hAnsi="Times New Roman" w:eastAsia="宋体" w:cs="Times New Roman"/>
                      <w:color w:val="auto"/>
                      <w:spacing w:val="-1"/>
                      <w:sz w:val="21"/>
                      <w:szCs w:val="21"/>
                    </w:rPr>
                    <w:t>废气处理</w:t>
                  </w:r>
                  <w:r>
                    <w:rPr>
                      <w:rFonts w:hint="default" w:ascii="Times New Roman" w:hAnsi="Times New Roman" w:eastAsia="宋体" w:cs="Times New Roman"/>
                      <w:color w:val="auto"/>
                      <w:spacing w:val="-5"/>
                      <w:sz w:val="21"/>
                      <w:szCs w:val="21"/>
                    </w:rPr>
                    <w:t>装置，这样可避免开停车时出现工艺废气事故排放。</w:t>
                  </w:r>
                </w:p>
              </w:tc>
            </w:tr>
            <w:tr w14:paraId="3EDF34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27" w:type="dxa"/>
                  <w:vMerge w:val="continue"/>
                  <w:shd w:val="clear" w:color="auto" w:fill="auto"/>
                  <w:vAlign w:val="center"/>
                </w:tcPr>
                <w:p w14:paraId="1060377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
                      <w:sz w:val="21"/>
                      <w:szCs w:val="21"/>
                    </w:rPr>
                  </w:pPr>
                </w:p>
              </w:tc>
              <w:tc>
                <w:tcPr>
                  <w:tcW w:w="969" w:type="dxa"/>
                  <w:vMerge w:val="continue"/>
                  <w:shd w:val="clear" w:color="auto" w:fill="auto"/>
                  <w:vAlign w:val="center"/>
                </w:tcPr>
                <w:p w14:paraId="2648CC5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rPr>
                  </w:pPr>
                </w:p>
              </w:tc>
              <w:tc>
                <w:tcPr>
                  <w:tcW w:w="1179" w:type="dxa"/>
                  <w:vMerge w:val="continue"/>
                  <w:shd w:val="clear" w:color="auto" w:fill="auto"/>
                  <w:vAlign w:val="center"/>
                </w:tcPr>
                <w:p w14:paraId="6674696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p>
              </w:tc>
              <w:tc>
                <w:tcPr>
                  <w:tcW w:w="805" w:type="dxa"/>
                  <w:shd w:val="clear" w:color="auto" w:fill="auto"/>
                  <w:vAlign w:val="center"/>
                </w:tcPr>
                <w:p w14:paraId="1FC8EA2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VOCs</w:t>
                  </w:r>
                </w:p>
              </w:tc>
              <w:tc>
                <w:tcPr>
                  <w:tcW w:w="1250" w:type="dxa"/>
                  <w:vAlign w:val="center"/>
                </w:tcPr>
                <w:p w14:paraId="3E21193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20.33 </w:t>
                  </w:r>
                </w:p>
              </w:tc>
              <w:tc>
                <w:tcPr>
                  <w:tcW w:w="1349" w:type="dxa"/>
                  <w:vAlign w:val="center"/>
                </w:tcPr>
                <w:p w14:paraId="06A066A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0.203 </w:t>
                  </w:r>
                </w:p>
              </w:tc>
              <w:tc>
                <w:tcPr>
                  <w:tcW w:w="1471" w:type="dxa"/>
                  <w:shd w:val="clear" w:color="auto" w:fill="auto"/>
                  <w:vAlign w:val="center"/>
                </w:tcPr>
                <w:p w14:paraId="6492F25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w:t>
                  </w:r>
                </w:p>
              </w:tc>
              <w:tc>
                <w:tcPr>
                  <w:tcW w:w="1889" w:type="dxa"/>
                  <w:shd w:val="clear" w:color="auto" w:fill="auto"/>
                  <w:vAlign w:val="center"/>
                </w:tcPr>
                <w:p w14:paraId="338EF65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w:t>
                  </w:r>
                </w:p>
              </w:tc>
              <w:tc>
                <w:tcPr>
                  <w:tcW w:w="3200" w:type="dxa"/>
                  <w:vMerge w:val="continue"/>
                  <w:vAlign w:val="center"/>
                </w:tcPr>
                <w:p w14:paraId="00B5ED0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r w14:paraId="227A6A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27" w:type="dxa"/>
                  <w:vMerge w:val="restart"/>
                  <w:vAlign w:val="center"/>
                </w:tcPr>
                <w:p w14:paraId="4564D0C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2</w:t>
                  </w:r>
                </w:p>
              </w:tc>
              <w:tc>
                <w:tcPr>
                  <w:tcW w:w="969" w:type="dxa"/>
                  <w:vMerge w:val="restart"/>
                  <w:vAlign w:val="center"/>
                </w:tcPr>
                <w:p w14:paraId="7618603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电炉浇注砂东排气筒</w:t>
                  </w:r>
                </w:p>
              </w:tc>
              <w:tc>
                <w:tcPr>
                  <w:tcW w:w="1179" w:type="dxa"/>
                  <w:vMerge w:val="restart"/>
                  <w:vAlign w:val="center"/>
                </w:tcPr>
                <w:p w14:paraId="1739D56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snapToGrid w:val="0"/>
                      <w:color w:val="auto"/>
                      <w:kern w:val="0"/>
                      <w:sz w:val="21"/>
                      <w:szCs w:val="21"/>
                      <w:lang w:val="en-US" w:eastAsia="zh-CN" w:bidi="ar-SA"/>
                    </w:rPr>
                    <w:t>熔化、浇注、砂处理</w:t>
                  </w:r>
                </w:p>
              </w:tc>
              <w:tc>
                <w:tcPr>
                  <w:tcW w:w="805" w:type="dxa"/>
                  <w:shd w:val="clear" w:color="auto" w:fill="auto"/>
                  <w:vAlign w:val="center"/>
                </w:tcPr>
                <w:p w14:paraId="7A9FDEE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250" w:type="dxa"/>
                  <w:vAlign w:val="center"/>
                </w:tcPr>
                <w:p w14:paraId="42CEDB0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41.67 </w:t>
                  </w:r>
                </w:p>
              </w:tc>
              <w:tc>
                <w:tcPr>
                  <w:tcW w:w="1349" w:type="dxa"/>
                  <w:vAlign w:val="center"/>
                </w:tcPr>
                <w:p w14:paraId="7075D70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2.083 </w:t>
                  </w:r>
                </w:p>
              </w:tc>
              <w:tc>
                <w:tcPr>
                  <w:tcW w:w="1471" w:type="dxa"/>
                  <w:vAlign w:val="center"/>
                </w:tcPr>
                <w:p w14:paraId="79AC68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889" w:type="dxa"/>
                  <w:vAlign w:val="center"/>
                </w:tcPr>
                <w:p w14:paraId="16902D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200" w:type="dxa"/>
                  <w:vMerge w:val="continue"/>
                  <w:vAlign w:val="center"/>
                </w:tcPr>
                <w:p w14:paraId="69DD22F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r w14:paraId="3D1C5B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27" w:type="dxa"/>
                  <w:vMerge w:val="continue"/>
                  <w:vAlign w:val="center"/>
                </w:tcPr>
                <w:p w14:paraId="101790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969" w:type="dxa"/>
                  <w:vMerge w:val="continue"/>
                  <w:vAlign w:val="center"/>
                </w:tcPr>
                <w:p w14:paraId="1E0E400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1179" w:type="dxa"/>
                  <w:vMerge w:val="continue"/>
                  <w:vAlign w:val="center"/>
                </w:tcPr>
                <w:p w14:paraId="40CE80F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805" w:type="dxa"/>
                  <w:shd w:val="clear" w:color="auto" w:fill="auto"/>
                  <w:vAlign w:val="center"/>
                </w:tcPr>
                <w:p w14:paraId="381E04B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VOCs</w:t>
                  </w:r>
                </w:p>
              </w:tc>
              <w:tc>
                <w:tcPr>
                  <w:tcW w:w="1250" w:type="dxa"/>
                  <w:vAlign w:val="center"/>
                </w:tcPr>
                <w:p w14:paraId="798C5EA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4.07 </w:t>
                  </w:r>
                </w:p>
              </w:tc>
              <w:tc>
                <w:tcPr>
                  <w:tcW w:w="1349" w:type="dxa"/>
                  <w:vAlign w:val="center"/>
                </w:tcPr>
                <w:p w14:paraId="36C6F11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0.203 </w:t>
                  </w:r>
                </w:p>
              </w:tc>
              <w:tc>
                <w:tcPr>
                  <w:tcW w:w="1471" w:type="dxa"/>
                  <w:shd w:val="clear" w:color="auto" w:fill="auto"/>
                  <w:vAlign w:val="center"/>
                </w:tcPr>
                <w:p w14:paraId="78860F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w:t>
                  </w:r>
                </w:p>
              </w:tc>
              <w:tc>
                <w:tcPr>
                  <w:tcW w:w="1889" w:type="dxa"/>
                  <w:shd w:val="clear" w:color="auto" w:fill="auto"/>
                  <w:vAlign w:val="center"/>
                </w:tcPr>
                <w:p w14:paraId="366FD4C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w:t>
                  </w:r>
                </w:p>
              </w:tc>
              <w:tc>
                <w:tcPr>
                  <w:tcW w:w="3200" w:type="dxa"/>
                  <w:vMerge w:val="continue"/>
                  <w:vAlign w:val="center"/>
                </w:tcPr>
                <w:p w14:paraId="7258782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r w14:paraId="40D2BF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27" w:type="dxa"/>
                  <w:vMerge w:val="restart"/>
                  <w:vAlign w:val="center"/>
                </w:tcPr>
                <w:p w14:paraId="0A1FACF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
                      <w:sz w:val="21"/>
                      <w:szCs w:val="21"/>
                    </w:rPr>
                  </w:pPr>
                  <w:r>
                    <w:rPr>
                      <w:rFonts w:hint="eastAsia" w:ascii="Times New Roman" w:hAnsi="Times New Roman" w:cs="Times New Roman"/>
                      <w:color w:val="auto"/>
                      <w:spacing w:val="-1"/>
                      <w:sz w:val="21"/>
                      <w:szCs w:val="21"/>
                      <w:lang w:val="en-US" w:eastAsia="zh-CN"/>
                    </w:rPr>
                    <w:t>DA003</w:t>
                  </w:r>
                </w:p>
              </w:tc>
              <w:tc>
                <w:tcPr>
                  <w:tcW w:w="969" w:type="dxa"/>
                  <w:vMerge w:val="restart"/>
                  <w:vAlign w:val="center"/>
                </w:tcPr>
                <w:p w14:paraId="4F38B18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rPr>
                  </w:pPr>
                  <w:r>
                    <w:rPr>
                      <w:rFonts w:hint="eastAsia" w:ascii="Times New Roman" w:hAnsi="Times New Roman" w:cs="Times New Roman"/>
                      <w:color w:val="auto"/>
                      <w:spacing w:val="-3"/>
                      <w:sz w:val="21"/>
                      <w:szCs w:val="21"/>
                      <w:lang w:val="en-US" w:eastAsia="zh-CN"/>
                    </w:rPr>
                    <w:t>射芯抛丸排气筒</w:t>
                  </w:r>
                </w:p>
              </w:tc>
              <w:tc>
                <w:tcPr>
                  <w:tcW w:w="1179" w:type="dxa"/>
                  <w:vMerge w:val="restart"/>
                  <w:vAlign w:val="center"/>
                </w:tcPr>
                <w:p w14:paraId="40AB246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射芯、抛丸、烘干</w:t>
                  </w:r>
                </w:p>
              </w:tc>
              <w:tc>
                <w:tcPr>
                  <w:tcW w:w="805" w:type="dxa"/>
                  <w:shd w:val="clear" w:color="auto" w:fill="auto"/>
                  <w:vAlign w:val="center"/>
                </w:tcPr>
                <w:p w14:paraId="20C720F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颗粒物</w:t>
                  </w:r>
                </w:p>
              </w:tc>
              <w:tc>
                <w:tcPr>
                  <w:tcW w:w="1250" w:type="dxa"/>
                  <w:vAlign w:val="center"/>
                </w:tcPr>
                <w:p w14:paraId="286AD84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26.67 </w:t>
                  </w:r>
                </w:p>
              </w:tc>
              <w:tc>
                <w:tcPr>
                  <w:tcW w:w="1349" w:type="dxa"/>
                  <w:vAlign w:val="center"/>
                </w:tcPr>
                <w:p w14:paraId="4221482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0.533 </w:t>
                  </w:r>
                </w:p>
              </w:tc>
              <w:tc>
                <w:tcPr>
                  <w:tcW w:w="1471" w:type="dxa"/>
                  <w:shd w:val="clear" w:color="auto" w:fill="auto"/>
                  <w:vAlign w:val="center"/>
                </w:tcPr>
                <w:p w14:paraId="2D067B0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w:t>
                  </w:r>
                </w:p>
              </w:tc>
              <w:tc>
                <w:tcPr>
                  <w:tcW w:w="1889" w:type="dxa"/>
                  <w:shd w:val="clear" w:color="auto" w:fill="auto"/>
                  <w:vAlign w:val="center"/>
                </w:tcPr>
                <w:p w14:paraId="657274A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w:t>
                  </w:r>
                </w:p>
              </w:tc>
              <w:tc>
                <w:tcPr>
                  <w:tcW w:w="3200" w:type="dxa"/>
                  <w:vMerge w:val="continue"/>
                  <w:vAlign w:val="center"/>
                </w:tcPr>
                <w:p w14:paraId="3B3D921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r w14:paraId="2A5A7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27" w:type="dxa"/>
                  <w:vMerge w:val="continue"/>
                  <w:vAlign w:val="center"/>
                </w:tcPr>
                <w:p w14:paraId="3463E1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
                      <w:sz w:val="21"/>
                      <w:szCs w:val="21"/>
                    </w:rPr>
                  </w:pPr>
                </w:p>
              </w:tc>
              <w:tc>
                <w:tcPr>
                  <w:tcW w:w="969" w:type="dxa"/>
                  <w:vMerge w:val="continue"/>
                  <w:vAlign w:val="center"/>
                </w:tcPr>
                <w:p w14:paraId="651D23B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2"/>
                      <w:sz w:val="21"/>
                      <w:szCs w:val="21"/>
                    </w:rPr>
                  </w:pPr>
                </w:p>
              </w:tc>
              <w:tc>
                <w:tcPr>
                  <w:tcW w:w="1179" w:type="dxa"/>
                  <w:vMerge w:val="continue"/>
                  <w:vAlign w:val="center"/>
                </w:tcPr>
                <w:p w14:paraId="3AA9377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p>
              </w:tc>
              <w:tc>
                <w:tcPr>
                  <w:tcW w:w="805" w:type="dxa"/>
                  <w:shd w:val="clear" w:color="auto" w:fill="auto"/>
                  <w:vAlign w:val="center"/>
                </w:tcPr>
                <w:p w14:paraId="76DBA40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VOCs</w:t>
                  </w:r>
                </w:p>
              </w:tc>
              <w:tc>
                <w:tcPr>
                  <w:tcW w:w="1250" w:type="dxa"/>
                  <w:vAlign w:val="center"/>
                </w:tcPr>
                <w:p w14:paraId="7EC5A26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2.83 </w:t>
                  </w:r>
                </w:p>
              </w:tc>
              <w:tc>
                <w:tcPr>
                  <w:tcW w:w="1349" w:type="dxa"/>
                  <w:vAlign w:val="center"/>
                </w:tcPr>
                <w:p w14:paraId="167A210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0.057 </w:t>
                  </w:r>
                </w:p>
              </w:tc>
              <w:tc>
                <w:tcPr>
                  <w:tcW w:w="1471" w:type="dxa"/>
                  <w:shd w:val="clear" w:color="auto" w:fill="auto"/>
                  <w:vAlign w:val="center"/>
                </w:tcPr>
                <w:p w14:paraId="39810FA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w:t>
                  </w:r>
                </w:p>
              </w:tc>
              <w:tc>
                <w:tcPr>
                  <w:tcW w:w="1889" w:type="dxa"/>
                  <w:shd w:val="clear" w:color="auto" w:fill="auto"/>
                  <w:vAlign w:val="center"/>
                </w:tcPr>
                <w:p w14:paraId="6B03EF2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w:t>
                  </w:r>
                </w:p>
              </w:tc>
              <w:tc>
                <w:tcPr>
                  <w:tcW w:w="3200" w:type="dxa"/>
                  <w:vMerge w:val="continue"/>
                  <w:vAlign w:val="center"/>
                </w:tcPr>
                <w:p w14:paraId="5AF1CBE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bl>
          <w:p w14:paraId="48E7029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此时，各排气筒的颗粒物均不能满足排放限值要求，需及时停产减少污染物排放对环境的影响。</w:t>
            </w:r>
          </w:p>
          <w:p w14:paraId="43BC7D1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cs="Times New Roman"/>
                <w:color w:val="auto"/>
                <w:lang w:val="en-US" w:eastAsia="zh-CN"/>
              </w:rPr>
              <w:t>8</w:t>
            </w:r>
            <w:r>
              <w:rPr>
                <w:rFonts w:hint="default" w:ascii="Times New Roman" w:hAnsi="Times New Roman" w:eastAsia="宋体" w:cs="Times New Roman"/>
                <w:color w:val="auto"/>
              </w:rPr>
              <w:t>、废气治理措施可行性分析</w:t>
            </w:r>
          </w:p>
          <w:p w14:paraId="17390AC6">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（1）废气治理工艺可行性论证</w:t>
            </w:r>
          </w:p>
          <w:p w14:paraId="1F03C6E6">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①布袋除尘器</w:t>
            </w:r>
          </w:p>
          <w:p w14:paraId="50FF1B82">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布袋除尘器是含尘气体通过滤袋滤去其中粉尘粒子的分离捕集装置，是过滤式除尘器的一种，待净化的气体通过布袋除尘器时，粉尘颗粒被滤层捕集留在滤料层中，得到净化的气体排放。捕尘后的滤料经清灰、再生后可重复使用。布袋除尘器净化效率高，可捕集多种干性粉尘，对含微米或亚微米数量级的粉尘效率可达99%；含尘气体浓度在相当大的范围内变化对布袋除尘器的除尘效率和阻力影响不大；布袋除尘器可设计制造出适应不同气量的含尘气体的要求，除尘器的处理烟气量可从几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/h到几百万m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/h，可做成小型的，安装在产尘设备上或车间内设备共用，适用于本项目的生产情况。从投资、粉尘特点及产生量、除尘效率等方面综合考虑，本项目采用布袋除尘器处理粉碎过程中产生粉尘。</w:t>
            </w:r>
          </w:p>
          <w:p w14:paraId="28D29887">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4"/>
                <w:szCs w:val="24"/>
                <w:highlight w:val="none"/>
                <w:lang w:val="en-US" w:eastAsia="zh-CN"/>
              </w:rPr>
              <w:t>②</w:t>
            </w:r>
            <w:r>
              <w:rPr>
                <w:rFonts w:hint="default" w:ascii="Times New Roman" w:hAnsi="Times New Roman" w:eastAsia="宋体" w:cs="Times New Roman"/>
                <w:color w:val="auto"/>
              </w:rPr>
              <w:t>活性炭吸附净化装置是一种利用活性炭特有的吸附特性设计而成的环保设备。其又可称为活性炭废气净化设备、活性炭吸附塔、活性炭过滤装置等。活性炭吸附净化装置主要用于过滤吸附各种废气中的异味成分，如化工有机废气、喷漆房废气、油墨废气、焊接废气、塑料加工废气等，这些废气中所含的各种有毒有害和有异味的气体均可被此装置吸附净化。项目采用二级活性炭吸附装置，增加一级，再次提高了污染物的处理效力，</w:t>
            </w:r>
            <w:r>
              <w:rPr>
                <w:rFonts w:hint="default" w:ascii="Times New Roman" w:hAnsi="Times New Roman" w:cs="Times New Roman"/>
                <w:color w:val="auto"/>
                <w:lang w:val="en-US" w:eastAsia="zh-CN"/>
              </w:rPr>
              <w:t>同时为</w:t>
            </w:r>
            <w:r>
              <w:rPr>
                <w:rFonts w:hint="eastAsia" w:ascii="Times New Roman" w:hAnsi="Times New Roman" w:cs="Times New Roman"/>
                <w:color w:val="auto"/>
                <w:lang w:eastAsia="zh-CN"/>
              </w:rPr>
              <w:t>《排污许可证申请与核发技术规范 总则》（HJ942－2018）</w:t>
            </w:r>
            <w:r>
              <w:rPr>
                <w:rFonts w:hint="default" w:ascii="Times New Roman" w:hAnsi="Times New Roman" w:cs="Times New Roman"/>
                <w:color w:val="auto"/>
                <w:lang w:val="en-US" w:eastAsia="zh-CN"/>
              </w:rPr>
              <w:t>中的可行性技术，</w:t>
            </w:r>
            <w:r>
              <w:rPr>
                <w:rFonts w:hint="default" w:ascii="Times New Roman" w:hAnsi="Times New Roman" w:eastAsia="宋体" w:cs="Times New Roman"/>
                <w:color w:val="auto"/>
              </w:rPr>
              <w:t>此方式可行。</w:t>
            </w:r>
          </w:p>
          <w:p w14:paraId="7135B493">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项目废气均可达标排放，</w:t>
            </w:r>
            <w:r>
              <w:rPr>
                <w:rFonts w:hint="default" w:ascii="Times New Roman" w:hAnsi="Times New Roman" w:eastAsia="宋体" w:cs="Times New Roman"/>
                <w:color w:val="auto"/>
              </w:rPr>
              <w:t>根据《污染防治可行技术指南》</w:t>
            </w:r>
            <w:r>
              <w:rPr>
                <w:rFonts w:hint="eastAsia" w:ascii="Times New Roman" w:hAnsi="Times New Roman" w:eastAsia="宋体" w:cs="Times New Roman"/>
                <w:color w:val="auto"/>
                <w:lang w:eastAsia="zh-CN"/>
              </w:rPr>
              <w:t>、《排污许可证申请与核发技术规范 总则》（HJ942－2018）</w:t>
            </w:r>
            <w:r>
              <w:rPr>
                <w:rFonts w:hint="eastAsia" w:ascii="Times New Roman" w:hAnsi="Times New Roman" w:cs="Times New Roman"/>
                <w:color w:val="auto"/>
                <w:lang w:eastAsia="zh-CN"/>
              </w:rPr>
              <w:t xml:space="preserve">《排污许可证申请与核发技术规范 </w:t>
            </w:r>
            <w:r>
              <w:rPr>
                <w:rFonts w:hint="eastAsia" w:ascii="Times New Roman" w:hAnsi="Times New Roman" w:cs="Times New Roman"/>
                <w:color w:val="auto"/>
                <w:lang w:val="en-US" w:eastAsia="zh-CN"/>
              </w:rPr>
              <w:t xml:space="preserve"> 金属铸造工业</w:t>
            </w:r>
            <w:r>
              <w:rPr>
                <w:rFonts w:hint="eastAsia" w:ascii="Times New Roman" w:hAnsi="Times New Roman" w:cs="Times New Roman"/>
                <w:color w:val="auto"/>
                <w:lang w:eastAsia="zh-CN"/>
              </w:rPr>
              <w:t>》（HJ</w:t>
            </w:r>
            <w:r>
              <w:rPr>
                <w:rFonts w:hint="eastAsia" w:ascii="Times New Roman" w:hAnsi="Times New Roman" w:cs="Times New Roman"/>
                <w:color w:val="auto"/>
                <w:lang w:val="en-US" w:eastAsia="zh-CN"/>
              </w:rPr>
              <w:t>1115-2020</w:t>
            </w:r>
            <w:r>
              <w:rPr>
                <w:rFonts w:hint="eastAsia" w:ascii="Times New Roman" w:hAnsi="Times New Roman" w:cs="Times New Roman"/>
                <w:color w:val="auto"/>
                <w:lang w:eastAsia="zh-CN"/>
              </w:rPr>
              <w:t>）</w:t>
            </w:r>
            <w:r>
              <w:rPr>
                <w:rFonts w:hint="default" w:ascii="Times New Roman" w:hAnsi="Times New Roman" w:eastAsia="宋体" w:cs="Times New Roman"/>
                <w:color w:val="auto"/>
              </w:rPr>
              <w:t>可行性措施</w:t>
            </w:r>
            <w:r>
              <w:rPr>
                <w:rFonts w:hint="default" w:ascii="Times New Roman" w:hAnsi="Times New Roman" w:eastAsia="宋体" w:cs="Times New Roman"/>
                <w:color w:val="auto"/>
                <w:lang w:val="en-US" w:eastAsia="zh-CN"/>
              </w:rPr>
              <w:t>，项目所采用的污染防治措施均属可行技术</w:t>
            </w:r>
            <w:r>
              <w:rPr>
                <w:rFonts w:hint="eastAsia" w:ascii="Times New Roman" w:hAnsi="Times New Roman" w:eastAsia="宋体" w:cs="Times New Roman"/>
                <w:color w:val="auto"/>
                <w:lang w:val="en-US" w:eastAsia="zh-CN"/>
              </w:rPr>
              <w:t>。</w:t>
            </w:r>
          </w:p>
          <w:p w14:paraId="658C03AE">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（2）排气筒高度可行性论证</w:t>
            </w:r>
          </w:p>
          <w:p w14:paraId="4D4BFBCD">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根据《区域性大气污染物综合排放标准》（DB37/2376—2019）要求：“排气筒的高度应不低于15m（储库底、地坑及物料转运点单机除尘设施除外），具体高度按通过审批、审核或备案的环境影响评价文件要求确定”，项目排气筒高度为15m，排气筒高度可行。</w:t>
            </w:r>
          </w:p>
          <w:p w14:paraId="181B49AD">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cs="Times New Roman"/>
                <w:color w:val="auto"/>
                <w:lang w:val="en-US" w:eastAsia="zh-CN"/>
              </w:rPr>
              <w:t>9</w:t>
            </w:r>
            <w:r>
              <w:rPr>
                <w:rFonts w:hint="default" w:ascii="Times New Roman" w:hAnsi="Times New Roman" w:eastAsia="宋体" w:cs="Times New Roman"/>
                <w:color w:val="auto"/>
              </w:rPr>
              <w:t>、废气达标及环境影响分析</w:t>
            </w:r>
          </w:p>
          <w:p w14:paraId="5DC578E2">
            <w:pPr>
              <w:ind w:firstLine="480" w:firstLineChars="200"/>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4"/>
                <w:szCs w:val="24"/>
              </w:rPr>
              <w:t>由前文可知，本项目建成后有组织VOCs排放浓度及排放速率执行</w:t>
            </w:r>
            <w:r>
              <w:rPr>
                <w:rFonts w:hint="eastAsia" w:ascii="Times New Roman" w:hAnsi="Times New Roman" w:cs="Times New Roman"/>
                <w:color w:val="auto"/>
                <w:sz w:val="24"/>
                <w:szCs w:val="24"/>
                <w:highlight w:val="none"/>
                <w:lang w:eastAsia="zh-CN"/>
              </w:rPr>
              <w:t>《挥发性有机物排放标准第7部分：其他行业》（DB37/2801.7-2019）</w:t>
            </w:r>
            <w:r>
              <w:rPr>
                <w:rFonts w:hint="default" w:ascii="Times New Roman" w:hAnsi="Times New Roman" w:eastAsia="宋体" w:cs="Times New Roman"/>
                <w:color w:val="auto"/>
                <w:sz w:val="24"/>
                <w:szCs w:val="24"/>
                <w:highlight w:val="none"/>
                <w:lang w:eastAsia="zh-CN"/>
              </w:rPr>
              <w:t>表</w:t>
            </w:r>
            <w:r>
              <w:rPr>
                <w:rFonts w:hint="eastAsia" w:ascii="Times New Roman" w:hAnsi="Times New Roman" w:cs="Times New Roman"/>
                <w:color w:val="auto"/>
                <w:sz w:val="24"/>
                <w:szCs w:val="24"/>
                <w:highlight w:val="none"/>
                <w:lang w:val="en-US" w:eastAsia="zh-CN"/>
              </w:rPr>
              <w:t>1非重点行业Ⅱ时段</w:t>
            </w:r>
            <w:r>
              <w:rPr>
                <w:rFonts w:hint="default" w:ascii="Times New Roman" w:hAnsi="Times New Roman" w:eastAsia="宋体" w:cs="Times New Roman"/>
                <w:color w:val="auto"/>
                <w:sz w:val="24"/>
                <w:szCs w:val="24"/>
                <w:lang w:eastAsia="zh-CN"/>
              </w:rPr>
              <w:t>排放限值</w:t>
            </w:r>
            <w:r>
              <w:rPr>
                <w:rFonts w:hint="default" w:ascii="Times New Roman" w:hAnsi="Times New Roman" w:eastAsia="宋体" w:cs="Times New Roman"/>
                <w:color w:val="auto"/>
                <w:sz w:val="24"/>
                <w:szCs w:val="24"/>
              </w:rPr>
              <w:t>要求</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VOCs：</w:t>
            </w:r>
            <w:r>
              <w:rPr>
                <w:rFonts w:hint="eastAsia" w:ascii="Times New Roman" w:hAnsi="Times New Roman" w:cs="Times New Roman"/>
                <w:color w:val="auto"/>
                <w:sz w:val="24"/>
                <w:szCs w:val="24"/>
                <w:lang w:val="en-US" w:eastAsia="zh-CN"/>
              </w:rPr>
              <w:t>60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kg/h</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有组织颗粒物排放浓度执行《区域性大气污染物综合排放标准》（DB37/2376-2019）中表1中重点控制区大气污染物排放浓度限值</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val="en-US" w:eastAsia="zh-CN"/>
              </w:rPr>
              <w:t>有组织苯乙烯、臭气浓度</w:t>
            </w:r>
            <w:r>
              <w:rPr>
                <w:rFonts w:hint="default" w:ascii="Times New Roman" w:hAnsi="Times New Roman" w:eastAsia="宋体" w:cs="Times New Roman"/>
                <w:color w:val="auto"/>
                <w:sz w:val="24"/>
                <w:szCs w:val="24"/>
              </w:rPr>
              <w:t>排放速率执行</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恶臭污染物排放标准</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GB14554-93</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表2排放要求（苯乙烯：6.5</w:t>
            </w:r>
            <w:r>
              <w:rPr>
                <w:rFonts w:hint="default" w:ascii="Times New Roman" w:hAnsi="Times New Roman" w:eastAsia="宋体" w:cs="Times New Roman"/>
                <w:color w:val="auto"/>
                <w:sz w:val="24"/>
                <w:szCs w:val="24"/>
                <w:lang w:val="en-US" w:eastAsia="zh-CN"/>
              </w:rPr>
              <w:t>kg/h</w:t>
            </w:r>
            <w:r>
              <w:rPr>
                <w:rFonts w:hint="eastAsia" w:ascii="Times New Roman" w:hAnsi="Times New Roman" w:cs="Times New Roman"/>
                <w:color w:val="auto"/>
                <w:sz w:val="24"/>
                <w:szCs w:val="24"/>
                <w:lang w:val="en-US" w:eastAsia="zh-CN"/>
              </w:rPr>
              <w:t>，臭气浓度：2000（无量纲））。</w:t>
            </w:r>
            <w:r>
              <w:rPr>
                <w:rFonts w:hint="default" w:ascii="Times New Roman" w:hAnsi="Times New Roman" w:cs="Times New Roman"/>
                <w:color w:val="auto"/>
                <w:szCs w:val="21"/>
                <w:highlight w:val="none"/>
              </w:rPr>
              <w:t>有组织</w:t>
            </w:r>
            <w:r>
              <w:rPr>
                <w:rFonts w:hint="default" w:ascii="Times New Roman" w:hAnsi="Times New Roman" w:cs="Times New Roman"/>
                <w:snapToGrid w:val="0"/>
                <w:color w:val="auto"/>
                <w:kern w:val="0"/>
                <w:szCs w:val="21"/>
                <w:highlight w:val="none"/>
              </w:rPr>
              <w:t>酚类</w:t>
            </w:r>
            <w:r>
              <w:rPr>
                <w:rFonts w:hint="default" w:ascii="Times New Roman" w:hAnsi="Times New Roman" w:cs="Times New Roman"/>
                <w:color w:val="auto"/>
                <w:szCs w:val="21"/>
                <w:highlight w:val="none"/>
              </w:rPr>
              <w:t>废气执行《大气污染物综合排放标准》</w:t>
            </w:r>
            <w:r>
              <w:rPr>
                <w:rFonts w:hint="default" w:ascii="Times New Roman" w:hAnsi="Times New Roman" w:cs="Times New Roman"/>
                <w:bCs/>
                <w:color w:val="auto"/>
                <w:szCs w:val="21"/>
                <w:highlight w:val="none"/>
                <w:lang w:val="en-GB"/>
              </w:rPr>
              <w:t xml:space="preserve"> (GB16297-1996)表2中</w:t>
            </w:r>
            <w:r>
              <w:rPr>
                <w:rFonts w:hint="default" w:ascii="Times New Roman" w:hAnsi="Times New Roman" w:cs="Times New Roman"/>
                <w:bCs/>
                <w:color w:val="auto"/>
                <w:szCs w:val="21"/>
                <w:highlight w:val="none"/>
              </w:rPr>
              <w:t>二级限值（100</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、0.10kg/h</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eastAsia="zh-CN"/>
              </w:rPr>
              <w:t>。</w:t>
            </w:r>
            <w:r>
              <w:rPr>
                <w:rFonts w:hint="default" w:ascii="Times New Roman" w:hAnsi="Times New Roman" w:cs="Times New Roman"/>
                <w:color w:val="auto"/>
                <w:szCs w:val="21"/>
                <w:highlight w:val="none"/>
              </w:rPr>
              <w:t>有组织甲醛废气执行《大气污染物综合排放标准》</w:t>
            </w:r>
            <w:r>
              <w:rPr>
                <w:rFonts w:hint="default" w:ascii="Times New Roman" w:hAnsi="Times New Roman" w:cs="Times New Roman"/>
                <w:bCs/>
                <w:color w:val="auto"/>
                <w:szCs w:val="21"/>
                <w:highlight w:val="none"/>
                <w:lang w:val="en-GB"/>
              </w:rPr>
              <w:t xml:space="preserve"> (GB16297-1996)表2中</w:t>
            </w:r>
            <w:r>
              <w:rPr>
                <w:rFonts w:hint="default" w:ascii="Times New Roman" w:hAnsi="Times New Roman" w:cs="Times New Roman"/>
                <w:bCs/>
                <w:color w:val="auto"/>
                <w:szCs w:val="21"/>
                <w:highlight w:val="none"/>
              </w:rPr>
              <w:t>二级限值（25</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、0.26kg/h</w:t>
            </w:r>
            <w:r>
              <w:rPr>
                <w:rFonts w:hint="default" w:ascii="Times New Roman" w:hAnsi="Times New Roman" w:cs="Times New Roman"/>
                <w:bCs/>
                <w:color w:val="auto"/>
                <w:szCs w:val="21"/>
                <w:highlight w:val="none"/>
              </w:rPr>
              <w:t>）</w:t>
            </w:r>
            <w:r>
              <w:rPr>
                <w:rFonts w:hint="default" w:ascii="Times New Roman" w:hAnsi="Times New Roman" w:cs="Times New Roman"/>
                <w:color w:val="auto"/>
                <w:szCs w:val="21"/>
                <w:highlight w:val="none"/>
              </w:rPr>
              <w:t>。</w:t>
            </w:r>
          </w:p>
          <w:p w14:paraId="6CB7B764">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rPr>
            </w:pPr>
            <w:r>
              <w:rPr>
                <w:rFonts w:hint="eastAsia" w:ascii="Times New Roman" w:hAnsi="Times New Roman" w:cs="Times New Roman"/>
                <w:color w:val="auto"/>
                <w:sz w:val="24"/>
                <w:szCs w:val="24"/>
                <w:lang w:val="en-US" w:eastAsia="zh-CN"/>
              </w:rPr>
              <w:t>厂界</w:t>
            </w:r>
            <w:r>
              <w:rPr>
                <w:rFonts w:hint="default" w:ascii="Times New Roman" w:hAnsi="Times New Roman" w:eastAsia="宋体" w:cs="Times New Roman"/>
                <w:color w:val="auto"/>
                <w:sz w:val="24"/>
                <w:szCs w:val="24"/>
              </w:rPr>
              <w:t>无组织VOCs</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臭气浓度</w:t>
            </w:r>
            <w:r>
              <w:rPr>
                <w:rFonts w:hint="default" w:ascii="Times New Roman" w:hAnsi="Times New Roman" w:eastAsia="宋体" w:cs="Times New Roman"/>
                <w:color w:val="auto"/>
                <w:sz w:val="24"/>
                <w:szCs w:val="24"/>
              </w:rPr>
              <w:t>排放浓度执行</w:t>
            </w:r>
            <w:r>
              <w:rPr>
                <w:rFonts w:hint="eastAsia" w:ascii="Times New Roman" w:hAnsi="Times New Roman" w:cs="Times New Roman"/>
                <w:color w:val="auto"/>
                <w:sz w:val="24"/>
                <w:szCs w:val="24"/>
                <w:lang w:eastAsia="zh-CN"/>
              </w:rPr>
              <w:t>《挥发性有机物排放标准第7部分：其他行业》（DB37/2801.7-2019）</w:t>
            </w:r>
            <w:r>
              <w:rPr>
                <w:rFonts w:hint="default" w:ascii="Times New Roman" w:hAnsi="Times New Roman" w:eastAsia="宋体" w:cs="Times New Roman"/>
                <w:color w:val="auto"/>
                <w:sz w:val="24"/>
                <w:szCs w:val="24"/>
                <w:lang w:eastAsia="zh-CN"/>
              </w:rPr>
              <w:t>表3厂界无组织排放限值</w:t>
            </w:r>
            <w:r>
              <w:rPr>
                <w:rFonts w:hint="default" w:ascii="Times New Roman" w:hAnsi="Times New Roman" w:eastAsia="宋体" w:cs="Times New Roman"/>
                <w:color w:val="auto"/>
                <w:sz w:val="24"/>
                <w:szCs w:val="24"/>
              </w:rPr>
              <w:t>要求</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VOCs</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，臭气浓度：16（无量纲）</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p>
          <w:p w14:paraId="20F9C811">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厂区内</w:t>
            </w:r>
            <w:r>
              <w:rPr>
                <w:rFonts w:hint="default" w:ascii="Times New Roman" w:hAnsi="Times New Roman" w:eastAsia="宋体" w:cs="Times New Roman"/>
                <w:color w:val="auto"/>
                <w:sz w:val="24"/>
                <w:szCs w:val="24"/>
                <w:lang w:val="en-US" w:eastAsia="zh-CN"/>
              </w:rPr>
              <w:t>无组织</w:t>
            </w:r>
            <w:r>
              <w:rPr>
                <w:rFonts w:hint="default" w:ascii="Times New Roman" w:hAnsi="Times New Roman" w:eastAsia="宋体" w:cs="Times New Roman"/>
                <w:color w:val="auto"/>
                <w:sz w:val="24"/>
                <w:szCs w:val="24"/>
              </w:rPr>
              <w:t>VOCs</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颗粒物</w:t>
            </w:r>
            <w:r>
              <w:rPr>
                <w:rFonts w:hint="default" w:ascii="Times New Roman" w:hAnsi="Times New Roman" w:eastAsia="宋体" w:cs="Times New Roman"/>
                <w:color w:val="auto"/>
                <w:sz w:val="24"/>
                <w:szCs w:val="24"/>
                <w:lang w:val="en-US" w:eastAsia="zh-CN"/>
              </w:rPr>
              <w:t>执行《</w:t>
            </w:r>
            <w:r>
              <w:rPr>
                <w:rFonts w:hint="eastAsia"/>
                <w:color w:val="auto"/>
                <w:lang w:val="en-US" w:eastAsia="zh-CN"/>
              </w:rPr>
              <w:t>铸造工业大气污染物排放标准</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GB39726-2020</w:t>
            </w:r>
            <w:r>
              <w:rPr>
                <w:rFonts w:hint="default" w:ascii="Times New Roman" w:hAnsi="Times New Roman" w:eastAsia="宋体" w:cs="Times New Roman"/>
                <w:color w:val="auto"/>
                <w:sz w:val="24"/>
                <w:szCs w:val="24"/>
                <w:lang w:val="en-US" w:eastAsia="zh-CN"/>
              </w:rPr>
              <w:t>）附录A，厂区内的无组织排放限值</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VOCs：</w:t>
            </w:r>
            <w:r>
              <w:rPr>
                <w:rFonts w:hint="eastAsia" w:ascii="Times New Roman" w:hAnsi="Times New Roman" w:cs="Times New Roman"/>
                <w:color w:val="auto"/>
                <w:sz w:val="24"/>
                <w:szCs w:val="24"/>
                <w:lang w:val="en-US" w:eastAsia="zh-CN"/>
              </w:rPr>
              <w:t>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（监控点处1h平均浓度值），30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（监控点处任意一次浓度值）；</w:t>
            </w:r>
            <w:r>
              <w:rPr>
                <w:rFonts w:hint="default" w:ascii="Times New Roman" w:hAnsi="Times New Roman" w:eastAsia="宋体" w:cs="Times New Roman"/>
                <w:color w:val="auto"/>
                <w:sz w:val="24"/>
                <w:szCs w:val="24"/>
                <w:lang w:eastAsia="zh-CN"/>
              </w:rPr>
              <w:t>颗粒物：</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14:paraId="3C2F1569">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val="en-US"/>
              </w:rPr>
            </w:pPr>
            <w:r>
              <w:rPr>
                <w:rFonts w:hint="eastAsia" w:ascii="Times New Roman" w:hAnsi="Times New Roman" w:cs="Times New Roman"/>
                <w:color w:val="auto"/>
                <w:sz w:val="24"/>
                <w:szCs w:val="24"/>
                <w:lang w:val="en-US" w:eastAsia="zh-CN"/>
              </w:rPr>
              <w:t>厂界</w:t>
            </w:r>
            <w:r>
              <w:rPr>
                <w:rFonts w:hint="default" w:ascii="Times New Roman" w:hAnsi="Times New Roman" w:eastAsia="宋体" w:cs="Times New Roman"/>
                <w:color w:val="auto"/>
                <w:sz w:val="24"/>
                <w:szCs w:val="24"/>
                <w:lang w:eastAsia="zh-CN"/>
              </w:rPr>
              <w:t>无组织颗粒物</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酚类</w:t>
            </w:r>
            <w:r>
              <w:rPr>
                <w:rFonts w:hint="default" w:ascii="Times New Roman" w:hAnsi="Times New Roman" w:eastAsia="宋体" w:cs="Times New Roman"/>
                <w:color w:val="auto"/>
                <w:sz w:val="24"/>
                <w:szCs w:val="24"/>
                <w:lang w:val="en-US" w:eastAsia="zh-CN"/>
              </w:rPr>
              <w:t>执行</w:t>
            </w:r>
            <w:r>
              <w:rPr>
                <w:rFonts w:hint="default" w:ascii="Times New Roman" w:hAnsi="Times New Roman" w:eastAsia="宋体" w:cs="Times New Roman"/>
                <w:color w:val="auto"/>
                <w:sz w:val="24"/>
                <w:szCs w:val="24"/>
                <w:highlight w:val="none"/>
                <w:lang w:eastAsia="zh-CN"/>
              </w:rPr>
              <w:t>《大气污染物综合排放标准》（</w:t>
            </w:r>
            <w:r>
              <w:rPr>
                <w:rFonts w:hint="default" w:ascii="Times New Roman" w:hAnsi="Times New Roman" w:eastAsia="宋体" w:cs="Times New Roman"/>
                <w:color w:val="auto"/>
                <w:sz w:val="24"/>
                <w:szCs w:val="24"/>
                <w:highlight w:val="none"/>
                <w:lang w:val="en-US" w:eastAsia="zh-CN"/>
              </w:rPr>
              <w:t>GB16297-1996</w:t>
            </w:r>
            <w:r>
              <w:rPr>
                <w:rFonts w:hint="default" w:ascii="Times New Roman" w:hAnsi="Times New Roman" w:eastAsia="宋体" w:cs="Times New Roman"/>
                <w:color w:val="auto"/>
                <w:sz w:val="24"/>
                <w:szCs w:val="24"/>
                <w:highlight w:val="none"/>
                <w:lang w:eastAsia="zh-CN"/>
              </w:rPr>
              <w:t>）表</w:t>
            </w:r>
            <w:r>
              <w:rPr>
                <w:rFonts w:hint="default" w:ascii="Times New Roman" w:hAnsi="Times New Roman" w:eastAsia="宋体" w:cs="Times New Roman"/>
                <w:color w:val="auto"/>
                <w:sz w:val="24"/>
                <w:szCs w:val="24"/>
                <w:highlight w:val="none"/>
                <w:lang w:val="en-US" w:eastAsia="zh-CN"/>
              </w:rPr>
              <w:t>2中</w:t>
            </w:r>
            <w:r>
              <w:rPr>
                <w:rFonts w:hint="default" w:ascii="Times New Roman" w:hAnsi="Times New Roman" w:eastAsia="宋体" w:cs="Times New Roman"/>
                <w:color w:val="auto"/>
                <w:sz w:val="24"/>
                <w:szCs w:val="24"/>
              </w:rPr>
              <w:t>无组织排放监控浓度限值</w:t>
            </w:r>
            <w:r>
              <w:rPr>
                <w:rFonts w:hint="default" w:ascii="Times New Roman" w:hAnsi="Times New Roman" w:eastAsia="宋体" w:cs="Times New Roman"/>
                <w:color w:val="auto"/>
                <w:sz w:val="24"/>
                <w:szCs w:val="24"/>
                <w:highlight w:val="none"/>
                <w:lang w:val="en-US" w:eastAsia="zh-CN"/>
              </w:rPr>
              <w:t>要求（</w:t>
            </w:r>
            <w:r>
              <w:rPr>
                <w:rFonts w:hint="default" w:ascii="Times New Roman" w:hAnsi="Times New Roman" w:eastAsia="宋体" w:cs="Times New Roman"/>
                <w:color w:val="auto"/>
                <w:sz w:val="24"/>
                <w:szCs w:val="24"/>
                <w:lang w:eastAsia="zh-CN"/>
              </w:rPr>
              <w:t>颗粒物：</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；酚类0.08</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lang w:val="en-US" w:eastAsia="zh-CN"/>
              </w:rPr>
              <w:t>厂界</w:t>
            </w:r>
            <w:r>
              <w:rPr>
                <w:rFonts w:hint="default" w:ascii="Times New Roman" w:hAnsi="Times New Roman" w:eastAsia="宋体" w:cs="Times New Roman"/>
                <w:color w:val="auto"/>
                <w:sz w:val="24"/>
                <w:szCs w:val="24"/>
                <w:lang w:eastAsia="zh-CN"/>
              </w:rPr>
              <w:t>无组织</w:t>
            </w:r>
            <w:r>
              <w:rPr>
                <w:rFonts w:hint="eastAsia" w:ascii="Times New Roman" w:hAnsi="Times New Roman" w:cs="Times New Roman"/>
                <w:color w:val="auto"/>
                <w:sz w:val="24"/>
                <w:szCs w:val="24"/>
                <w:lang w:val="en-US" w:eastAsia="zh-CN"/>
              </w:rPr>
              <w:t>苯乙烯、甲醛</w:t>
            </w:r>
            <w:r>
              <w:rPr>
                <w:rFonts w:hint="default" w:ascii="Times New Roman" w:hAnsi="Times New Roman" w:eastAsia="宋体" w:cs="Times New Roman"/>
                <w:color w:val="auto"/>
                <w:sz w:val="24"/>
                <w:szCs w:val="24"/>
                <w:lang w:val="en-US" w:eastAsia="zh-CN"/>
              </w:rPr>
              <w:t>执行</w:t>
            </w:r>
            <w:r>
              <w:rPr>
                <w:rFonts w:hint="eastAsia" w:ascii="Times New Roman" w:hAnsi="Times New Roman" w:cs="Times New Roman"/>
                <w:color w:val="auto"/>
                <w:sz w:val="24"/>
                <w:szCs w:val="24"/>
                <w:highlight w:val="none"/>
                <w:lang w:eastAsia="zh-CN"/>
              </w:rPr>
              <w:t>挥发性有机物排放标准第7部分：其他行业》（DB37/2801.7-2019）</w:t>
            </w:r>
            <w:r>
              <w:rPr>
                <w:rFonts w:hint="eastAsia" w:ascii="Times New Roman" w:hAnsi="Times New Roman" w:cs="Times New Roman"/>
                <w:color w:val="auto"/>
                <w:sz w:val="24"/>
                <w:szCs w:val="24"/>
                <w:highlight w:val="none"/>
                <w:lang w:val="en-US" w:eastAsia="zh-CN"/>
              </w:rPr>
              <w:t>表2及表3无组织限值（</w:t>
            </w:r>
            <w:r>
              <w:rPr>
                <w:rFonts w:hint="eastAsia" w:ascii="Times New Roman" w:hAnsi="Times New Roman" w:cs="Times New Roman"/>
                <w:color w:val="auto"/>
                <w:sz w:val="24"/>
                <w:szCs w:val="24"/>
                <w:lang w:val="en-US" w:eastAsia="zh-CN"/>
              </w:rPr>
              <w:t>苯乙烯：1.0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lang w:val="en-US" w:eastAsia="zh-CN"/>
              </w:rPr>
              <w:t>，甲醛0.05</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eastAsia" w:ascii="Times New Roman" w:hAnsi="Times New Roman" w:cs="Times New Roman"/>
                <w:color w:val="auto"/>
                <w:sz w:val="24"/>
                <w:szCs w:val="24"/>
                <w:highlight w:val="none"/>
                <w:lang w:val="en-US" w:eastAsia="zh-CN"/>
              </w:rPr>
              <w:t>）。</w:t>
            </w:r>
          </w:p>
          <w:p w14:paraId="4D653140">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本项目所在区域为不达标区，淄博</w:t>
            </w:r>
            <w:r>
              <w:rPr>
                <w:rFonts w:hint="eastAsia" w:ascii="Times New Roman" w:hAnsi="Times New Roman" w:cs="Times New Roman"/>
                <w:color w:val="auto"/>
                <w:lang w:eastAsia="zh-CN"/>
              </w:rPr>
              <w:t>淄川区</w:t>
            </w:r>
            <w:r>
              <w:rPr>
                <w:rFonts w:hint="default" w:ascii="Times New Roman" w:hAnsi="Times New Roman" w:eastAsia="宋体" w:cs="Times New Roman"/>
                <w:color w:val="auto"/>
              </w:rPr>
              <w:t>严格按照大气污染防治攻坚行动实施方案中的规定，采取优化产业结构，对建筑工地和市政工程扬尘进行治理、全面实施工业污染源及挥发性有机物的提标改造及治理等措施后，区域环境空气质量会逐步改善。本项目所在区域内无自然保护区、保护文物及风景名胜区等特殊环境敏感目标。本项目废气经收集</w:t>
            </w:r>
            <w:r>
              <w:rPr>
                <w:rFonts w:hint="eastAsia" w:ascii="Times New Roman" w:hAnsi="Times New Roman" w:cs="Times New Roman"/>
                <w:color w:val="auto"/>
                <w:lang w:val="en-US" w:eastAsia="zh-CN"/>
              </w:rPr>
              <w:t>+布袋除尘器+</w:t>
            </w:r>
            <w:r>
              <w:rPr>
                <w:rFonts w:hint="default" w:ascii="Times New Roman" w:hAnsi="Times New Roman" w:eastAsia="宋体" w:cs="Times New Roman"/>
                <w:color w:val="auto"/>
              </w:rPr>
              <w:t>二级活性炭吸附装置处理后有组织排放，对项目周边环境空气质量及保护目标影响小，本项目建设对周边环境空气的影响可接受。</w:t>
            </w:r>
          </w:p>
          <w:p w14:paraId="31F9B63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二、废水</w:t>
            </w:r>
          </w:p>
          <w:p w14:paraId="6848EEA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1、地表水环境影响分析</w:t>
            </w:r>
          </w:p>
          <w:p w14:paraId="4F5C4F5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本项目无废水产生及排放，对周边环境影响较小</w:t>
            </w:r>
            <w:r>
              <w:rPr>
                <w:rFonts w:hint="default" w:ascii="Times New Roman" w:hAnsi="Times New Roman" w:eastAsia="宋体" w:cs="Times New Roman"/>
                <w:color w:val="auto"/>
              </w:rPr>
              <w:t>。</w:t>
            </w:r>
          </w:p>
          <w:p w14:paraId="54A317BD">
            <w:pPr>
              <w:keepNext w:val="0"/>
              <w:keepLines w:val="0"/>
              <w:pageBreakBefore w:val="0"/>
              <w:widowControl/>
              <w:numPr>
                <w:ilvl w:val="0"/>
                <w:numId w:val="5"/>
              </w:numPr>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噪声</w:t>
            </w:r>
          </w:p>
          <w:p w14:paraId="2DE8917D">
            <w:pPr>
              <w:adjustRightInd w:val="0"/>
              <w:snapToGrid w:val="0"/>
              <w:spacing w:line="360" w:lineRule="auto"/>
              <w:ind w:firstLine="480" w:firstLineChars="200"/>
              <w:rPr>
                <w:rFonts w:hint="default" w:ascii="Times New Roman" w:hAnsi="Times New Roman" w:cs="Times New Roman"/>
                <w:color w:val="auto"/>
                <w:szCs w:val="21"/>
                <w:highlight w:val="yellow"/>
              </w:rPr>
            </w:pPr>
            <w:r>
              <w:rPr>
                <w:rFonts w:hint="default" w:ascii="Times New Roman" w:hAnsi="Times New Roman" w:eastAsia="宋体" w:cs="Times New Roman"/>
                <w:color w:val="auto"/>
              </w:rPr>
              <w:t>本项目噪声主要为</w:t>
            </w:r>
            <w:r>
              <w:rPr>
                <w:rFonts w:hint="eastAsia" w:ascii="Times New Roman" w:hAnsi="Times New Roman" w:cs="Times New Roman"/>
                <w:color w:val="auto"/>
                <w:lang w:val="en-US" w:eastAsia="zh-CN"/>
              </w:rPr>
              <w:t>射芯机、空压机、风机</w:t>
            </w:r>
            <w:r>
              <w:rPr>
                <w:rFonts w:hint="default" w:ascii="Times New Roman" w:hAnsi="Times New Roman" w:eastAsia="宋体" w:cs="Times New Roman"/>
                <w:color w:val="auto"/>
              </w:rPr>
              <w:t>等运行产生的噪声，噪声源强在</w:t>
            </w:r>
            <w:r>
              <w:rPr>
                <w:rFonts w:hint="eastAsia" w:ascii="Times New Roman" w:hAnsi="Times New Roman" w:cs="Times New Roman"/>
                <w:color w:val="auto"/>
                <w:lang w:val="en-US" w:eastAsia="zh-CN"/>
              </w:rPr>
              <w:t>75</w:t>
            </w:r>
            <w:r>
              <w:rPr>
                <w:rFonts w:hint="default" w:ascii="Times New Roman" w:hAnsi="Times New Roman" w:eastAsia="宋体" w:cs="Times New Roman"/>
                <w:color w:val="auto"/>
              </w:rPr>
              <w:t>-</w:t>
            </w:r>
            <w:r>
              <w:rPr>
                <w:rFonts w:hint="eastAsia" w:ascii="Times New Roman" w:hAnsi="Times New Roman" w:cs="Times New Roman"/>
                <w:color w:val="auto"/>
                <w:lang w:val="en-US" w:eastAsia="zh-CN"/>
              </w:rPr>
              <w:t>85</w:t>
            </w:r>
            <w:r>
              <w:rPr>
                <w:rFonts w:hint="default" w:ascii="Times New Roman" w:hAnsi="Times New Roman" w:eastAsia="宋体" w:cs="Times New Roman"/>
                <w:color w:val="auto"/>
              </w:rPr>
              <w:t>(A)左右。</w:t>
            </w:r>
          </w:p>
          <w:p w14:paraId="07BF1D51">
            <w:pPr>
              <w:pStyle w:val="23"/>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w:t>
            </w:r>
            <w:r>
              <w:rPr>
                <w:rFonts w:hint="eastAsia" w:ascii="Times New Roman" w:hAnsi="Times New Roman" w:cs="Times New Roman"/>
                <w:b/>
                <w:bCs w:val="0"/>
                <w:color w:val="auto"/>
                <w:sz w:val="24"/>
                <w:szCs w:val="24"/>
                <w:highlight w:val="none"/>
                <w:lang w:val="en-US" w:eastAsia="zh-CN"/>
              </w:rPr>
              <w:t>9</w:t>
            </w:r>
            <w:r>
              <w:rPr>
                <w:rFonts w:hint="default" w:ascii="Times New Roman" w:hAnsi="Times New Roman" w:eastAsia="宋体" w:cs="Times New Roman"/>
                <w:b/>
                <w:bCs w:val="0"/>
                <w:color w:val="auto"/>
                <w:sz w:val="24"/>
                <w:szCs w:val="24"/>
                <w:highlight w:val="none"/>
                <w:lang w:val="en-US" w:eastAsia="zh-CN"/>
              </w:rPr>
              <w:t>项目噪声产生环节及排放情况</w:t>
            </w:r>
          </w:p>
          <w:tbl>
            <w:tblPr>
              <w:tblStyle w:val="15"/>
              <w:tblW w:w="13039"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283"/>
              <w:gridCol w:w="628"/>
              <w:gridCol w:w="452"/>
              <w:gridCol w:w="437"/>
              <w:gridCol w:w="553"/>
              <w:gridCol w:w="603"/>
              <w:gridCol w:w="201"/>
              <w:gridCol w:w="451"/>
              <w:gridCol w:w="697"/>
              <w:gridCol w:w="697"/>
              <w:gridCol w:w="697"/>
              <w:gridCol w:w="697"/>
              <w:gridCol w:w="714"/>
              <w:gridCol w:w="714"/>
              <w:gridCol w:w="713"/>
              <w:gridCol w:w="646"/>
              <w:gridCol w:w="286"/>
              <w:gridCol w:w="465"/>
              <w:gridCol w:w="720"/>
              <w:gridCol w:w="640"/>
              <w:gridCol w:w="699"/>
              <w:gridCol w:w="626"/>
              <w:gridCol w:w="420"/>
            </w:tblGrid>
            <w:tr w14:paraId="61AFB29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vMerge w:val="restart"/>
                  <w:tcBorders>
                    <w:tl2br w:val="nil"/>
                    <w:tr2bl w:val="nil"/>
                  </w:tcBorders>
                  <w:noWrap w:val="0"/>
                  <w:tcMar>
                    <w:top w:w="15" w:type="dxa"/>
                    <w:left w:w="15" w:type="dxa"/>
                    <w:right w:w="15" w:type="dxa"/>
                  </w:tcMar>
                  <w:vAlign w:val="center"/>
                </w:tcPr>
                <w:p w14:paraId="6FCC622D">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序号</w:t>
                  </w:r>
                </w:p>
              </w:tc>
              <w:tc>
                <w:tcPr>
                  <w:tcW w:w="628" w:type="dxa"/>
                  <w:vMerge w:val="restart"/>
                  <w:tcBorders>
                    <w:tl2br w:val="nil"/>
                    <w:tr2bl w:val="nil"/>
                  </w:tcBorders>
                  <w:noWrap w:val="0"/>
                  <w:tcMar>
                    <w:top w:w="15" w:type="dxa"/>
                    <w:left w:w="15" w:type="dxa"/>
                    <w:right w:w="15" w:type="dxa"/>
                  </w:tcMar>
                  <w:vAlign w:val="center"/>
                </w:tcPr>
                <w:p w14:paraId="4239B5EB">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声源名称</w:t>
                  </w:r>
                </w:p>
              </w:tc>
              <w:tc>
                <w:tcPr>
                  <w:tcW w:w="1442" w:type="dxa"/>
                  <w:gridSpan w:val="3"/>
                  <w:tcBorders>
                    <w:tl2br w:val="nil"/>
                    <w:tr2bl w:val="nil"/>
                  </w:tcBorders>
                  <w:noWrap w:val="0"/>
                  <w:tcMar>
                    <w:top w:w="15" w:type="dxa"/>
                    <w:left w:w="15" w:type="dxa"/>
                    <w:right w:w="15" w:type="dxa"/>
                  </w:tcMar>
                  <w:vAlign w:val="center"/>
                </w:tcPr>
                <w:p w14:paraId="745B5A79">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空间相对位置/m</w:t>
                  </w:r>
                </w:p>
              </w:tc>
              <w:tc>
                <w:tcPr>
                  <w:tcW w:w="603" w:type="dxa"/>
                  <w:tcBorders>
                    <w:tl2br w:val="nil"/>
                    <w:tr2bl w:val="nil"/>
                  </w:tcBorders>
                  <w:noWrap w:val="0"/>
                  <w:tcMar>
                    <w:top w:w="15" w:type="dxa"/>
                    <w:left w:w="15" w:type="dxa"/>
                    <w:right w:w="15" w:type="dxa"/>
                  </w:tcMar>
                  <w:vAlign w:val="center"/>
                </w:tcPr>
                <w:p w14:paraId="48619960">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声源源强</w:t>
                  </w:r>
                </w:p>
              </w:tc>
              <w:tc>
                <w:tcPr>
                  <w:tcW w:w="201" w:type="dxa"/>
                  <w:vMerge w:val="restart"/>
                  <w:tcBorders>
                    <w:tl2br w:val="nil"/>
                    <w:tr2bl w:val="nil"/>
                  </w:tcBorders>
                  <w:noWrap w:val="0"/>
                  <w:tcMar>
                    <w:top w:w="15" w:type="dxa"/>
                    <w:left w:w="15" w:type="dxa"/>
                    <w:right w:w="15" w:type="dxa"/>
                  </w:tcMar>
                  <w:vAlign w:val="center"/>
                </w:tcPr>
                <w:p w14:paraId="0A2402B9">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数量</w:t>
                  </w:r>
                </w:p>
              </w:tc>
              <w:tc>
                <w:tcPr>
                  <w:tcW w:w="451" w:type="dxa"/>
                  <w:vMerge w:val="restart"/>
                  <w:tcBorders>
                    <w:tl2br w:val="nil"/>
                    <w:tr2bl w:val="nil"/>
                  </w:tcBorders>
                  <w:noWrap w:val="0"/>
                  <w:tcMar>
                    <w:top w:w="15" w:type="dxa"/>
                    <w:left w:w="15" w:type="dxa"/>
                    <w:right w:w="15" w:type="dxa"/>
                  </w:tcMar>
                  <w:vAlign w:val="center"/>
                </w:tcPr>
                <w:p w14:paraId="18C76E31">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声源控制措施</w:t>
                  </w:r>
                </w:p>
              </w:tc>
              <w:tc>
                <w:tcPr>
                  <w:tcW w:w="2788" w:type="dxa"/>
                  <w:gridSpan w:val="4"/>
                  <w:vMerge w:val="restart"/>
                  <w:tcBorders>
                    <w:tl2br w:val="nil"/>
                    <w:tr2bl w:val="nil"/>
                  </w:tcBorders>
                  <w:noWrap w:val="0"/>
                  <w:tcMar>
                    <w:top w:w="15" w:type="dxa"/>
                    <w:left w:w="15" w:type="dxa"/>
                    <w:right w:w="15" w:type="dxa"/>
                  </w:tcMar>
                  <w:vAlign w:val="center"/>
                </w:tcPr>
                <w:p w14:paraId="4E397DA6">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距</w:t>
                  </w:r>
                  <w:r>
                    <w:rPr>
                      <w:rFonts w:hint="default" w:ascii="Times New Roman" w:hAnsi="Times New Roman" w:cs="Times New Roman"/>
                      <w:b/>
                      <w:i w:val="0"/>
                      <w:color w:val="auto"/>
                      <w:kern w:val="0"/>
                      <w:sz w:val="21"/>
                      <w:szCs w:val="21"/>
                      <w:highlight w:val="none"/>
                      <w:u w:val="none"/>
                      <w:lang w:val="en-US" w:eastAsia="zh-CN" w:bidi="ar"/>
                    </w:rPr>
                    <w:t>厂房</w:t>
                  </w:r>
                  <w:r>
                    <w:rPr>
                      <w:rFonts w:hint="default" w:ascii="Times New Roman" w:hAnsi="Times New Roman" w:eastAsia="宋体" w:cs="Times New Roman"/>
                      <w:b/>
                      <w:i w:val="0"/>
                      <w:color w:val="auto"/>
                      <w:kern w:val="0"/>
                      <w:sz w:val="21"/>
                      <w:szCs w:val="21"/>
                      <w:highlight w:val="none"/>
                      <w:u w:val="none"/>
                      <w:lang w:val="en-US" w:eastAsia="zh-CN" w:bidi="ar"/>
                    </w:rPr>
                    <w:t>边界距离/m</w:t>
                  </w:r>
                </w:p>
              </w:tc>
              <w:tc>
                <w:tcPr>
                  <w:tcW w:w="2787" w:type="dxa"/>
                  <w:gridSpan w:val="4"/>
                  <w:vMerge w:val="restart"/>
                  <w:tcBorders>
                    <w:tl2br w:val="nil"/>
                    <w:tr2bl w:val="nil"/>
                  </w:tcBorders>
                  <w:noWrap w:val="0"/>
                  <w:tcMar>
                    <w:top w:w="15" w:type="dxa"/>
                    <w:left w:w="15" w:type="dxa"/>
                    <w:right w:w="15" w:type="dxa"/>
                  </w:tcMar>
                  <w:vAlign w:val="center"/>
                </w:tcPr>
                <w:p w14:paraId="4A9FEAD2">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cs="Times New Roman"/>
                      <w:b/>
                      <w:i w:val="0"/>
                      <w:color w:val="auto"/>
                      <w:kern w:val="0"/>
                      <w:sz w:val="21"/>
                      <w:szCs w:val="21"/>
                      <w:highlight w:val="none"/>
                      <w:u w:val="none"/>
                      <w:lang w:val="en-US" w:eastAsia="zh-CN" w:bidi="ar"/>
                    </w:rPr>
                    <w:t>厂房</w:t>
                  </w:r>
                  <w:r>
                    <w:rPr>
                      <w:rFonts w:hint="default" w:ascii="Times New Roman" w:hAnsi="Times New Roman" w:eastAsia="宋体" w:cs="Times New Roman"/>
                      <w:b/>
                      <w:i w:val="0"/>
                      <w:color w:val="auto"/>
                      <w:kern w:val="0"/>
                      <w:sz w:val="21"/>
                      <w:szCs w:val="21"/>
                      <w:highlight w:val="none"/>
                      <w:u w:val="none"/>
                      <w:lang w:val="en-US" w:eastAsia="zh-CN" w:bidi="ar"/>
                    </w:rPr>
                    <w:t>边界声级/dB（A）</w:t>
                  </w:r>
                </w:p>
              </w:tc>
              <w:tc>
                <w:tcPr>
                  <w:tcW w:w="286" w:type="dxa"/>
                  <w:vMerge w:val="restart"/>
                  <w:tcBorders>
                    <w:tl2br w:val="nil"/>
                    <w:tr2bl w:val="nil"/>
                  </w:tcBorders>
                  <w:noWrap w:val="0"/>
                  <w:tcMar>
                    <w:top w:w="15" w:type="dxa"/>
                    <w:left w:w="15" w:type="dxa"/>
                    <w:right w:w="15" w:type="dxa"/>
                  </w:tcMar>
                  <w:vAlign w:val="center"/>
                </w:tcPr>
                <w:p w14:paraId="3DDF9C56">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运行时段</w:t>
                  </w:r>
                </w:p>
              </w:tc>
              <w:tc>
                <w:tcPr>
                  <w:tcW w:w="465" w:type="dxa"/>
                  <w:vMerge w:val="restart"/>
                  <w:tcBorders>
                    <w:tl2br w:val="nil"/>
                    <w:tr2bl w:val="nil"/>
                  </w:tcBorders>
                  <w:noWrap w:val="0"/>
                  <w:tcMar>
                    <w:top w:w="15" w:type="dxa"/>
                    <w:left w:w="15" w:type="dxa"/>
                    <w:right w:w="15" w:type="dxa"/>
                  </w:tcMar>
                  <w:vAlign w:val="center"/>
                </w:tcPr>
                <w:p w14:paraId="4205D277">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建筑物插入损失/dB（A）</w:t>
                  </w:r>
                </w:p>
              </w:tc>
              <w:tc>
                <w:tcPr>
                  <w:tcW w:w="2685" w:type="dxa"/>
                  <w:gridSpan w:val="4"/>
                  <w:tcBorders>
                    <w:tl2br w:val="nil"/>
                    <w:tr2bl w:val="nil"/>
                  </w:tcBorders>
                  <w:noWrap w:val="0"/>
                  <w:tcMar>
                    <w:top w:w="15" w:type="dxa"/>
                    <w:left w:w="15" w:type="dxa"/>
                    <w:right w:w="15" w:type="dxa"/>
                  </w:tcMar>
                  <w:vAlign w:val="center"/>
                </w:tcPr>
                <w:p w14:paraId="0A2AD459">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kern w:val="0"/>
                      <w:sz w:val="21"/>
                      <w:szCs w:val="21"/>
                      <w:highlight w:val="none"/>
                      <w:u w:val="none"/>
                      <w:lang w:val="en-US" w:eastAsia="zh-CN" w:bidi="ar"/>
                    </w:rPr>
                  </w:pPr>
                  <w:r>
                    <w:rPr>
                      <w:rFonts w:hint="default" w:ascii="Times New Roman" w:hAnsi="Times New Roman" w:eastAsia="宋体" w:cs="Times New Roman"/>
                      <w:b/>
                      <w:i w:val="0"/>
                      <w:color w:val="auto"/>
                      <w:kern w:val="0"/>
                      <w:sz w:val="21"/>
                      <w:szCs w:val="21"/>
                      <w:highlight w:val="none"/>
                      <w:u w:val="none"/>
                      <w:lang w:val="en-US" w:eastAsia="zh-CN" w:bidi="ar"/>
                    </w:rPr>
                    <w:t>建筑物外噪声</w:t>
                  </w:r>
                </w:p>
              </w:tc>
              <w:tc>
                <w:tcPr>
                  <w:tcW w:w="420" w:type="dxa"/>
                  <w:vMerge w:val="restart"/>
                  <w:tcBorders>
                    <w:tl2br w:val="nil"/>
                    <w:tr2bl w:val="nil"/>
                  </w:tcBorders>
                  <w:noWrap w:val="0"/>
                  <w:tcMar>
                    <w:top w:w="15" w:type="dxa"/>
                    <w:left w:w="15" w:type="dxa"/>
                    <w:right w:w="15" w:type="dxa"/>
                  </w:tcMar>
                  <w:vAlign w:val="center"/>
                </w:tcPr>
                <w:p w14:paraId="2183041B">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建筑物外距离/m</w:t>
                  </w:r>
                </w:p>
              </w:tc>
            </w:tr>
            <w:tr w14:paraId="02723BD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vMerge w:val="continue"/>
                  <w:tcBorders>
                    <w:tl2br w:val="nil"/>
                    <w:tr2bl w:val="nil"/>
                  </w:tcBorders>
                  <w:noWrap w:val="0"/>
                  <w:tcMar>
                    <w:top w:w="15" w:type="dxa"/>
                    <w:left w:w="15" w:type="dxa"/>
                    <w:right w:w="15" w:type="dxa"/>
                  </w:tcMar>
                  <w:vAlign w:val="center"/>
                </w:tcPr>
                <w:p w14:paraId="0F1687B9">
                  <w:pPr>
                    <w:spacing w:line="240" w:lineRule="auto"/>
                    <w:jc w:val="center"/>
                    <w:rPr>
                      <w:rFonts w:hint="default" w:ascii="Times New Roman" w:hAnsi="Times New Roman" w:eastAsia="宋体" w:cs="Times New Roman"/>
                      <w:b/>
                      <w:i w:val="0"/>
                      <w:color w:val="auto"/>
                      <w:sz w:val="21"/>
                      <w:szCs w:val="21"/>
                      <w:highlight w:val="none"/>
                      <w:u w:val="none"/>
                    </w:rPr>
                  </w:pPr>
                </w:p>
              </w:tc>
              <w:tc>
                <w:tcPr>
                  <w:tcW w:w="628" w:type="dxa"/>
                  <w:vMerge w:val="continue"/>
                  <w:tcBorders>
                    <w:tl2br w:val="nil"/>
                    <w:tr2bl w:val="nil"/>
                  </w:tcBorders>
                  <w:noWrap w:val="0"/>
                  <w:tcMar>
                    <w:top w:w="15" w:type="dxa"/>
                    <w:left w:w="15" w:type="dxa"/>
                    <w:right w:w="15" w:type="dxa"/>
                  </w:tcMar>
                  <w:vAlign w:val="center"/>
                </w:tcPr>
                <w:p w14:paraId="1E2E6568">
                  <w:pPr>
                    <w:spacing w:line="240" w:lineRule="auto"/>
                    <w:jc w:val="center"/>
                    <w:rPr>
                      <w:rFonts w:hint="default" w:ascii="Times New Roman" w:hAnsi="Times New Roman" w:eastAsia="宋体" w:cs="Times New Roman"/>
                      <w:b/>
                      <w:i w:val="0"/>
                      <w:color w:val="auto"/>
                      <w:sz w:val="21"/>
                      <w:szCs w:val="21"/>
                      <w:highlight w:val="none"/>
                      <w:u w:val="none"/>
                    </w:rPr>
                  </w:pPr>
                </w:p>
              </w:tc>
              <w:tc>
                <w:tcPr>
                  <w:tcW w:w="452" w:type="dxa"/>
                  <w:vMerge w:val="restart"/>
                  <w:tcBorders>
                    <w:tl2br w:val="nil"/>
                    <w:tr2bl w:val="nil"/>
                  </w:tcBorders>
                  <w:noWrap/>
                  <w:tcMar>
                    <w:top w:w="15" w:type="dxa"/>
                    <w:left w:w="15" w:type="dxa"/>
                    <w:right w:w="15" w:type="dxa"/>
                  </w:tcMar>
                  <w:vAlign w:val="center"/>
                </w:tcPr>
                <w:p w14:paraId="690BD3D6">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X</w:t>
                  </w:r>
                </w:p>
              </w:tc>
              <w:tc>
                <w:tcPr>
                  <w:tcW w:w="437" w:type="dxa"/>
                  <w:vMerge w:val="restart"/>
                  <w:tcBorders>
                    <w:tl2br w:val="nil"/>
                    <w:tr2bl w:val="nil"/>
                  </w:tcBorders>
                  <w:noWrap/>
                  <w:tcMar>
                    <w:top w:w="15" w:type="dxa"/>
                    <w:left w:w="15" w:type="dxa"/>
                    <w:right w:w="15" w:type="dxa"/>
                  </w:tcMar>
                  <w:vAlign w:val="center"/>
                </w:tcPr>
                <w:p w14:paraId="559CE011">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Y</w:t>
                  </w:r>
                </w:p>
              </w:tc>
              <w:tc>
                <w:tcPr>
                  <w:tcW w:w="553" w:type="dxa"/>
                  <w:vMerge w:val="restart"/>
                  <w:tcBorders>
                    <w:tl2br w:val="nil"/>
                    <w:tr2bl w:val="nil"/>
                  </w:tcBorders>
                  <w:noWrap/>
                  <w:tcMar>
                    <w:top w:w="15" w:type="dxa"/>
                    <w:left w:w="15" w:type="dxa"/>
                    <w:right w:w="15" w:type="dxa"/>
                  </w:tcMar>
                  <w:vAlign w:val="center"/>
                </w:tcPr>
                <w:p w14:paraId="689D3439">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Z</w:t>
                  </w:r>
                </w:p>
              </w:tc>
              <w:tc>
                <w:tcPr>
                  <w:tcW w:w="603" w:type="dxa"/>
                  <w:vMerge w:val="restart"/>
                  <w:tcBorders>
                    <w:tl2br w:val="nil"/>
                    <w:tr2bl w:val="nil"/>
                  </w:tcBorders>
                  <w:noWrap w:val="0"/>
                  <w:tcMar>
                    <w:top w:w="15" w:type="dxa"/>
                    <w:left w:w="15" w:type="dxa"/>
                    <w:right w:w="15" w:type="dxa"/>
                  </w:tcMar>
                  <w:vAlign w:val="center"/>
                </w:tcPr>
                <w:p w14:paraId="67B5EC9D">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声功率级dB（A）</w:t>
                  </w:r>
                </w:p>
              </w:tc>
              <w:tc>
                <w:tcPr>
                  <w:tcW w:w="201" w:type="dxa"/>
                  <w:vMerge w:val="continue"/>
                  <w:tcBorders>
                    <w:tl2br w:val="nil"/>
                    <w:tr2bl w:val="nil"/>
                  </w:tcBorders>
                  <w:noWrap w:val="0"/>
                  <w:tcMar>
                    <w:top w:w="15" w:type="dxa"/>
                    <w:left w:w="15" w:type="dxa"/>
                    <w:right w:w="15" w:type="dxa"/>
                  </w:tcMar>
                  <w:vAlign w:val="center"/>
                </w:tcPr>
                <w:p w14:paraId="319949F9">
                  <w:pPr>
                    <w:spacing w:line="240" w:lineRule="auto"/>
                    <w:jc w:val="center"/>
                    <w:rPr>
                      <w:rFonts w:hint="default" w:ascii="Times New Roman" w:hAnsi="Times New Roman" w:eastAsia="宋体" w:cs="Times New Roman"/>
                      <w:b/>
                      <w:i w:val="0"/>
                      <w:color w:val="auto"/>
                      <w:sz w:val="21"/>
                      <w:szCs w:val="21"/>
                      <w:highlight w:val="none"/>
                      <w:u w:val="none"/>
                    </w:rPr>
                  </w:pPr>
                </w:p>
              </w:tc>
              <w:tc>
                <w:tcPr>
                  <w:tcW w:w="451" w:type="dxa"/>
                  <w:vMerge w:val="continue"/>
                  <w:tcBorders>
                    <w:tl2br w:val="nil"/>
                    <w:tr2bl w:val="nil"/>
                  </w:tcBorders>
                  <w:noWrap w:val="0"/>
                  <w:tcMar>
                    <w:top w:w="15" w:type="dxa"/>
                    <w:left w:w="15" w:type="dxa"/>
                    <w:right w:w="15" w:type="dxa"/>
                  </w:tcMar>
                  <w:vAlign w:val="center"/>
                </w:tcPr>
                <w:p w14:paraId="3E3161C8">
                  <w:pPr>
                    <w:spacing w:line="240" w:lineRule="auto"/>
                    <w:jc w:val="center"/>
                    <w:rPr>
                      <w:rFonts w:hint="default" w:ascii="Times New Roman" w:hAnsi="Times New Roman" w:eastAsia="宋体" w:cs="Times New Roman"/>
                      <w:b/>
                      <w:i w:val="0"/>
                      <w:color w:val="auto"/>
                      <w:sz w:val="21"/>
                      <w:szCs w:val="21"/>
                      <w:highlight w:val="none"/>
                      <w:u w:val="none"/>
                    </w:rPr>
                  </w:pPr>
                </w:p>
              </w:tc>
              <w:tc>
                <w:tcPr>
                  <w:tcW w:w="2788" w:type="dxa"/>
                  <w:gridSpan w:val="4"/>
                  <w:vMerge w:val="continue"/>
                  <w:tcBorders>
                    <w:tl2br w:val="nil"/>
                    <w:tr2bl w:val="nil"/>
                  </w:tcBorders>
                  <w:noWrap w:val="0"/>
                  <w:tcMar>
                    <w:top w:w="15" w:type="dxa"/>
                    <w:left w:w="15" w:type="dxa"/>
                    <w:right w:w="15" w:type="dxa"/>
                  </w:tcMar>
                  <w:vAlign w:val="center"/>
                </w:tcPr>
                <w:p w14:paraId="4D7484C6">
                  <w:pPr>
                    <w:spacing w:line="240" w:lineRule="auto"/>
                    <w:jc w:val="center"/>
                    <w:rPr>
                      <w:rFonts w:hint="default" w:ascii="Times New Roman" w:hAnsi="Times New Roman" w:eastAsia="宋体" w:cs="Times New Roman"/>
                      <w:b/>
                      <w:i w:val="0"/>
                      <w:color w:val="auto"/>
                      <w:sz w:val="21"/>
                      <w:szCs w:val="21"/>
                      <w:highlight w:val="none"/>
                      <w:u w:val="none"/>
                    </w:rPr>
                  </w:pPr>
                </w:p>
              </w:tc>
              <w:tc>
                <w:tcPr>
                  <w:tcW w:w="2787" w:type="dxa"/>
                  <w:gridSpan w:val="4"/>
                  <w:vMerge w:val="continue"/>
                  <w:tcBorders>
                    <w:tl2br w:val="nil"/>
                    <w:tr2bl w:val="nil"/>
                  </w:tcBorders>
                  <w:noWrap w:val="0"/>
                  <w:tcMar>
                    <w:top w:w="15" w:type="dxa"/>
                    <w:left w:w="15" w:type="dxa"/>
                    <w:right w:w="15" w:type="dxa"/>
                  </w:tcMar>
                  <w:vAlign w:val="center"/>
                </w:tcPr>
                <w:p w14:paraId="543FB6AB">
                  <w:pPr>
                    <w:spacing w:line="240" w:lineRule="auto"/>
                    <w:jc w:val="center"/>
                    <w:rPr>
                      <w:rFonts w:hint="default" w:ascii="Times New Roman" w:hAnsi="Times New Roman" w:eastAsia="宋体" w:cs="Times New Roman"/>
                      <w:b/>
                      <w:i w:val="0"/>
                      <w:color w:val="auto"/>
                      <w:sz w:val="21"/>
                      <w:szCs w:val="21"/>
                      <w:highlight w:val="none"/>
                      <w:u w:val="none"/>
                    </w:rPr>
                  </w:pPr>
                </w:p>
              </w:tc>
              <w:tc>
                <w:tcPr>
                  <w:tcW w:w="286" w:type="dxa"/>
                  <w:vMerge w:val="continue"/>
                  <w:tcBorders>
                    <w:tl2br w:val="nil"/>
                    <w:tr2bl w:val="nil"/>
                  </w:tcBorders>
                  <w:noWrap w:val="0"/>
                  <w:tcMar>
                    <w:top w:w="15" w:type="dxa"/>
                    <w:left w:w="15" w:type="dxa"/>
                    <w:right w:w="15" w:type="dxa"/>
                  </w:tcMar>
                  <w:vAlign w:val="center"/>
                </w:tcPr>
                <w:p w14:paraId="02B13086">
                  <w:pPr>
                    <w:spacing w:line="240" w:lineRule="auto"/>
                    <w:jc w:val="center"/>
                    <w:rPr>
                      <w:rFonts w:hint="default" w:ascii="Times New Roman" w:hAnsi="Times New Roman" w:eastAsia="宋体" w:cs="Times New Roman"/>
                      <w:b/>
                      <w:i w:val="0"/>
                      <w:color w:val="auto"/>
                      <w:sz w:val="21"/>
                      <w:szCs w:val="21"/>
                      <w:highlight w:val="none"/>
                      <w:u w:val="none"/>
                    </w:rPr>
                  </w:pPr>
                </w:p>
              </w:tc>
              <w:tc>
                <w:tcPr>
                  <w:tcW w:w="465" w:type="dxa"/>
                  <w:vMerge w:val="continue"/>
                  <w:tcBorders>
                    <w:tl2br w:val="nil"/>
                    <w:tr2bl w:val="nil"/>
                  </w:tcBorders>
                  <w:noWrap w:val="0"/>
                  <w:tcMar>
                    <w:top w:w="15" w:type="dxa"/>
                    <w:left w:w="15" w:type="dxa"/>
                    <w:right w:w="15" w:type="dxa"/>
                  </w:tcMar>
                  <w:vAlign w:val="center"/>
                </w:tcPr>
                <w:p w14:paraId="600594A9">
                  <w:pPr>
                    <w:spacing w:line="240" w:lineRule="auto"/>
                    <w:jc w:val="center"/>
                    <w:rPr>
                      <w:rFonts w:hint="default" w:ascii="Times New Roman" w:hAnsi="Times New Roman" w:eastAsia="宋体" w:cs="Times New Roman"/>
                      <w:b/>
                      <w:i w:val="0"/>
                      <w:color w:val="auto"/>
                      <w:sz w:val="21"/>
                      <w:szCs w:val="21"/>
                      <w:highlight w:val="none"/>
                      <w:u w:val="none"/>
                    </w:rPr>
                  </w:pPr>
                </w:p>
              </w:tc>
              <w:tc>
                <w:tcPr>
                  <w:tcW w:w="2685" w:type="dxa"/>
                  <w:gridSpan w:val="4"/>
                  <w:tcBorders>
                    <w:tl2br w:val="nil"/>
                    <w:tr2bl w:val="nil"/>
                  </w:tcBorders>
                  <w:noWrap w:val="0"/>
                  <w:tcMar>
                    <w:top w:w="15" w:type="dxa"/>
                    <w:left w:w="15" w:type="dxa"/>
                    <w:right w:w="15" w:type="dxa"/>
                  </w:tcMar>
                  <w:vAlign w:val="center"/>
                </w:tcPr>
                <w:p w14:paraId="1A595032">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r>
                    <w:rPr>
                      <w:rFonts w:hint="default" w:ascii="Times New Roman" w:hAnsi="Times New Roman" w:eastAsia="宋体" w:cs="Times New Roman"/>
                      <w:b/>
                      <w:i w:val="0"/>
                      <w:color w:val="auto"/>
                      <w:kern w:val="0"/>
                      <w:sz w:val="21"/>
                      <w:szCs w:val="21"/>
                      <w:highlight w:val="none"/>
                      <w:u w:val="none"/>
                      <w:lang w:val="en-US" w:eastAsia="zh-CN" w:bidi="ar"/>
                    </w:rPr>
                    <w:t>声压级/ dB（A）</w:t>
                  </w:r>
                </w:p>
              </w:tc>
              <w:tc>
                <w:tcPr>
                  <w:tcW w:w="420" w:type="dxa"/>
                  <w:vMerge w:val="continue"/>
                  <w:tcBorders>
                    <w:tl2br w:val="nil"/>
                    <w:tr2bl w:val="nil"/>
                  </w:tcBorders>
                  <w:noWrap w:val="0"/>
                  <w:tcMar>
                    <w:top w:w="15" w:type="dxa"/>
                    <w:left w:w="15" w:type="dxa"/>
                    <w:right w:w="15" w:type="dxa"/>
                  </w:tcMar>
                  <w:vAlign w:val="center"/>
                </w:tcPr>
                <w:p w14:paraId="45E1A5DC">
                  <w:pPr>
                    <w:keepNext w:val="0"/>
                    <w:keepLines w:val="0"/>
                    <w:widowControl/>
                    <w:suppressLineNumbers w:val="0"/>
                    <w:spacing w:line="240" w:lineRule="auto"/>
                    <w:jc w:val="center"/>
                    <w:textAlignment w:val="center"/>
                    <w:rPr>
                      <w:rFonts w:hint="default" w:ascii="Times New Roman" w:hAnsi="Times New Roman" w:eastAsia="宋体" w:cs="Times New Roman"/>
                      <w:b/>
                      <w:i w:val="0"/>
                      <w:color w:val="auto"/>
                      <w:sz w:val="21"/>
                      <w:szCs w:val="21"/>
                      <w:highlight w:val="none"/>
                      <w:u w:val="none"/>
                    </w:rPr>
                  </w:pPr>
                </w:p>
              </w:tc>
            </w:tr>
            <w:tr w14:paraId="1D4FEB4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01" w:hRule="atLeast"/>
                <w:jc w:val="center"/>
              </w:trPr>
              <w:tc>
                <w:tcPr>
                  <w:tcW w:w="283" w:type="dxa"/>
                  <w:vMerge w:val="continue"/>
                  <w:tcBorders>
                    <w:tl2br w:val="nil"/>
                    <w:tr2bl w:val="nil"/>
                  </w:tcBorders>
                  <w:noWrap w:val="0"/>
                  <w:tcMar>
                    <w:top w:w="15" w:type="dxa"/>
                    <w:left w:w="15" w:type="dxa"/>
                    <w:right w:w="15" w:type="dxa"/>
                  </w:tcMar>
                  <w:vAlign w:val="center"/>
                </w:tcPr>
                <w:p w14:paraId="4F707F15">
                  <w:pPr>
                    <w:spacing w:line="240" w:lineRule="auto"/>
                    <w:jc w:val="center"/>
                    <w:rPr>
                      <w:rFonts w:hint="default" w:ascii="Times New Roman" w:hAnsi="Times New Roman" w:eastAsia="宋体" w:cs="Times New Roman"/>
                      <w:b/>
                      <w:i w:val="0"/>
                      <w:color w:val="auto"/>
                      <w:sz w:val="21"/>
                      <w:szCs w:val="21"/>
                      <w:highlight w:val="none"/>
                      <w:u w:val="none"/>
                    </w:rPr>
                  </w:pPr>
                </w:p>
              </w:tc>
              <w:tc>
                <w:tcPr>
                  <w:tcW w:w="628" w:type="dxa"/>
                  <w:vMerge w:val="continue"/>
                  <w:tcBorders>
                    <w:tl2br w:val="nil"/>
                    <w:tr2bl w:val="nil"/>
                  </w:tcBorders>
                  <w:noWrap w:val="0"/>
                  <w:tcMar>
                    <w:top w:w="15" w:type="dxa"/>
                    <w:left w:w="15" w:type="dxa"/>
                    <w:right w:w="15" w:type="dxa"/>
                  </w:tcMar>
                  <w:vAlign w:val="center"/>
                </w:tcPr>
                <w:p w14:paraId="0D440DE1">
                  <w:pPr>
                    <w:spacing w:line="240" w:lineRule="auto"/>
                    <w:jc w:val="center"/>
                    <w:rPr>
                      <w:rFonts w:hint="default" w:ascii="Times New Roman" w:hAnsi="Times New Roman" w:eastAsia="宋体" w:cs="Times New Roman"/>
                      <w:b/>
                      <w:i w:val="0"/>
                      <w:color w:val="auto"/>
                      <w:sz w:val="21"/>
                      <w:szCs w:val="21"/>
                      <w:highlight w:val="none"/>
                      <w:u w:val="none"/>
                    </w:rPr>
                  </w:pPr>
                </w:p>
              </w:tc>
              <w:tc>
                <w:tcPr>
                  <w:tcW w:w="452" w:type="dxa"/>
                  <w:vMerge w:val="continue"/>
                  <w:tcBorders>
                    <w:tl2br w:val="nil"/>
                    <w:tr2bl w:val="nil"/>
                  </w:tcBorders>
                  <w:noWrap/>
                  <w:tcMar>
                    <w:top w:w="15" w:type="dxa"/>
                    <w:left w:w="15" w:type="dxa"/>
                    <w:right w:w="15" w:type="dxa"/>
                  </w:tcMar>
                  <w:vAlign w:val="center"/>
                </w:tcPr>
                <w:p w14:paraId="7ED27B57">
                  <w:pPr>
                    <w:spacing w:line="240" w:lineRule="auto"/>
                    <w:jc w:val="center"/>
                    <w:rPr>
                      <w:rFonts w:hint="default" w:ascii="Times New Roman" w:hAnsi="Times New Roman" w:eastAsia="宋体" w:cs="Times New Roman"/>
                      <w:b/>
                      <w:i w:val="0"/>
                      <w:color w:val="auto"/>
                      <w:sz w:val="21"/>
                      <w:szCs w:val="21"/>
                      <w:highlight w:val="none"/>
                      <w:u w:val="none"/>
                    </w:rPr>
                  </w:pPr>
                </w:p>
              </w:tc>
              <w:tc>
                <w:tcPr>
                  <w:tcW w:w="437" w:type="dxa"/>
                  <w:vMerge w:val="continue"/>
                  <w:tcBorders>
                    <w:tl2br w:val="nil"/>
                    <w:tr2bl w:val="nil"/>
                  </w:tcBorders>
                  <w:noWrap/>
                  <w:tcMar>
                    <w:top w:w="15" w:type="dxa"/>
                    <w:left w:w="15" w:type="dxa"/>
                    <w:right w:w="15" w:type="dxa"/>
                  </w:tcMar>
                  <w:vAlign w:val="center"/>
                </w:tcPr>
                <w:p w14:paraId="012B9913">
                  <w:pPr>
                    <w:spacing w:line="240" w:lineRule="auto"/>
                    <w:jc w:val="center"/>
                    <w:rPr>
                      <w:rFonts w:hint="default" w:ascii="Times New Roman" w:hAnsi="Times New Roman" w:eastAsia="宋体" w:cs="Times New Roman"/>
                      <w:b/>
                      <w:i w:val="0"/>
                      <w:color w:val="auto"/>
                      <w:sz w:val="21"/>
                      <w:szCs w:val="21"/>
                      <w:highlight w:val="none"/>
                      <w:u w:val="none"/>
                    </w:rPr>
                  </w:pPr>
                </w:p>
              </w:tc>
              <w:tc>
                <w:tcPr>
                  <w:tcW w:w="553" w:type="dxa"/>
                  <w:vMerge w:val="continue"/>
                  <w:tcBorders>
                    <w:tl2br w:val="nil"/>
                    <w:tr2bl w:val="nil"/>
                  </w:tcBorders>
                  <w:noWrap/>
                  <w:tcMar>
                    <w:top w:w="15" w:type="dxa"/>
                    <w:left w:w="15" w:type="dxa"/>
                    <w:right w:w="15" w:type="dxa"/>
                  </w:tcMar>
                  <w:vAlign w:val="center"/>
                </w:tcPr>
                <w:p w14:paraId="590445AF">
                  <w:pPr>
                    <w:spacing w:line="240" w:lineRule="auto"/>
                    <w:jc w:val="center"/>
                    <w:rPr>
                      <w:rFonts w:hint="default" w:ascii="Times New Roman" w:hAnsi="Times New Roman" w:eastAsia="宋体" w:cs="Times New Roman"/>
                      <w:b/>
                      <w:i w:val="0"/>
                      <w:color w:val="auto"/>
                      <w:sz w:val="21"/>
                      <w:szCs w:val="21"/>
                      <w:highlight w:val="none"/>
                      <w:u w:val="none"/>
                    </w:rPr>
                  </w:pPr>
                </w:p>
              </w:tc>
              <w:tc>
                <w:tcPr>
                  <w:tcW w:w="603" w:type="dxa"/>
                  <w:vMerge w:val="continue"/>
                  <w:tcBorders>
                    <w:tl2br w:val="nil"/>
                    <w:tr2bl w:val="nil"/>
                  </w:tcBorders>
                  <w:noWrap w:val="0"/>
                  <w:tcMar>
                    <w:top w:w="15" w:type="dxa"/>
                    <w:left w:w="15" w:type="dxa"/>
                    <w:right w:w="15" w:type="dxa"/>
                  </w:tcMar>
                  <w:vAlign w:val="center"/>
                </w:tcPr>
                <w:p w14:paraId="32D33DFB">
                  <w:pPr>
                    <w:spacing w:line="240" w:lineRule="auto"/>
                    <w:jc w:val="center"/>
                    <w:rPr>
                      <w:rFonts w:hint="default" w:ascii="Times New Roman" w:hAnsi="Times New Roman" w:eastAsia="宋体" w:cs="Times New Roman"/>
                      <w:b/>
                      <w:i w:val="0"/>
                      <w:color w:val="auto"/>
                      <w:sz w:val="21"/>
                      <w:szCs w:val="21"/>
                      <w:highlight w:val="none"/>
                      <w:u w:val="none"/>
                    </w:rPr>
                  </w:pPr>
                </w:p>
              </w:tc>
              <w:tc>
                <w:tcPr>
                  <w:tcW w:w="201" w:type="dxa"/>
                  <w:vMerge w:val="continue"/>
                  <w:tcBorders>
                    <w:tl2br w:val="nil"/>
                    <w:tr2bl w:val="nil"/>
                  </w:tcBorders>
                  <w:noWrap w:val="0"/>
                  <w:tcMar>
                    <w:top w:w="15" w:type="dxa"/>
                    <w:left w:w="15" w:type="dxa"/>
                    <w:right w:w="15" w:type="dxa"/>
                  </w:tcMar>
                  <w:vAlign w:val="center"/>
                </w:tcPr>
                <w:p w14:paraId="4C79740E">
                  <w:pPr>
                    <w:spacing w:line="240" w:lineRule="auto"/>
                    <w:jc w:val="center"/>
                    <w:rPr>
                      <w:rFonts w:hint="default" w:ascii="Times New Roman" w:hAnsi="Times New Roman" w:eastAsia="宋体" w:cs="Times New Roman"/>
                      <w:b/>
                      <w:i w:val="0"/>
                      <w:color w:val="auto"/>
                      <w:sz w:val="21"/>
                      <w:szCs w:val="21"/>
                      <w:highlight w:val="none"/>
                      <w:u w:val="none"/>
                    </w:rPr>
                  </w:pPr>
                </w:p>
              </w:tc>
              <w:tc>
                <w:tcPr>
                  <w:tcW w:w="451" w:type="dxa"/>
                  <w:vMerge w:val="continue"/>
                  <w:tcBorders>
                    <w:tl2br w:val="nil"/>
                    <w:tr2bl w:val="nil"/>
                  </w:tcBorders>
                  <w:noWrap w:val="0"/>
                  <w:tcMar>
                    <w:top w:w="15" w:type="dxa"/>
                    <w:left w:w="15" w:type="dxa"/>
                    <w:right w:w="15" w:type="dxa"/>
                  </w:tcMar>
                  <w:vAlign w:val="center"/>
                </w:tcPr>
                <w:p w14:paraId="580DB73C">
                  <w:pPr>
                    <w:spacing w:line="240" w:lineRule="auto"/>
                    <w:jc w:val="center"/>
                    <w:rPr>
                      <w:rFonts w:hint="default" w:ascii="Times New Roman" w:hAnsi="Times New Roman" w:eastAsia="宋体" w:cs="Times New Roman"/>
                      <w:b/>
                      <w:i w:val="0"/>
                      <w:color w:val="auto"/>
                      <w:sz w:val="21"/>
                      <w:szCs w:val="21"/>
                      <w:highlight w:val="none"/>
                      <w:u w:val="none"/>
                    </w:rPr>
                  </w:pPr>
                </w:p>
              </w:tc>
              <w:tc>
                <w:tcPr>
                  <w:tcW w:w="697" w:type="dxa"/>
                  <w:tcBorders>
                    <w:tl2br w:val="nil"/>
                    <w:tr2bl w:val="nil"/>
                  </w:tcBorders>
                  <w:noWrap/>
                  <w:tcMar>
                    <w:top w:w="15" w:type="dxa"/>
                    <w:left w:w="15" w:type="dxa"/>
                    <w:right w:w="15" w:type="dxa"/>
                  </w:tcMar>
                  <w:vAlign w:val="center"/>
                </w:tcPr>
                <w:p w14:paraId="79A31561">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东边界</w:t>
                  </w:r>
                </w:p>
              </w:tc>
              <w:tc>
                <w:tcPr>
                  <w:tcW w:w="697" w:type="dxa"/>
                  <w:tcBorders>
                    <w:tl2br w:val="nil"/>
                    <w:tr2bl w:val="nil"/>
                  </w:tcBorders>
                  <w:noWrap/>
                  <w:tcMar>
                    <w:top w:w="15" w:type="dxa"/>
                    <w:left w:w="15" w:type="dxa"/>
                    <w:right w:w="15" w:type="dxa"/>
                  </w:tcMar>
                  <w:vAlign w:val="center"/>
                </w:tcPr>
                <w:p w14:paraId="16FF045B">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北边界</w:t>
                  </w:r>
                </w:p>
              </w:tc>
              <w:tc>
                <w:tcPr>
                  <w:tcW w:w="697" w:type="dxa"/>
                  <w:tcBorders>
                    <w:tl2br w:val="nil"/>
                    <w:tr2bl w:val="nil"/>
                  </w:tcBorders>
                  <w:noWrap/>
                  <w:tcMar>
                    <w:top w:w="15" w:type="dxa"/>
                    <w:left w:w="15" w:type="dxa"/>
                    <w:right w:w="15" w:type="dxa"/>
                  </w:tcMar>
                  <w:vAlign w:val="center"/>
                </w:tcPr>
                <w:p w14:paraId="31E02AAE">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西边界</w:t>
                  </w:r>
                </w:p>
              </w:tc>
              <w:tc>
                <w:tcPr>
                  <w:tcW w:w="697" w:type="dxa"/>
                  <w:tcBorders>
                    <w:tl2br w:val="nil"/>
                    <w:tr2bl w:val="nil"/>
                  </w:tcBorders>
                  <w:noWrap/>
                  <w:tcMar>
                    <w:top w:w="15" w:type="dxa"/>
                    <w:left w:w="15" w:type="dxa"/>
                    <w:right w:w="15" w:type="dxa"/>
                  </w:tcMar>
                  <w:vAlign w:val="center"/>
                </w:tcPr>
                <w:p w14:paraId="418B0164">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南边界</w:t>
                  </w:r>
                </w:p>
              </w:tc>
              <w:tc>
                <w:tcPr>
                  <w:tcW w:w="714" w:type="dxa"/>
                  <w:tcBorders>
                    <w:tl2br w:val="nil"/>
                    <w:tr2bl w:val="nil"/>
                  </w:tcBorders>
                  <w:noWrap/>
                  <w:tcMar>
                    <w:top w:w="15" w:type="dxa"/>
                    <w:left w:w="15" w:type="dxa"/>
                    <w:right w:w="15" w:type="dxa"/>
                  </w:tcMar>
                  <w:vAlign w:val="center"/>
                </w:tcPr>
                <w:p w14:paraId="2B7AC99F">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东边界</w:t>
                  </w:r>
                </w:p>
              </w:tc>
              <w:tc>
                <w:tcPr>
                  <w:tcW w:w="714" w:type="dxa"/>
                  <w:tcBorders>
                    <w:tl2br w:val="nil"/>
                    <w:tr2bl w:val="nil"/>
                  </w:tcBorders>
                  <w:noWrap/>
                  <w:tcMar>
                    <w:top w:w="15" w:type="dxa"/>
                    <w:left w:w="15" w:type="dxa"/>
                    <w:right w:w="15" w:type="dxa"/>
                  </w:tcMar>
                  <w:vAlign w:val="center"/>
                </w:tcPr>
                <w:p w14:paraId="68B24DDE">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北边界</w:t>
                  </w:r>
                </w:p>
              </w:tc>
              <w:tc>
                <w:tcPr>
                  <w:tcW w:w="713" w:type="dxa"/>
                  <w:tcBorders>
                    <w:tl2br w:val="nil"/>
                    <w:tr2bl w:val="nil"/>
                  </w:tcBorders>
                  <w:noWrap/>
                  <w:tcMar>
                    <w:top w:w="15" w:type="dxa"/>
                    <w:left w:w="15" w:type="dxa"/>
                    <w:right w:w="15" w:type="dxa"/>
                  </w:tcMar>
                  <w:vAlign w:val="center"/>
                </w:tcPr>
                <w:p w14:paraId="485EDA05">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西边界</w:t>
                  </w:r>
                </w:p>
              </w:tc>
              <w:tc>
                <w:tcPr>
                  <w:tcW w:w="646" w:type="dxa"/>
                  <w:tcBorders>
                    <w:tl2br w:val="nil"/>
                    <w:tr2bl w:val="nil"/>
                  </w:tcBorders>
                  <w:noWrap/>
                  <w:tcMar>
                    <w:top w:w="15" w:type="dxa"/>
                    <w:left w:w="15" w:type="dxa"/>
                    <w:right w:w="15" w:type="dxa"/>
                  </w:tcMar>
                  <w:vAlign w:val="center"/>
                </w:tcPr>
                <w:p w14:paraId="624C21E1">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南边界</w:t>
                  </w:r>
                </w:p>
              </w:tc>
              <w:tc>
                <w:tcPr>
                  <w:tcW w:w="286" w:type="dxa"/>
                  <w:vMerge w:val="continue"/>
                  <w:tcBorders>
                    <w:tl2br w:val="nil"/>
                    <w:tr2bl w:val="nil"/>
                  </w:tcBorders>
                  <w:noWrap w:val="0"/>
                  <w:tcMar>
                    <w:top w:w="15" w:type="dxa"/>
                    <w:left w:w="15" w:type="dxa"/>
                    <w:right w:w="15" w:type="dxa"/>
                  </w:tcMar>
                  <w:vAlign w:val="center"/>
                </w:tcPr>
                <w:p w14:paraId="70B24834">
                  <w:pPr>
                    <w:spacing w:line="240" w:lineRule="auto"/>
                    <w:jc w:val="center"/>
                    <w:rPr>
                      <w:rFonts w:hint="default" w:ascii="Times New Roman" w:hAnsi="Times New Roman" w:eastAsia="宋体" w:cs="Times New Roman"/>
                      <w:b/>
                      <w:bCs/>
                      <w:i w:val="0"/>
                      <w:color w:val="auto"/>
                      <w:sz w:val="21"/>
                      <w:szCs w:val="21"/>
                      <w:highlight w:val="none"/>
                      <w:u w:val="none"/>
                    </w:rPr>
                  </w:pPr>
                </w:p>
              </w:tc>
              <w:tc>
                <w:tcPr>
                  <w:tcW w:w="465" w:type="dxa"/>
                  <w:vMerge w:val="continue"/>
                  <w:tcBorders>
                    <w:tl2br w:val="nil"/>
                    <w:tr2bl w:val="nil"/>
                  </w:tcBorders>
                  <w:noWrap w:val="0"/>
                  <w:tcMar>
                    <w:top w:w="15" w:type="dxa"/>
                    <w:left w:w="15" w:type="dxa"/>
                    <w:right w:w="15" w:type="dxa"/>
                  </w:tcMar>
                  <w:vAlign w:val="center"/>
                </w:tcPr>
                <w:p w14:paraId="1A1AAD3A">
                  <w:pPr>
                    <w:spacing w:line="240" w:lineRule="auto"/>
                    <w:jc w:val="center"/>
                    <w:rPr>
                      <w:rFonts w:hint="default" w:ascii="Times New Roman" w:hAnsi="Times New Roman" w:eastAsia="宋体" w:cs="Times New Roman"/>
                      <w:b/>
                      <w:bCs/>
                      <w:i w:val="0"/>
                      <w:color w:val="auto"/>
                      <w:sz w:val="21"/>
                      <w:szCs w:val="21"/>
                      <w:highlight w:val="none"/>
                      <w:u w:val="none"/>
                    </w:rPr>
                  </w:pPr>
                </w:p>
              </w:tc>
              <w:tc>
                <w:tcPr>
                  <w:tcW w:w="720" w:type="dxa"/>
                  <w:tcBorders>
                    <w:tl2br w:val="nil"/>
                    <w:tr2bl w:val="nil"/>
                  </w:tcBorders>
                  <w:noWrap/>
                  <w:tcMar>
                    <w:top w:w="15" w:type="dxa"/>
                    <w:left w:w="15" w:type="dxa"/>
                    <w:right w:w="15" w:type="dxa"/>
                  </w:tcMar>
                  <w:vAlign w:val="center"/>
                </w:tcPr>
                <w:p w14:paraId="45FC0FB6">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东边界</w:t>
                  </w:r>
                </w:p>
              </w:tc>
              <w:tc>
                <w:tcPr>
                  <w:tcW w:w="640" w:type="dxa"/>
                  <w:tcBorders>
                    <w:tl2br w:val="nil"/>
                    <w:tr2bl w:val="nil"/>
                  </w:tcBorders>
                  <w:noWrap/>
                  <w:tcMar>
                    <w:top w:w="15" w:type="dxa"/>
                    <w:left w:w="15" w:type="dxa"/>
                    <w:right w:w="15" w:type="dxa"/>
                  </w:tcMar>
                  <w:vAlign w:val="center"/>
                </w:tcPr>
                <w:p w14:paraId="432CC8B2">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北边界</w:t>
                  </w:r>
                </w:p>
              </w:tc>
              <w:tc>
                <w:tcPr>
                  <w:tcW w:w="699" w:type="dxa"/>
                  <w:tcBorders>
                    <w:tl2br w:val="nil"/>
                    <w:tr2bl w:val="nil"/>
                  </w:tcBorders>
                  <w:noWrap/>
                  <w:tcMar>
                    <w:top w:w="15" w:type="dxa"/>
                    <w:left w:w="15" w:type="dxa"/>
                    <w:right w:w="15" w:type="dxa"/>
                  </w:tcMar>
                  <w:vAlign w:val="center"/>
                </w:tcPr>
                <w:p w14:paraId="4C65CF9A">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西边界</w:t>
                  </w:r>
                </w:p>
              </w:tc>
              <w:tc>
                <w:tcPr>
                  <w:tcW w:w="626" w:type="dxa"/>
                  <w:tcBorders>
                    <w:tl2br w:val="nil"/>
                    <w:tr2bl w:val="nil"/>
                  </w:tcBorders>
                  <w:noWrap/>
                  <w:tcMar>
                    <w:top w:w="15" w:type="dxa"/>
                    <w:left w:w="15" w:type="dxa"/>
                    <w:right w:w="15" w:type="dxa"/>
                  </w:tcMar>
                  <w:vAlign w:val="center"/>
                </w:tcPr>
                <w:p w14:paraId="46484901">
                  <w:pPr>
                    <w:keepNext w:val="0"/>
                    <w:keepLines w:val="0"/>
                    <w:widowControl/>
                    <w:suppressLineNumbers w:val="0"/>
                    <w:spacing w:line="240" w:lineRule="auto"/>
                    <w:jc w:val="center"/>
                    <w:textAlignment w:val="center"/>
                    <w:rPr>
                      <w:rFonts w:hint="default" w:ascii="Times New Roman" w:hAnsi="Times New Roman" w:eastAsia="宋体" w:cs="Times New Roman"/>
                      <w:b/>
                      <w:bCs/>
                      <w:i w:val="0"/>
                      <w:color w:val="auto"/>
                      <w:sz w:val="21"/>
                      <w:szCs w:val="21"/>
                      <w:highlight w:val="none"/>
                      <w:u w:val="none"/>
                    </w:rPr>
                  </w:pPr>
                  <w:r>
                    <w:rPr>
                      <w:rFonts w:hint="default" w:ascii="Times New Roman" w:hAnsi="Times New Roman" w:eastAsia="宋体" w:cs="Times New Roman"/>
                      <w:b/>
                      <w:bCs/>
                      <w:i w:val="0"/>
                      <w:color w:val="auto"/>
                      <w:kern w:val="0"/>
                      <w:sz w:val="21"/>
                      <w:szCs w:val="21"/>
                      <w:highlight w:val="none"/>
                      <w:u w:val="none"/>
                      <w:lang w:val="en-US" w:eastAsia="zh-CN" w:bidi="ar"/>
                    </w:rPr>
                    <w:t>南边界</w:t>
                  </w:r>
                </w:p>
              </w:tc>
              <w:tc>
                <w:tcPr>
                  <w:tcW w:w="420" w:type="dxa"/>
                  <w:vMerge w:val="continue"/>
                  <w:tcBorders>
                    <w:tl2br w:val="nil"/>
                    <w:tr2bl w:val="nil"/>
                  </w:tcBorders>
                  <w:noWrap w:val="0"/>
                  <w:tcMar>
                    <w:top w:w="15" w:type="dxa"/>
                    <w:left w:w="15" w:type="dxa"/>
                    <w:right w:w="15" w:type="dxa"/>
                  </w:tcMar>
                  <w:vAlign w:val="center"/>
                </w:tcPr>
                <w:p w14:paraId="5B1C0E43">
                  <w:pPr>
                    <w:spacing w:line="240" w:lineRule="auto"/>
                    <w:jc w:val="center"/>
                    <w:rPr>
                      <w:rFonts w:hint="default" w:ascii="Times New Roman" w:hAnsi="Times New Roman" w:eastAsia="宋体" w:cs="Times New Roman"/>
                      <w:b/>
                      <w:i w:val="0"/>
                      <w:color w:val="auto"/>
                      <w:sz w:val="21"/>
                      <w:szCs w:val="21"/>
                      <w:highlight w:val="none"/>
                      <w:u w:val="none"/>
                    </w:rPr>
                  </w:pPr>
                </w:p>
              </w:tc>
            </w:tr>
            <w:tr w14:paraId="1F3F5B7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tcBorders>
                    <w:tl2br w:val="nil"/>
                    <w:tr2bl w:val="nil"/>
                  </w:tcBorders>
                  <w:shd w:val="clear" w:color="auto" w:fill="auto"/>
                  <w:noWrap w:val="0"/>
                  <w:tcMar>
                    <w:top w:w="15" w:type="dxa"/>
                    <w:left w:w="15" w:type="dxa"/>
                    <w:right w:w="15" w:type="dxa"/>
                  </w:tcMar>
                  <w:vAlign w:val="center"/>
                </w:tcPr>
                <w:p w14:paraId="5888209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628" w:type="dxa"/>
                  <w:tcBorders>
                    <w:tl2br w:val="nil"/>
                    <w:tr2bl w:val="nil"/>
                  </w:tcBorders>
                  <w:shd w:val="clear" w:color="auto" w:fill="auto"/>
                  <w:noWrap w:val="0"/>
                  <w:tcMar>
                    <w:top w:w="15" w:type="dxa"/>
                    <w:left w:w="15" w:type="dxa"/>
                    <w:right w:w="15" w:type="dxa"/>
                  </w:tcMar>
                  <w:vAlign w:val="center"/>
                </w:tcPr>
                <w:p w14:paraId="6B5429B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射芯机</w:t>
                  </w:r>
                </w:p>
              </w:tc>
              <w:tc>
                <w:tcPr>
                  <w:tcW w:w="452" w:type="dxa"/>
                  <w:tcBorders>
                    <w:tl2br w:val="nil"/>
                    <w:tr2bl w:val="nil"/>
                  </w:tcBorders>
                  <w:shd w:val="clear" w:color="auto" w:fill="auto"/>
                  <w:noWrap w:val="0"/>
                  <w:tcMar>
                    <w:top w:w="15" w:type="dxa"/>
                    <w:left w:w="15" w:type="dxa"/>
                    <w:right w:w="15" w:type="dxa"/>
                  </w:tcMar>
                  <w:vAlign w:val="center"/>
                </w:tcPr>
                <w:p w14:paraId="739C43BB">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14</w:t>
                  </w:r>
                </w:p>
              </w:tc>
              <w:tc>
                <w:tcPr>
                  <w:tcW w:w="437" w:type="dxa"/>
                  <w:tcBorders>
                    <w:tl2br w:val="nil"/>
                    <w:tr2bl w:val="nil"/>
                  </w:tcBorders>
                  <w:shd w:val="clear" w:color="auto" w:fill="auto"/>
                  <w:noWrap w:val="0"/>
                  <w:tcMar>
                    <w:top w:w="15" w:type="dxa"/>
                    <w:left w:w="15" w:type="dxa"/>
                    <w:right w:w="15" w:type="dxa"/>
                  </w:tcMar>
                  <w:vAlign w:val="center"/>
                </w:tcPr>
                <w:p w14:paraId="5DFF2010">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4</w:t>
                  </w:r>
                </w:p>
              </w:tc>
              <w:tc>
                <w:tcPr>
                  <w:tcW w:w="553" w:type="dxa"/>
                  <w:tcBorders>
                    <w:tl2br w:val="nil"/>
                    <w:tr2bl w:val="nil"/>
                  </w:tcBorders>
                  <w:shd w:val="clear" w:color="auto" w:fill="auto"/>
                  <w:noWrap w:val="0"/>
                  <w:tcMar>
                    <w:top w:w="15" w:type="dxa"/>
                    <w:left w:w="15" w:type="dxa"/>
                    <w:right w:w="15" w:type="dxa"/>
                  </w:tcMar>
                  <w:vAlign w:val="center"/>
                </w:tcPr>
                <w:p w14:paraId="5B76833F">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1.0</w:t>
                  </w:r>
                </w:p>
              </w:tc>
              <w:tc>
                <w:tcPr>
                  <w:tcW w:w="603" w:type="dxa"/>
                  <w:tcBorders>
                    <w:tl2br w:val="nil"/>
                    <w:tr2bl w:val="nil"/>
                  </w:tcBorders>
                  <w:shd w:val="clear" w:color="auto" w:fill="auto"/>
                  <w:noWrap w:val="0"/>
                  <w:tcMar>
                    <w:top w:w="15" w:type="dxa"/>
                    <w:left w:w="15" w:type="dxa"/>
                    <w:right w:w="15" w:type="dxa"/>
                  </w:tcMar>
                  <w:vAlign w:val="center"/>
                </w:tcPr>
                <w:p w14:paraId="1D2D75B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85</w:t>
                  </w:r>
                </w:p>
              </w:tc>
              <w:tc>
                <w:tcPr>
                  <w:tcW w:w="201" w:type="dxa"/>
                  <w:tcBorders>
                    <w:tl2br w:val="nil"/>
                    <w:tr2bl w:val="nil"/>
                  </w:tcBorders>
                  <w:shd w:val="clear" w:color="auto" w:fill="auto"/>
                  <w:noWrap w:val="0"/>
                  <w:tcMar>
                    <w:top w:w="15" w:type="dxa"/>
                    <w:left w:w="15" w:type="dxa"/>
                    <w:right w:w="15" w:type="dxa"/>
                  </w:tcMar>
                  <w:vAlign w:val="center"/>
                </w:tcPr>
                <w:p w14:paraId="1CD92AA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5</w:t>
                  </w:r>
                </w:p>
              </w:tc>
              <w:tc>
                <w:tcPr>
                  <w:tcW w:w="451" w:type="dxa"/>
                  <w:vMerge w:val="restart"/>
                  <w:tcBorders>
                    <w:tl2br w:val="nil"/>
                    <w:tr2bl w:val="nil"/>
                  </w:tcBorders>
                  <w:noWrap w:val="0"/>
                  <w:tcMar>
                    <w:top w:w="15" w:type="dxa"/>
                    <w:left w:w="15" w:type="dxa"/>
                    <w:right w:w="15" w:type="dxa"/>
                  </w:tcMar>
                  <w:vAlign w:val="center"/>
                </w:tcPr>
                <w:p w14:paraId="03FF1EBA">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射芯车间，</w:t>
                  </w:r>
                  <w:r>
                    <w:rPr>
                      <w:rFonts w:hint="default" w:ascii="Times New Roman" w:hAnsi="Times New Roman" w:eastAsia="宋体" w:cs="Times New Roman"/>
                      <w:i w:val="0"/>
                      <w:color w:val="auto"/>
                      <w:kern w:val="0"/>
                      <w:sz w:val="21"/>
                      <w:szCs w:val="21"/>
                      <w:highlight w:val="none"/>
                      <w:u w:val="none"/>
                      <w:lang w:val="en-US" w:eastAsia="zh-CN" w:bidi="ar"/>
                    </w:rPr>
                    <w:t>低噪声设备基础减振-1</w:t>
                  </w:r>
                  <w:r>
                    <w:rPr>
                      <w:rFonts w:hint="eastAsia" w:ascii="Times New Roman" w:hAnsi="Times New Roman" w:cs="Times New Roman"/>
                      <w:i w:val="0"/>
                      <w:color w:val="auto"/>
                      <w:kern w:val="0"/>
                      <w:sz w:val="21"/>
                      <w:szCs w:val="21"/>
                      <w:highlight w:val="none"/>
                      <w:u w:val="none"/>
                      <w:lang w:val="en-US" w:eastAsia="zh-CN" w:bidi="ar"/>
                    </w:rPr>
                    <w:t>5</w:t>
                  </w:r>
                </w:p>
              </w:tc>
              <w:tc>
                <w:tcPr>
                  <w:tcW w:w="697" w:type="dxa"/>
                  <w:tcBorders>
                    <w:tl2br w:val="nil"/>
                    <w:tr2bl w:val="nil"/>
                  </w:tcBorders>
                  <w:shd w:val="clear" w:color="auto" w:fill="auto"/>
                  <w:noWrap w:val="0"/>
                  <w:tcMar>
                    <w:top w:w="15" w:type="dxa"/>
                    <w:left w:w="15" w:type="dxa"/>
                    <w:right w:w="15" w:type="dxa"/>
                  </w:tcMar>
                  <w:vAlign w:val="center"/>
                </w:tcPr>
                <w:p w14:paraId="4527C8CF">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6</w:t>
                  </w:r>
                </w:p>
              </w:tc>
              <w:tc>
                <w:tcPr>
                  <w:tcW w:w="697" w:type="dxa"/>
                  <w:tcBorders>
                    <w:tl2br w:val="nil"/>
                    <w:tr2bl w:val="nil"/>
                  </w:tcBorders>
                  <w:shd w:val="clear" w:color="auto" w:fill="auto"/>
                  <w:noWrap w:val="0"/>
                  <w:tcMar>
                    <w:top w:w="15" w:type="dxa"/>
                    <w:left w:w="15" w:type="dxa"/>
                    <w:right w:w="15" w:type="dxa"/>
                  </w:tcMar>
                  <w:vAlign w:val="center"/>
                </w:tcPr>
                <w:p w14:paraId="685A97B4">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w:t>
                  </w:r>
                </w:p>
              </w:tc>
              <w:tc>
                <w:tcPr>
                  <w:tcW w:w="697" w:type="dxa"/>
                  <w:tcBorders>
                    <w:tl2br w:val="nil"/>
                    <w:tr2bl w:val="nil"/>
                  </w:tcBorders>
                  <w:shd w:val="clear" w:color="auto" w:fill="auto"/>
                  <w:noWrap w:val="0"/>
                  <w:tcMar>
                    <w:top w:w="15" w:type="dxa"/>
                    <w:left w:w="15" w:type="dxa"/>
                    <w:right w:w="15" w:type="dxa"/>
                  </w:tcMar>
                  <w:vAlign w:val="center"/>
                </w:tcPr>
                <w:p w14:paraId="1752BECB">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14</w:t>
                  </w:r>
                </w:p>
              </w:tc>
              <w:tc>
                <w:tcPr>
                  <w:tcW w:w="697" w:type="dxa"/>
                  <w:tcBorders>
                    <w:tl2br w:val="nil"/>
                    <w:tr2bl w:val="nil"/>
                  </w:tcBorders>
                  <w:shd w:val="clear" w:color="auto" w:fill="auto"/>
                  <w:noWrap w:val="0"/>
                  <w:tcMar>
                    <w:top w:w="15" w:type="dxa"/>
                    <w:left w:w="15" w:type="dxa"/>
                    <w:right w:w="15" w:type="dxa"/>
                  </w:tcMar>
                  <w:vAlign w:val="center"/>
                </w:tcPr>
                <w:p w14:paraId="34E5825A">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w:t>
                  </w:r>
                </w:p>
              </w:tc>
              <w:tc>
                <w:tcPr>
                  <w:tcW w:w="714" w:type="dxa"/>
                  <w:tcBorders>
                    <w:tl2br w:val="nil"/>
                    <w:tr2bl w:val="nil"/>
                  </w:tcBorders>
                  <w:shd w:val="clear" w:color="auto" w:fill="auto"/>
                  <w:noWrap w:val="0"/>
                  <w:tcMar>
                    <w:top w:w="15" w:type="dxa"/>
                    <w:left w:w="15" w:type="dxa"/>
                    <w:right w:w="15" w:type="dxa"/>
                  </w:tcMar>
                  <w:vAlign w:val="center"/>
                </w:tcPr>
                <w:p w14:paraId="7226828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54.43</w:t>
                  </w:r>
                </w:p>
              </w:tc>
              <w:tc>
                <w:tcPr>
                  <w:tcW w:w="714" w:type="dxa"/>
                  <w:tcBorders>
                    <w:tl2br w:val="nil"/>
                    <w:tr2bl w:val="nil"/>
                  </w:tcBorders>
                  <w:shd w:val="clear" w:color="auto" w:fill="auto"/>
                  <w:noWrap w:val="0"/>
                  <w:tcMar>
                    <w:top w:w="15" w:type="dxa"/>
                    <w:left w:w="15" w:type="dxa"/>
                    <w:right w:w="15" w:type="dxa"/>
                  </w:tcMar>
                  <w:vAlign w:val="center"/>
                </w:tcPr>
                <w:p w14:paraId="0FB22EDD">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70</w:t>
                  </w:r>
                </w:p>
              </w:tc>
              <w:tc>
                <w:tcPr>
                  <w:tcW w:w="713" w:type="dxa"/>
                  <w:tcBorders>
                    <w:tl2br w:val="nil"/>
                    <w:tr2bl w:val="nil"/>
                  </w:tcBorders>
                  <w:shd w:val="clear" w:color="auto" w:fill="auto"/>
                  <w:noWrap w:val="0"/>
                  <w:tcMar>
                    <w:top w:w="15" w:type="dxa"/>
                    <w:left w:w="15" w:type="dxa"/>
                    <w:right w:w="15" w:type="dxa"/>
                  </w:tcMar>
                  <w:vAlign w:val="center"/>
                </w:tcPr>
                <w:p w14:paraId="6699EFF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47.07</w:t>
                  </w:r>
                </w:p>
              </w:tc>
              <w:tc>
                <w:tcPr>
                  <w:tcW w:w="646" w:type="dxa"/>
                  <w:tcBorders>
                    <w:tl2br w:val="nil"/>
                    <w:tr2bl w:val="nil"/>
                  </w:tcBorders>
                  <w:shd w:val="clear" w:color="auto" w:fill="auto"/>
                  <w:noWrap w:val="0"/>
                  <w:tcMar>
                    <w:top w:w="15" w:type="dxa"/>
                    <w:left w:w="15" w:type="dxa"/>
                    <w:right w:w="15" w:type="dxa"/>
                  </w:tcMar>
                  <w:vAlign w:val="center"/>
                </w:tcPr>
                <w:p w14:paraId="7BBECE5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57.95</w:t>
                  </w:r>
                </w:p>
              </w:tc>
              <w:tc>
                <w:tcPr>
                  <w:tcW w:w="286" w:type="dxa"/>
                  <w:vMerge w:val="restart"/>
                  <w:tcBorders>
                    <w:tl2br w:val="nil"/>
                    <w:tr2bl w:val="nil"/>
                  </w:tcBorders>
                  <w:noWrap w:val="0"/>
                  <w:tcMar>
                    <w:top w:w="15" w:type="dxa"/>
                    <w:left w:w="15" w:type="dxa"/>
                    <w:right w:w="15" w:type="dxa"/>
                  </w:tcMar>
                  <w:vAlign w:val="center"/>
                </w:tcPr>
                <w:p w14:paraId="3023C6B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rPr>
                  </w:pPr>
                  <w:r>
                    <w:rPr>
                      <w:rFonts w:hint="default" w:ascii="Times New Roman" w:hAnsi="Times New Roman" w:cs="Times New Roman"/>
                      <w:i w:val="0"/>
                      <w:color w:val="auto"/>
                      <w:kern w:val="0"/>
                      <w:sz w:val="21"/>
                      <w:szCs w:val="21"/>
                      <w:highlight w:val="none"/>
                      <w:u w:val="none"/>
                      <w:lang w:val="en-US" w:eastAsia="zh-CN" w:bidi="ar"/>
                    </w:rPr>
                    <w:t>昼间</w:t>
                  </w:r>
                </w:p>
              </w:tc>
              <w:tc>
                <w:tcPr>
                  <w:tcW w:w="465" w:type="dxa"/>
                  <w:vMerge w:val="restart"/>
                  <w:tcBorders>
                    <w:tl2br w:val="nil"/>
                    <w:tr2bl w:val="nil"/>
                  </w:tcBorders>
                  <w:noWrap w:val="0"/>
                  <w:tcMar>
                    <w:top w:w="15" w:type="dxa"/>
                    <w:left w:w="15" w:type="dxa"/>
                    <w:right w:w="15" w:type="dxa"/>
                  </w:tcMar>
                  <w:vAlign w:val="center"/>
                </w:tcPr>
                <w:p w14:paraId="7EDF0E88">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w:t>
                  </w:r>
                  <w:r>
                    <w:rPr>
                      <w:rFonts w:hint="default" w:ascii="Times New Roman" w:hAnsi="Times New Roman" w:cs="Times New Roman"/>
                      <w:i w:val="0"/>
                      <w:color w:val="auto"/>
                      <w:kern w:val="0"/>
                      <w:sz w:val="21"/>
                      <w:szCs w:val="21"/>
                      <w:highlight w:val="none"/>
                      <w:u w:val="none"/>
                      <w:lang w:val="en-US" w:eastAsia="zh-CN" w:bidi="ar"/>
                    </w:rPr>
                    <w:t>5</w:t>
                  </w:r>
                </w:p>
              </w:tc>
              <w:tc>
                <w:tcPr>
                  <w:tcW w:w="720" w:type="dxa"/>
                  <w:tcBorders>
                    <w:tl2br w:val="nil"/>
                    <w:tr2bl w:val="nil"/>
                  </w:tcBorders>
                  <w:noWrap w:val="0"/>
                  <w:tcMar>
                    <w:top w:w="15" w:type="dxa"/>
                    <w:left w:w="15" w:type="dxa"/>
                    <w:right w:w="15" w:type="dxa"/>
                  </w:tcMar>
                  <w:vAlign w:val="center"/>
                </w:tcPr>
                <w:p w14:paraId="6B8F3A77">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46.42</w:t>
                  </w:r>
                </w:p>
              </w:tc>
              <w:tc>
                <w:tcPr>
                  <w:tcW w:w="640" w:type="dxa"/>
                  <w:tcBorders>
                    <w:tl2br w:val="nil"/>
                    <w:tr2bl w:val="nil"/>
                  </w:tcBorders>
                  <w:noWrap w:val="0"/>
                  <w:tcMar>
                    <w:top w:w="15" w:type="dxa"/>
                    <w:left w:w="15" w:type="dxa"/>
                    <w:right w:w="15" w:type="dxa"/>
                  </w:tcMar>
                  <w:vAlign w:val="center"/>
                </w:tcPr>
                <w:p w14:paraId="52063B54">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61.99</w:t>
                  </w:r>
                </w:p>
              </w:tc>
              <w:tc>
                <w:tcPr>
                  <w:tcW w:w="699" w:type="dxa"/>
                  <w:tcBorders>
                    <w:tl2br w:val="nil"/>
                    <w:tr2bl w:val="nil"/>
                  </w:tcBorders>
                  <w:noWrap w:val="0"/>
                  <w:tcMar>
                    <w:top w:w="15" w:type="dxa"/>
                    <w:left w:w="15" w:type="dxa"/>
                    <w:right w:w="15" w:type="dxa"/>
                  </w:tcMar>
                  <w:vAlign w:val="center"/>
                </w:tcPr>
                <w:p w14:paraId="76425465">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39.06</w:t>
                  </w:r>
                </w:p>
              </w:tc>
              <w:tc>
                <w:tcPr>
                  <w:tcW w:w="626" w:type="dxa"/>
                  <w:tcBorders>
                    <w:tl2br w:val="nil"/>
                    <w:tr2bl w:val="nil"/>
                  </w:tcBorders>
                  <w:noWrap w:val="0"/>
                  <w:tcMar>
                    <w:top w:w="15" w:type="dxa"/>
                    <w:left w:w="15" w:type="dxa"/>
                    <w:right w:w="15" w:type="dxa"/>
                  </w:tcMar>
                  <w:vAlign w:val="center"/>
                </w:tcPr>
                <w:p w14:paraId="10118461">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49.94</w:t>
                  </w:r>
                </w:p>
              </w:tc>
              <w:tc>
                <w:tcPr>
                  <w:tcW w:w="420" w:type="dxa"/>
                  <w:vMerge w:val="restart"/>
                  <w:tcBorders>
                    <w:tl2br w:val="nil"/>
                    <w:tr2bl w:val="nil"/>
                  </w:tcBorders>
                  <w:noWrap w:val="0"/>
                  <w:tcMar>
                    <w:top w:w="15" w:type="dxa"/>
                    <w:left w:w="15" w:type="dxa"/>
                    <w:right w:w="15" w:type="dxa"/>
                  </w:tcMar>
                  <w:vAlign w:val="center"/>
                </w:tcPr>
                <w:p w14:paraId="14256A58">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1</w:t>
                  </w:r>
                </w:p>
              </w:tc>
            </w:tr>
            <w:tr w14:paraId="630829A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tcBorders>
                    <w:tl2br w:val="nil"/>
                    <w:tr2bl w:val="nil"/>
                  </w:tcBorders>
                  <w:shd w:val="clear" w:color="auto" w:fill="auto"/>
                  <w:noWrap w:val="0"/>
                  <w:tcMar>
                    <w:top w:w="15" w:type="dxa"/>
                    <w:left w:w="15" w:type="dxa"/>
                    <w:right w:w="15" w:type="dxa"/>
                  </w:tcMar>
                  <w:vAlign w:val="center"/>
                </w:tcPr>
                <w:p w14:paraId="5CE6545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628" w:type="dxa"/>
                  <w:tcBorders>
                    <w:tl2br w:val="nil"/>
                    <w:tr2bl w:val="nil"/>
                  </w:tcBorders>
                  <w:shd w:val="clear" w:color="auto" w:fill="auto"/>
                  <w:noWrap w:val="0"/>
                  <w:tcMar>
                    <w:top w:w="15" w:type="dxa"/>
                    <w:left w:w="15" w:type="dxa"/>
                    <w:right w:w="15" w:type="dxa"/>
                  </w:tcMar>
                  <w:vAlign w:val="center"/>
                </w:tcPr>
                <w:p w14:paraId="28803A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空压机组</w:t>
                  </w:r>
                </w:p>
              </w:tc>
              <w:tc>
                <w:tcPr>
                  <w:tcW w:w="452" w:type="dxa"/>
                  <w:tcBorders>
                    <w:tl2br w:val="nil"/>
                    <w:tr2bl w:val="nil"/>
                  </w:tcBorders>
                  <w:shd w:val="clear" w:color="auto" w:fill="auto"/>
                  <w:noWrap w:val="0"/>
                  <w:tcMar>
                    <w:top w:w="15" w:type="dxa"/>
                    <w:left w:w="15" w:type="dxa"/>
                    <w:right w:w="15" w:type="dxa"/>
                  </w:tcMar>
                  <w:vAlign w:val="center"/>
                </w:tcPr>
                <w:p w14:paraId="7493359B">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30</w:t>
                  </w:r>
                </w:p>
              </w:tc>
              <w:tc>
                <w:tcPr>
                  <w:tcW w:w="437" w:type="dxa"/>
                  <w:tcBorders>
                    <w:tl2br w:val="nil"/>
                    <w:tr2bl w:val="nil"/>
                  </w:tcBorders>
                  <w:shd w:val="clear" w:color="auto" w:fill="auto"/>
                  <w:noWrap w:val="0"/>
                  <w:tcMar>
                    <w:top w:w="15" w:type="dxa"/>
                    <w:left w:w="15" w:type="dxa"/>
                    <w:right w:w="15" w:type="dxa"/>
                  </w:tcMar>
                  <w:vAlign w:val="center"/>
                </w:tcPr>
                <w:p w14:paraId="4D47BEE9">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7</w:t>
                  </w:r>
                </w:p>
              </w:tc>
              <w:tc>
                <w:tcPr>
                  <w:tcW w:w="553" w:type="dxa"/>
                  <w:tcBorders>
                    <w:tl2br w:val="nil"/>
                    <w:tr2bl w:val="nil"/>
                  </w:tcBorders>
                  <w:shd w:val="clear" w:color="auto" w:fill="auto"/>
                  <w:noWrap w:val="0"/>
                  <w:tcMar>
                    <w:top w:w="15" w:type="dxa"/>
                    <w:left w:w="15" w:type="dxa"/>
                    <w:right w:w="15" w:type="dxa"/>
                  </w:tcMar>
                  <w:vAlign w:val="center"/>
                </w:tcPr>
                <w:p w14:paraId="45397B2A">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tcBorders>
                    <w:tl2br w:val="nil"/>
                    <w:tr2bl w:val="nil"/>
                  </w:tcBorders>
                  <w:shd w:val="clear" w:color="auto" w:fill="auto"/>
                  <w:noWrap w:val="0"/>
                  <w:tcMar>
                    <w:top w:w="15" w:type="dxa"/>
                    <w:left w:w="15" w:type="dxa"/>
                    <w:right w:w="15" w:type="dxa"/>
                  </w:tcMar>
                  <w:vAlign w:val="center"/>
                </w:tcPr>
                <w:p w14:paraId="795B9A07">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85</w:t>
                  </w:r>
                </w:p>
              </w:tc>
              <w:tc>
                <w:tcPr>
                  <w:tcW w:w="201" w:type="dxa"/>
                  <w:tcBorders>
                    <w:tl2br w:val="nil"/>
                    <w:tr2bl w:val="nil"/>
                  </w:tcBorders>
                  <w:shd w:val="clear" w:color="auto" w:fill="auto"/>
                  <w:noWrap w:val="0"/>
                  <w:tcMar>
                    <w:top w:w="15" w:type="dxa"/>
                    <w:left w:w="15" w:type="dxa"/>
                    <w:right w:w="15" w:type="dxa"/>
                  </w:tcMar>
                  <w:vAlign w:val="center"/>
                </w:tcPr>
                <w:p w14:paraId="0AFB142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w:t>
                  </w:r>
                </w:p>
              </w:tc>
              <w:tc>
                <w:tcPr>
                  <w:tcW w:w="451" w:type="dxa"/>
                  <w:vMerge w:val="continue"/>
                  <w:tcBorders>
                    <w:tl2br w:val="nil"/>
                    <w:tr2bl w:val="nil"/>
                  </w:tcBorders>
                  <w:noWrap w:val="0"/>
                  <w:tcMar>
                    <w:top w:w="15" w:type="dxa"/>
                    <w:left w:w="15" w:type="dxa"/>
                    <w:right w:w="15" w:type="dxa"/>
                  </w:tcMar>
                  <w:vAlign w:val="center"/>
                </w:tcPr>
                <w:p w14:paraId="366E95BC">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tcBorders>
                    <w:tl2br w:val="nil"/>
                    <w:tr2bl w:val="nil"/>
                  </w:tcBorders>
                  <w:shd w:val="clear" w:color="auto" w:fill="auto"/>
                  <w:noWrap w:val="0"/>
                  <w:tcMar>
                    <w:top w:w="15" w:type="dxa"/>
                    <w:left w:w="15" w:type="dxa"/>
                    <w:right w:w="15" w:type="dxa"/>
                  </w:tcMar>
                  <w:vAlign w:val="center"/>
                </w:tcPr>
                <w:p w14:paraId="41787441">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697" w:type="dxa"/>
                  <w:tcBorders>
                    <w:tl2br w:val="nil"/>
                    <w:tr2bl w:val="nil"/>
                  </w:tcBorders>
                  <w:shd w:val="clear" w:color="auto" w:fill="auto"/>
                  <w:noWrap w:val="0"/>
                  <w:tcMar>
                    <w:top w:w="15" w:type="dxa"/>
                    <w:left w:w="15" w:type="dxa"/>
                    <w:right w:w="15" w:type="dxa"/>
                  </w:tcMar>
                  <w:vAlign w:val="center"/>
                </w:tcPr>
                <w:p w14:paraId="7690CF09">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w:t>
                  </w:r>
                </w:p>
              </w:tc>
              <w:tc>
                <w:tcPr>
                  <w:tcW w:w="697" w:type="dxa"/>
                  <w:tcBorders>
                    <w:tl2br w:val="nil"/>
                    <w:tr2bl w:val="nil"/>
                  </w:tcBorders>
                  <w:shd w:val="clear" w:color="auto" w:fill="auto"/>
                  <w:noWrap w:val="0"/>
                  <w:tcMar>
                    <w:top w:w="15" w:type="dxa"/>
                    <w:left w:w="15" w:type="dxa"/>
                    <w:right w:w="15" w:type="dxa"/>
                  </w:tcMar>
                  <w:vAlign w:val="center"/>
                </w:tcPr>
                <w:p w14:paraId="5D91A523">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30</w:t>
                  </w:r>
                </w:p>
              </w:tc>
              <w:tc>
                <w:tcPr>
                  <w:tcW w:w="697" w:type="dxa"/>
                  <w:tcBorders>
                    <w:tl2br w:val="nil"/>
                    <w:tr2bl w:val="nil"/>
                  </w:tcBorders>
                  <w:shd w:val="clear" w:color="auto" w:fill="auto"/>
                  <w:noWrap w:val="0"/>
                  <w:tcMar>
                    <w:top w:w="15" w:type="dxa"/>
                    <w:left w:w="15" w:type="dxa"/>
                    <w:right w:w="15" w:type="dxa"/>
                  </w:tcMar>
                  <w:vAlign w:val="center"/>
                </w:tcPr>
                <w:p w14:paraId="23109CE4">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7</w:t>
                  </w:r>
                </w:p>
              </w:tc>
              <w:tc>
                <w:tcPr>
                  <w:tcW w:w="714" w:type="dxa"/>
                  <w:tcBorders>
                    <w:tl2br w:val="nil"/>
                    <w:tr2bl w:val="nil"/>
                  </w:tcBorders>
                  <w:shd w:val="clear" w:color="auto" w:fill="auto"/>
                  <w:noWrap w:val="0"/>
                  <w:tcMar>
                    <w:top w:w="15" w:type="dxa"/>
                    <w:left w:w="15" w:type="dxa"/>
                    <w:right w:w="15" w:type="dxa"/>
                  </w:tcMar>
                  <w:vAlign w:val="center"/>
                </w:tcPr>
                <w:p w14:paraId="63285B9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63.97</w:t>
                  </w:r>
                </w:p>
              </w:tc>
              <w:tc>
                <w:tcPr>
                  <w:tcW w:w="714" w:type="dxa"/>
                  <w:tcBorders>
                    <w:tl2br w:val="nil"/>
                    <w:tr2bl w:val="nil"/>
                  </w:tcBorders>
                  <w:shd w:val="clear" w:color="auto" w:fill="auto"/>
                  <w:noWrap w:val="0"/>
                  <w:tcMar>
                    <w:top w:w="15" w:type="dxa"/>
                    <w:left w:w="15" w:type="dxa"/>
                    <w:right w:w="15" w:type="dxa"/>
                  </w:tcMar>
                  <w:vAlign w:val="center"/>
                </w:tcPr>
                <w:p w14:paraId="6FC52CB3">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70</w:t>
                  </w:r>
                </w:p>
              </w:tc>
              <w:tc>
                <w:tcPr>
                  <w:tcW w:w="713" w:type="dxa"/>
                  <w:tcBorders>
                    <w:tl2br w:val="nil"/>
                    <w:tr2bl w:val="nil"/>
                  </w:tcBorders>
                  <w:shd w:val="clear" w:color="auto" w:fill="auto"/>
                  <w:noWrap w:val="0"/>
                  <w:tcMar>
                    <w:top w:w="15" w:type="dxa"/>
                    <w:left w:w="15" w:type="dxa"/>
                    <w:right w:w="15" w:type="dxa"/>
                  </w:tcMar>
                  <w:vAlign w:val="center"/>
                </w:tcPr>
                <w:p w14:paraId="2748C92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40.45</w:t>
                  </w:r>
                </w:p>
              </w:tc>
              <w:tc>
                <w:tcPr>
                  <w:tcW w:w="646" w:type="dxa"/>
                  <w:tcBorders>
                    <w:tl2br w:val="nil"/>
                    <w:tr2bl w:val="nil"/>
                  </w:tcBorders>
                  <w:shd w:val="clear" w:color="auto" w:fill="auto"/>
                  <w:noWrap w:val="0"/>
                  <w:tcMar>
                    <w:top w:w="15" w:type="dxa"/>
                    <w:left w:w="15" w:type="dxa"/>
                    <w:right w:w="15" w:type="dxa"/>
                  </w:tcMar>
                  <w:vAlign w:val="center"/>
                </w:tcPr>
                <w:p w14:paraId="1D8E9DD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53.09</w:t>
                  </w:r>
                </w:p>
              </w:tc>
              <w:tc>
                <w:tcPr>
                  <w:tcW w:w="286" w:type="dxa"/>
                  <w:vMerge w:val="continue"/>
                  <w:tcBorders>
                    <w:tl2br w:val="nil"/>
                    <w:tr2bl w:val="nil"/>
                  </w:tcBorders>
                  <w:noWrap w:val="0"/>
                  <w:tcMar>
                    <w:top w:w="15" w:type="dxa"/>
                    <w:left w:w="15" w:type="dxa"/>
                    <w:right w:w="15" w:type="dxa"/>
                  </w:tcMar>
                  <w:vAlign w:val="center"/>
                </w:tcPr>
                <w:p w14:paraId="4A543503">
                  <w:pPr>
                    <w:keepNext w:val="0"/>
                    <w:keepLines w:val="0"/>
                    <w:widowControl/>
                    <w:suppressLineNumbers w:val="0"/>
                    <w:spacing w:line="240" w:lineRule="auto"/>
                    <w:jc w:val="center"/>
                    <w:textAlignment w:val="center"/>
                    <w:rPr>
                      <w:rFonts w:hint="default" w:ascii="Times New Roman" w:hAnsi="Times New Roman" w:cs="Times New Roman"/>
                      <w:i w:val="0"/>
                      <w:color w:val="auto"/>
                      <w:kern w:val="0"/>
                      <w:sz w:val="21"/>
                      <w:szCs w:val="21"/>
                      <w:highlight w:val="none"/>
                      <w:u w:val="none"/>
                      <w:lang w:val="en-US" w:eastAsia="zh-CN" w:bidi="ar"/>
                    </w:rPr>
                  </w:pPr>
                </w:p>
              </w:tc>
              <w:tc>
                <w:tcPr>
                  <w:tcW w:w="465" w:type="dxa"/>
                  <w:vMerge w:val="continue"/>
                  <w:tcBorders>
                    <w:tl2br w:val="nil"/>
                    <w:tr2bl w:val="nil"/>
                  </w:tcBorders>
                  <w:noWrap w:val="0"/>
                  <w:tcMar>
                    <w:top w:w="15" w:type="dxa"/>
                    <w:left w:w="15" w:type="dxa"/>
                    <w:right w:w="15" w:type="dxa"/>
                  </w:tcMar>
                  <w:vAlign w:val="center"/>
                </w:tcPr>
                <w:p w14:paraId="7D591ED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720" w:type="dxa"/>
                  <w:tcBorders>
                    <w:tl2br w:val="nil"/>
                    <w:tr2bl w:val="nil"/>
                  </w:tcBorders>
                  <w:noWrap w:val="0"/>
                  <w:tcMar>
                    <w:top w:w="15" w:type="dxa"/>
                    <w:left w:w="15" w:type="dxa"/>
                    <w:right w:w="15" w:type="dxa"/>
                  </w:tcMar>
                  <w:vAlign w:val="center"/>
                </w:tcPr>
                <w:p w14:paraId="0C8149F5">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52.95</w:t>
                  </w:r>
                </w:p>
              </w:tc>
              <w:tc>
                <w:tcPr>
                  <w:tcW w:w="640" w:type="dxa"/>
                  <w:tcBorders>
                    <w:tl2br w:val="nil"/>
                    <w:tr2bl w:val="nil"/>
                  </w:tcBorders>
                  <w:noWrap w:val="0"/>
                  <w:tcMar>
                    <w:top w:w="15" w:type="dxa"/>
                    <w:left w:w="15" w:type="dxa"/>
                    <w:right w:w="15" w:type="dxa"/>
                  </w:tcMar>
                  <w:vAlign w:val="center"/>
                </w:tcPr>
                <w:p w14:paraId="2C822B7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58.01</w:t>
                  </w:r>
                </w:p>
              </w:tc>
              <w:tc>
                <w:tcPr>
                  <w:tcW w:w="699" w:type="dxa"/>
                  <w:tcBorders>
                    <w:tl2br w:val="nil"/>
                    <w:tr2bl w:val="nil"/>
                  </w:tcBorders>
                  <w:noWrap w:val="0"/>
                  <w:tcMar>
                    <w:top w:w="15" w:type="dxa"/>
                    <w:left w:w="15" w:type="dxa"/>
                    <w:right w:w="15" w:type="dxa"/>
                  </w:tcMar>
                  <w:vAlign w:val="center"/>
                </w:tcPr>
                <w:p w14:paraId="473509F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28.46</w:t>
                  </w:r>
                </w:p>
              </w:tc>
              <w:tc>
                <w:tcPr>
                  <w:tcW w:w="626" w:type="dxa"/>
                  <w:tcBorders>
                    <w:tl2br w:val="nil"/>
                    <w:tr2bl w:val="nil"/>
                  </w:tcBorders>
                  <w:noWrap w:val="0"/>
                  <w:tcMar>
                    <w:top w:w="15" w:type="dxa"/>
                    <w:left w:w="15" w:type="dxa"/>
                    <w:right w:w="15" w:type="dxa"/>
                  </w:tcMar>
                  <w:vAlign w:val="center"/>
                </w:tcPr>
                <w:p w14:paraId="3B4A7EF8">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41.1</w:t>
                  </w:r>
                </w:p>
              </w:tc>
              <w:tc>
                <w:tcPr>
                  <w:tcW w:w="420" w:type="dxa"/>
                  <w:vMerge w:val="continue"/>
                  <w:tcBorders>
                    <w:tl2br w:val="nil"/>
                    <w:tr2bl w:val="nil"/>
                  </w:tcBorders>
                  <w:noWrap w:val="0"/>
                  <w:tcMar>
                    <w:top w:w="15" w:type="dxa"/>
                    <w:left w:w="15" w:type="dxa"/>
                    <w:right w:w="15" w:type="dxa"/>
                  </w:tcMar>
                  <w:vAlign w:val="center"/>
                </w:tcPr>
                <w:p w14:paraId="0935FC12">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r>
            <w:tr w14:paraId="5A1F109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07" w:hRule="atLeast"/>
                <w:jc w:val="center"/>
              </w:trPr>
              <w:tc>
                <w:tcPr>
                  <w:tcW w:w="283" w:type="dxa"/>
                  <w:tcBorders>
                    <w:tl2br w:val="nil"/>
                    <w:tr2bl w:val="nil"/>
                  </w:tcBorders>
                  <w:shd w:val="clear" w:color="auto" w:fill="auto"/>
                  <w:noWrap w:val="0"/>
                  <w:tcMar>
                    <w:top w:w="15" w:type="dxa"/>
                    <w:left w:w="15" w:type="dxa"/>
                    <w:right w:w="15" w:type="dxa"/>
                  </w:tcMar>
                  <w:vAlign w:val="center"/>
                </w:tcPr>
                <w:p w14:paraId="234615C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3</w:t>
                  </w:r>
                </w:p>
              </w:tc>
              <w:tc>
                <w:tcPr>
                  <w:tcW w:w="628" w:type="dxa"/>
                  <w:tcBorders>
                    <w:tl2br w:val="nil"/>
                    <w:tr2bl w:val="nil"/>
                  </w:tcBorders>
                  <w:shd w:val="clear" w:color="auto" w:fill="auto"/>
                  <w:noWrap w:val="0"/>
                  <w:tcMar>
                    <w:top w:w="15" w:type="dxa"/>
                    <w:left w:w="15" w:type="dxa"/>
                    <w:right w:w="15" w:type="dxa"/>
                  </w:tcMar>
                  <w:vAlign w:val="center"/>
                </w:tcPr>
                <w:p w14:paraId="61CE551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自动上砂</w:t>
                  </w:r>
                </w:p>
              </w:tc>
              <w:tc>
                <w:tcPr>
                  <w:tcW w:w="452" w:type="dxa"/>
                  <w:tcBorders>
                    <w:tl2br w:val="nil"/>
                    <w:tr2bl w:val="nil"/>
                  </w:tcBorders>
                  <w:shd w:val="clear" w:color="auto" w:fill="auto"/>
                  <w:noWrap w:val="0"/>
                  <w:tcMar>
                    <w:top w:w="15" w:type="dxa"/>
                    <w:left w:w="15" w:type="dxa"/>
                    <w:right w:w="15" w:type="dxa"/>
                  </w:tcMar>
                  <w:vAlign w:val="center"/>
                </w:tcPr>
                <w:p w14:paraId="26C71DFF">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31</w:t>
                  </w:r>
                </w:p>
              </w:tc>
              <w:tc>
                <w:tcPr>
                  <w:tcW w:w="437" w:type="dxa"/>
                  <w:tcBorders>
                    <w:tl2br w:val="nil"/>
                    <w:tr2bl w:val="nil"/>
                  </w:tcBorders>
                  <w:shd w:val="clear" w:color="auto" w:fill="auto"/>
                  <w:noWrap w:val="0"/>
                  <w:tcMar>
                    <w:top w:w="15" w:type="dxa"/>
                    <w:left w:w="15" w:type="dxa"/>
                    <w:right w:w="15" w:type="dxa"/>
                  </w:tcMar>
                  <w:vAlign w:val="center"/>
                </w:tcPr>
                <w:p w14:paraId="0EE4A0BD">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47</w:t>
                  </w:r>
                </w:p>
              </w:tc>
              <w:tc>
                <w:tcPr>
                  <w:tcW w:w="553" w:type="dxa"/>
                  <w:tcBorders>
                    <w:tl2br w:val="nil"/>
                    <w:tr2bl w:val="nil"/>
                  </w:tcBorders>
                  <w:shd w:val="clear" w:color="auto" w:fill="auto"/>
                  <w:noWrap w:val="0"/>
                  <w:tcMar>
                    <w:top w:w="15" w:type="dxa"/>
                    <w:left w:w="15" w:type="dxa"/>
                    <w:right w:w="15" w:type="dxa"/>
                  </w:tcMar>
                  <w:vAlign w:val="center"/>
                </w:tcPr>
                <w:p w14:paraId="57B1FC6D">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1.0</w:t>
                  </w:r>
                </w:p>
              </w:tc>
              <w:tc>
                <w:tcPr>
                  <w:tcW w:w="603" w:type="dxa"/>
                  <w:tcBorders>
                    <w:tl2br w:val="nil"/>
                    <w:tr2bl w:val="nil"/>
                  </w:tcBorders>
                  <w:shd w:val="clear" w:color="auto" w:fill="auto"/>
                  <w:noWrap w:val="0"/>
                  <w:tcMar>
                    <w:top w:w="15" w:type="dxa"/>
                    <w:left w:w="15" w:type="dxa"/>
                    <w:right w:w="15" w:type="dxa"/>
                  </w:tcMar>
                  <w:vAlign w:val="center"/>
                </w:tcPr>
                <w:p w14:paraId="1D66ED22">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75</w:t>
                  </w:r>
                </w:p>
              </w:tc>
              <w:tc>
                <w:tcPr>
                  <w:tcW w:w="201" w:type="dxa"/>
                  <w:tcBorders>
                    <w:tl2br w:val="nil"/>
                    <w:tr2bl w:val="nil"/>
                  </w:tcBorders>
                  <w:shd w:val="clear" w:color="auto" w:fill="auto"/>
                  <w:noWrap w:val="0"/>
                  <w:tcMar>
                    <w:top w:w="15" w:type="dxa"/>
                    <w:left w:w="15" w:type="dxa"/>
                    <w:right w:w="15" w:type="dxa"/>
                  </w:tcMar>
                  <w:vAlign w:val="center"/>
                </w:tcPr>
                <w:p w14:paraId="13159694">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w:t>
                  </w:r>
                </w:p>
              </w:tc>
              <w:tc>
                <w:tcPr>
                  <w:tcW w:w="451" w:type="dxa"/>
                  <w:vMerge w:val="restart"/>
                  <w:tcBorders>
                    <w:tl2br w:val="nil"/>
                    <w:tr2bl w:val="nil"/>
                  </w:tcBorders>
                  <w:noWrap w:val="0"/>
                  <w:tcMar>
                    <w:top w:w="15" w:type="dxa"/>
                    <w:left w:w="15" w:type="dxa"/>
                    <w:right w:w="15" w:type="dxa"/>
                  </w:tcMar>
                  <w:vAlign w:val="center"/>
                </w:tcPr>
                <w:p w14:paraId="786D6838">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混砂车间，</w:t>
                  </w:r>
                  <w:r>
                    <w:rPr>
                      <w:rFonts w:hint="default" w:ascii="Times New Roman" w:hAnsi="Times New Roman" w:eastAsia="宋体" w:cs="Times New Roman"/>
                      <w:i w:val="0"/>
                      <w:color w:val="auto"/>
                      <w:sz w:val="21"/>
                      <w:szCs w:val="21"/>
                      <w:highlight w:val="none"/>
                      <w:u w:val="none"/>
                      <w:lang w:val="en-US" w:eastAsia="zh-CN"/>
                    </w:rPr>
                    <w:t>低噪声设备基础减振-1</w:t>
                  </w:r>
                  <w:r>
                    <w:rPr>
                      <w:rFonts w:hint="eastAsia" w:ascii="Times New Roman" w:hAnsi="Times New Roman" w:eastAsia="宋体" w:cs="Times New Roman"/>
                      <w:i w:val="0"/>
                      <w:color w:val="auto"/>
                      <w:sz w:val="21"/>
                      <w:szCs w:val="21"/>
                      <w:highlight w:val="none"/>
                      <w:u w:val="none"/>
                      <w:lang w:val="en-US" w:eastAsia="zh-CN"/>
                    </w:rPr>
                    <w:t>5</w:t>
                  </w:r>
                </w:p>
              </w:tc>
              <w:tc>
                <w:tcPr>
                  <w:tcW w:w="697" w:type="dxa"/>
                  <w:tcBorders>
                    <w:tl2br w:val="nil"/>
                    <w:tr2bl w:val="nil"/>
                  </w:tcBorders>
                  <w:shd w:val="clear" w:color="auto" w:fill="auto"/>
                  <w:noWrap w:val="0"/>
                  <w:tcMar>
                    <w:top w:w="15" w:type="dxa"/>
                    <w:left w:w="15" w:type="dxa"/>
                    <w:right w:w="15" w:type="dxa"/>
                  </w:tcMar>
                  <w:vAlign w:val="center"/>
                </w:tcPr>
                <w:p w14:paraId="7ECA3AD5">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13</w:t>
                  </w:r>
                </w:p>
              </w:tc>
              <w:tc>
                <w:tcPr>
                  <w:tcW w:w="697" w:type="dxa"/>
                  <w:tcBorders>
                    <w:tl2br w:val="nil"/>
                    <w:tr2bl w:val="nil"/>
                  </w:tcBorders>
                  <w:shd w:val="clear" w:color="auto" w:fill="auto"/>
                  <w:noWrap w:val="0"/>
                  <w:tcMar>
                    <w:top w:w="15" w:type="dxa"/>
                    <w:left w:w="15" w:type="dxa"/>
                    <w:right w:w="15" w:type="dxa"/>
                  </w:tcMar>
                  <w:vAlign w:val="center"/>
                </w:tcPr>
                <w:p w14:paraId="51F815EF">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w:t>
                  </w:r>
                </w:p>
              </w:tc>
              <w:tc>
                <w:tcPr>
                  <w:tcW w:w="697" w:type="dxa"/>
                  <w:tcBorders>
                    <w:tl2br w:val="nil"/>
                    <w:tr2bl w:val="nil"/>
                  </w:tcBorders>
                  <w:shd w:val="clear" w:color="auto" w:fill="auto"/>
                  <w:noWrap w:val="0"/>
                  <w:tcMar>
                    <w:top w:w="15" w:type="dxa"/>
                    <w:left w:w="15" w:type="dxa"/>
                    <w:right w:w="15" w:type="dxa"/>
                  </w:tcMar>
                  <w:vAlign w:val="center"/>
                </w:tcPr>
                <w:p w14:paraId="00F8D1B2">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18</w:t>
                  </w:r>
                </w:p>
              </w:tc>
              <w:tc>
                <w:tcPr>
                  <w:tcW w:w="697" w:type="dxa"/>
                  <w:tcBorders>
                    <w:tl2br w:val="nil"/>
                    <w:tr2bl w:val="nil"/>
                  </w:tcBorders>
                  <w:shd w:val="clear" w:color="auto" w:fill="auto"/>
                  <w:noWrap w:val="0"/>
                  <w:tcMar>
                    <w:top w:w="15" w:type="dxa"/>
                    <w:left w:w="15" w:type="dxa"/>
                    <w:right w:w="15" w:type="dxa"/>
                  </w:tcMar>
                  <w:vAlign w:val="center"/>
                </w:tcPr>
                <w:p w14:paraId="6EF58F7F">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7</w:t>
                  </w:r>
                </w:p>
              </w:tc>
              <w:tc>
                <w:tcPr>
                  <w:tcW w:w="714" w:type="dxa"/>
                  <w:tcBorders>
                    <w:tl2br w:val="nil"/>
                    <w:tr2bl w:val="nil"/>
                  </w:tcBorders>
                  <w:shd w:val="clear" w:color="auto" w:fill="auto"/>
                  <w:noWrap w:val="0"/>
                  <w:tcMar>
                    <w:top w:w="15" w:type="dxa"/>
                    <w:left w:w="15" w:type="dxa"/>
                    <w:right w:w="15" w:type="dxa"/>
                  </w:tcMar>
                  <w:vAlign w:val="center"/>
                </w:tcPr>
                <w:p w14:paraId="50A91023">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37.72</w:t>
                  </w:r>
                </w:p>
              </w:tc>
              <w:tc>
                <w:tcPr>
                  <w:tcW w:w="714" w:type="dxa"/>
                  <w:tcBorders>
                    <w:tl2br w:val="nil"/>
                    <w:tr2bl w:val="nil"/>
                  </w:tcBorders>
                  <w:shd w:val="clear" w:color="auto" w:fill="auto"/>
                  <w:noWrap w:val="0"/>
                  <w:tcMar>
                    <w:top w:w="15" w:type="dxa"/>
                    <w:left w:w="15" w:type="dxa"/>
                    <w:right w:w="15" w:type="dxa"/>
                  </w:tcMar>
                  <w:vAlign w:val="center"/>
                </w:tcPr>
                <w:p w14:paraId="4125A1BA">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50.45</w:t>
                  </w:r>
                </w:p>
              </w:tc>
              <w:tc>
                <w:tcPr>
                  <w:tcW w:w="713" w:type="dxa"/>
                  <w:tcBorders>
                    <w:tl2br w:val="nil"/>
                    <w:tr2bl w:val="nil"/>
                  </w:tcBorders>
                  <w:shd w:val="clear" w:color="auto" w:fill="auto"/>
                  <w:noWrap w:val="0"/>
                  <w:tcMar>
                    <w:top w:w="15" w:type="dxa"/>
                    <w:left w:w="15" w:type="dxa"/>
                    <w:right w:w="15" w:type="dxa"/>
                  </w:tcMar>
                  <w:vAlign w:val="center"/>
                </w:tcPr>
                <w:p w14:paraId="1397A912">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34.89</w:t>
                  </w:r>
                </w:p>
              </w:tc>
              <w:tc>
                <w:tcPr>
                  <w:tcW w:w="646" w:type="dxa"/>
                  <w:tcBorders>
                    <w:tl2br w:val="nil"/>
                    <w:tr2bl w:val="nil"/>
                  </w:tcBorders>
                  <w:shd w:val="clear" w:color="auto" w:fill="auto"/>
                  <w:noWrap w:val="0"/>
                  <w:tcMar>
                    <w:top w:w="15" w:type="dxa"/>
                    <w:left w:w="15" w:type="dxa"/>
                    <w:right w:w="15" w:type="dxa"/>
                  </w:tcMar>
                  <w:vAlign w:val="center"/>
                </w:tcPr>
                <w:p w14:paraId="4106FD4A">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43.09</w:t>
                  </w:r>
                </w:p>
              </w:tc>
              <w:tc>
                <w:tcPr>
                  <w:tcW w:w="286" w:type="dxa"/>
                  <w:vMerge w:val="continue"/>
                  <w:tcBorders>
                    <w:tl2br w:val="nil"/>
                    <w:tr2bl w:val="nil"/>
                  </w:tcBorders>
                  <w:noWrap w:val="0"/>
                  <w:tcMar>
                    <w:top w:w="15" w:type="dxa"/>
                    <w:left w:w="15" w:type="dxa"/>
                    <w:right w:w="15" w:type="dxa"/>
                  </w:tcMar>
                  <w:vAlign w:val="center"/>
                </w:tcPr>
                <w:p w14:paraId="18A14E09">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p>
              </w:tc>
              <w:tc>
                <w:tcPr>
                  <w:tcW w:w="465" w:type="dxa"/>
                  <w:vMerge w:val="continue"/>
                  <w:tcBorders>
                    <w:tl2br w:val="nil"/>
                    <w:tr2bl w:val="nil"/>
                  </w:tcBorders>
                  <w:noWrap w:val="0"/>
                  <w:tcMar>
                    <w:top w:w="15" w:type="dxa"/>
                    <w:left w:w="15" w:type="dxa"/>
                    <w:right w:w="15" w:type="dxa"/>
                  </w:tcMar>
                  <w:vAlign w:val="center"/>
                </w:tcPr>
                <w:p w14:paraId="2C576FF3">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p>
              </w:tc>
              <w:tc>
                <w:tcPr>
                  <w:tcW w:w="720" w:type="dxa"/>
                  <w:tcBorders>
                    <w:tl2br w:val="nil"/>
                    <w:tr2bl w:val="nil"/>
                  </w:tcBorders>
                  <w:noWrap w:val="0"/>
                  <w:tcMar>
                    <w:top w:w="15" w:type="dxa"/>
                    <w:left w:w="15" w:type="dxa"/>
                    <w:right w:w="15" w:type="dxa"/>
                  </w:tcMar>
                  <w:vAlign w:val="center"/>
                </w:tcPr>
                <w:p w14:paraId="4B832191">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22.72</w:t>
                  </w:r>
                </w:p>
              </w:tc>
              <w:tc>
                <w:tcPr>
                  <w:tcW w:w="640" w:type="dxa"/>
                  <w:tcBorders>
                    <w:tl2br w:val="nil"/>
                    <w:tr2bl w:val="nil"/>
                  </w:tcBorders>
                  <w:noWrap w:val="0"/>
                  <w:tcMar>
                    <w:top w:w="15" w:type="dxa"/>
                    <w:left w:w="15" w:type="dxa"/>
                    <w:right w:w="15" w:type="dxa"/>
                  </w:tcMar>
                  <w:vAlign w:val="center"/>
                </w:tcPr>
                <w:p w14:paraId="47288311">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35.45</w:t>
                  </w:r>
                </w:p>
              </w:tc>
              <w:tc>
                <w:tcPr>
                  <w:tcW w:w="699" w:type="dxa"/>
                  <w:tcBorders>
                    <w:tl2br w:val="nil"/>
                    <w:tr2bl w:val="nil"/>
                  </w:tcBorders>
                  <w:noWrap w:val="0"/>
                  <w:tcMar>
                    <w:top w:w="15" w:type="dxa"/>
                    <w:left w:w="15" w:type="dxa"/>
                    <w:right w:w="15" w:type="dxa"/>
                  </w:tcMar>
                  <w:vAlign w:val="center"/>
                </w:tcPr>
                <w:p w14:paraId="1BD0C2C1">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19.89</w:t>
                  </w:r>
                </w:p>
              </w:tc>
              <w:tc>
                <w:tcPr>
                  <w:tcW w:w="626" w:type="dxa"/>
                  <w:tcBorders>
                    <w:tl2br w:val="nil"/>
                    <w:tr2bl w:val="nil"/>
                  </w:tcBorders>
                  <w:noWrap w:val="0"/>
                  <w:tcMar>
                    <w:top w:w="15" w:type="dxa"/>
                    <w:left w:w="15" w:type="dxa"/>
                    <w:right w:w="15" w:type="dxa"/>
                  </w:tcMar>
                  <w:vAlign w:val="center"/>
                </w:tcPr>
                <w:p w14:paraId="38E41C88">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28.09</w:t>
                  </w:r>
                </w:p>
              </w:tc>
              <w:tc>
                <w:tcPr>
                  <w:tcW w:w="420" w:type="dxa"/>
                  <w:vMerge w:val="continue"/>
                  <w:tcBorders>
                    <w:tl2br w:val="nil"/>
                    <w:tr2bl w:val="nil"/>
                  </w:tcBorders>
                  <w:noWrap w:val="0"/>
                  <w:tcMar>
                    <w:top w:w="15" w:type="dxa"/>
                    <w:left w:w="15" w:type="dxa"/>
                    <w:right w:w="15" w:type="dxa"/>
                  </w:tcMar>
                  <w:vAlign w:val="center"/>
                </w:tcPr>
                <w:p w14:paraId="24BA0EBF">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r>
            <w:tr w14:paraId="300D980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tcBorders>
                    <w:tl2br w:val="nil"/>
                    <w:tr2bl w:val="nil"/>
                  </w:tcBorders>
                  <w:shd w:val="clear" w:color="auto" w:fill="auto"/>
                  <w:noWrap w:val="0"/>
                  <w:tcMar>
                    <w:top w:w="15" w:type="dxa"/>
                    <w:left w:w="15" w:type="dxa"/>
                    <w:right w:w="15" w:type="dxa"/>
                  </w:tcMar>
                  <w:vAlign w:val="center"/>
                </w:tcPr>
                <w:p w14:paraId="5610244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4</w:t>
                  </w:r>
                </w:p>
              </w:tc>
              <w:tc>
                <w:tcPr>
                  <w:tcW w:w="628" w:type="dxa"/>
                  <w:tcBorders>
                    <w:tl2br w:val="nil"/>
                    <w:tr2bl w:val="nil"/>
                  </w:tcBorders>
                  <w:shd w:val="clear" w:color="auto" w:fill="auto"/>
                  <w:noWrap w:val="0"/>
                  <w:tcMar>
                    <w:top w:w="15" w:type="dxa"/>
                    <w:left w:w="15" w:type="dxa"/>
                    <w:right w:w="15" w:type="dxa"/>
                  </w:tcMar>
                  <w:vAlign w:val="center"/>
                </w:tcPr>
                <w:p w14:paraId="2F5DBE6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DA002风机</w:t>
                  </w:r>
                </w:p>
              </w:tc>
              <w:tc>
                <w:tcPr>
                  <w:tcW w:w="452" w:type="dxa"/>
                  <w:tcBorders>
                    <w:tl2br w:val="nil"/>
                    <w:tr2bl w:val="nil"/>
                  </w:tcBorders>
                  <w:shd w:val="clear" w:color="auto" w:fill="auto"/>
                  <w:noWrap w:val="0"/>
                  <w:tcMar>
                    <w:top w:w="15" w:type="dxa"/>
                    <w:left w:w="15" w:type="dxa"/>
                    <w:right w:w="15" w:type="dxa"/>
                  </w:tcMar>
                  <w:vAlign w:val="center"/>
                </w:tcPr>
                <w:p w14:paraId="1669239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43</w:t>
                  </w:r>
                </w:p>
              </w:tc>
              <w:tc>
                <w:tcPr>
                  <w:tcW w:w="437" w:type="dxa"/>
                  <w:tcBorders>
                    <w:tl2br w:val="nil"/>
                    <w:tr2bl w:val="nil"/>
                  </w:tcBorders>
                  <w:shd w:val="clear" w:color="auto" w:fill="auto"/>
                  <w:noWrap w:val="0"/>
                  <w:tcMar>
                    <w:top w:w="15" w:type="dxa"/>
                    <w:left w:w="15" w:type="dxa"/>
                    <w:right w:w="15" w:type="dxa"/>
                  </w:tcMar>
                  <w:vAlign w:val="center"/>
                </w:tcPr>
                <w:p w14:paraId="4FE57DB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38</w:t>
                  </w:r>
                </w:p>
              </w:tc>
              <w:tc>
                <w:tcPr>
                  <w:tcW w:w="553" w:type="dxa"/>
                  <w:tcBorders>
                    <w:tl2br w:val="nil"/>
                    <w:tr2bl w:val="nil"/>
                  </w:tcBorders>
                  <w:shd w:val="clear" w:color="auto" w:fill="auto"/>
                  <w:noWrap w:val="0"/>
                  <w:tcMar>
                    <w:top w:w="15" w:type="dxa"/>
                    <w:left w:w="15" w:type="dxa"/>
                    <w:right w:w="15" w:type="dxa"/>
                  </w:tcMar>
                  <w:vAlign w:val="center"/>
                </w:tcPr>
                <w:p w14:paraId="2D9CA26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1.0</w:t>
                  </w:r>
                </w:p>
              </w:tc>
              <w:tc>
                <w:tcPr>
                  <w:tcW w:w="603" w:type="dxa"/>
                  <w:tcBorders>
                    <w:tl2br w:val="nil"/>
                    <w:tr2bl w:val="nil"/>
                  </w:tcBorders>
                  <w:shd w:val="clear" w:color="auto" w:fill="auto"/>
                  <w:noWrap w:val="0"/>
                  <w:tcMar>
                    <w:top w:w="15" w:type="dxa"/>
                    <w:left w:w="15" w:type="dxa"/>
                    <w:right w:w="15" w:type="dxa"/>
                  </w:tcMar>
                  <w:vAlign w:val="center"/>
                </w:tcPr>
                <w:p w14:paraId="1A89399F">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85</w:t>
                  </w:r>
                </w:p>
              </w:tc>
              <w:tc>
                <w:tcPr>
                  <w:tcW w:w="201" w:type="dxa"/>
                  <w:tcBorders>
                    <w:tl2br w:val="nil"/>
                    <w:tr2bl w:val="nil"/>
                  </w:tcBorders>
                  <w:shd w:val="clear" w:color="auto" w:fill="auto"/>
                  <w:noWrap w:val="0"/>
                  <w:tcMar>
                    <w:top w:w="15" w:type="dxa"/>
                    <w:left w:w="15" w:type="dxa"/>
                    <w:right w:w="15" w:type="dxa"/>
                  </w:tcMar>
                  <w:vAlign w:val="center"/>
                </w:tcPr>
                <w:p w14:paraId="66598C6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tcBorders>
                    <w:tl2br w:val="nil"/>
                    <w:tr2bl w:val="nil"/>
                  </w:tcBorders>
                  <w:noWrap w:val="0"/>
                  <w:tcMar>
                    <w:top w:w="15" w:type="dxa"/>
                    <w:left w:w="15" w:type="dxa"/>
                    <w:right w:w="15" w:type="dxa"/>
                  </w:tcMar>
                  <w:vAlign w:val="center"/>
                </w:tcPr>
                <w:p w14:paraId="71491A0F">
                  <w:pPr>
                    <w:keepNext w:val="0"/>
                    <w:keepLines w:val="0"/>
                    <w:widowControl/>
                    <w:suppressLineNumbers w:val="0"/>
                    <w:spacing w:line="240" w:lineRule="auto"/>
                    <w:jc w:val="center"/>
                    <w:textAlignment w:val="center"/>
                    <w:rPr>
                      <w:rFonts w:hint="eastAsia" w:ascii="Times New Roman" w:hAnsi="Times New Roman" w:eastAsia="宋体" w:cs="Times New Roman"/>
                      <w:i w:val="0"/>
                      <w:color w:val="auto"/>
                      <w:sz w:val="21"/>
                      <w:szCs w:val="21"/>
                      <w:highlight w:val="none"/>
                      <w:u w:val="none"/>
                      <w:lang w:val="en-US" w:eastAsia="zh-CN"/>
                    </w:rPr>
                  </w:pPr>
                </w:p>
              </w:tc>
              <w:tc>
                <w:tcPr>
                  <w:tcW w:w="697" w:type="dxa"/>
                  <w:tcBorders>
                    <w:tl2br w:val="nil"/>
                    <w:tr2bl w:val="nil"/>
                  </w:tcBorders>
                  <w:shd w:val="clear" w:color="auto" w:fill="auto"/>
                  <w:noWrap w:val="0"/>
                  <w:tcMar>
                    <w:top w:w="15" w:type="dxa"/>
                    <w:left w:w="15" w:type="dxa"/>
                    <w:right w:w="15" w:type="dxa"/>
                  </w:tcMar>
                  <w:vAlign w:val="center"/>
                </w:tcPr>
                <w:p w14:paraId="3E5F44D3">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697" w:type="dxa"/>
                  <w:tcBorders>
                    <w:tl2br w:val="nil"/>
                    <w:tr2bl w:val="nil"/>
                  </w:tcBorders>
                  <w:shd w:val="clear" w:color="auto" w:fill="auto"/>
                  <w:noWrap w:val="0"/>
                  <w:tcMar>
                    <w:top w:w="15" w:type="dxa"/>
                    <w:left w:w="15" w:type="dxa"/>
                    <w:right w:w="15" w:type="dxa"/>
                  </w:tcMar>
                  <w:vAlign w:val="center"/>
                </w:tcPr>
                <w:p w14:paraId="7494D593">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9</w:t>
                  </w:r>
                </w:p>
              </w:tc>
              <w:tc>
                <w:tcPr>
                  <w:tcW w:w="697" w:type="dxa"/>
                  <w:tcBorders>
                    <w:tl2br w:val="nil"/>
                    <w:tr2bl w:val="nil"/>
                  </w:tcBorders>
                  <w:shd w:val="clear" w:color="auto" w:fill="auto"/>
                  <w:noWrap w:val="0"/>
                  <w:tcMar>
                    <w:top w:w="15" w:type="dxa"/>
                    <w:left w:w="15" w:type="dxa"/>
                    <w:right w:w="15" w:type="dxa"/>
                  </w:tcMar>
                  <w:vAlign w:val="center"/>
                </w:tcPr>
                <w:p w14:paraId="5B81A0AD">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29</w:t>
                  </w:r>
                </w:p>
              </w:tc>
              <w:tc>
                <w:tcPr>
                  <w:tcW w:w="697" w:type="dxa"/>
                  <w:tcBorders>
                    <w:tl2br w:val="nil"/>
                    <w:tr2bl w:val="nil"/>
                  </w:tcBorders>
                  <w:shd w:val="clear" w:color="auto" w:fill="auto"/>
                  <w:noWrap w:val="0"/>
                  <w:tcMar>
                    <w:top w:w="15" w:type="dxa"/>
                    <w:left w:w="15" w:type="dxa"/>
                    <w:right w:w="15" w:type="dxa"/>
                  </w:tcMar>
                  <w:vAlign w:val="center"/>
                </w:tcPr>
                <w:p w14:paraId="6A48967F">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w:t>
                  </w:r>
                </w:p>
              </w:tc>
              <w:tc>
                <w:tcPr>
                  <w:tcW w:w="714" w:type="dxa"/>
                  <w:tcBorders>
                    <w:tl2br w:val="nil"/>
                    <w:tr2bl w:val="nil"/>
                  </w:tcBorders>
                  <w:shd w:val="clear" w:color="auto" w:fill="auto"/>
                  <w:noWrap w:val="0"/>
                  <w:tcMar>
                    <w:top w:w="15" w:type="dxa"/>
                    <w:left w:w="15" w:type="dxa"/>
                    <w:right w:w="15" w:type="dxa"/>
                  </w:tcMar>
                  <w:vAlign w:val="center"/>
                </w:tcPr>
                <w:p w14:paraId="6E82ACA0">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default" w:ascii="Times New Roman" w:hAnsi="Times New Roman" w:cs="Times New Roman"/>
                      <w:i w:val="0"/>
                      <w:snapToGrid w:val="0"/>
                      <w:color w:val="auto"/>
                      <w:kern w:val="2"/>
                      <w:sz w:val="21"/>
                      <w:szCs w:val="21"/>
                      <w:highlight w:val="none"/>
                      <w:u w:val="none"/>
                      <w:lang w:val="en-US" w:eastAsia="zh-CN" w:bidi="ar-SA"/>
                    </w:rPr>
                    <w:t>63.97</w:t>
                  </w:r>
                </w:p>
              </w:tc>
              <w:tc>
                <w:tcPr>
                  <w:tcW w:w="714" w:type="dxa"/>
                  <w:tcBorders>
                    <w:tl2br w:val="nil"/>
                    <w:tr2bl w:val="nil"/>
                  </w:tcBorders>
                  <w:shd w:val="clear" w:color="auto" w:fill="auto"/>
                  <w:noWrap w:val="0"/>
                  <w:tcMar>
                    <w:top w:w="15" w:type="dxa"/>
                    <w:left w:w="15" w:type="dxa"/>
                    <w:right w:w="15" w:type="dxa"/>
                  </w:tcMar>
                  <w:vAlign w:val="center"/>
                </w:tcPr>
                <w:p w14:paraId="59C4B8A8">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50.91</w:t>
                  </w:r>
                </w:p>
              </w:tc>
              <w:tc>
                <w:tcPr>
                  <w:tcW w:w="713" w:type="dxa"/>
                  <w:tcBorders>
                    <w:tl2br w:val="nil"/>
                    <w:tr2bl w:val="nil"/>
                  </w:tcBorders>
                  <w:shd w:val="clear" w:color="auto" w:fill="auto"/>
                  <w:noWrap w:val="0"/>
                  <w:tcMar>
                    <w:top w:w="15" w:type="dxa"/>
                    <w:left w:w="15" w:type="dxa"/>
                    <w:right w:w="15" w:type="dxa"/>
                  </w:tcMar>
                  <w:vAlign w:val="center"/>
                </w:tcPr>
                <w:p w14:paraId="543DA412">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40.75</w:t>
                  </w:r>
                </w:p>
              </w:tc>
              <w:tc>
                <w:tcPr>
                  <w:tcW w:w="646" w:type="dxa"/>
                  <w:tcBorders>
                    <w:tl2br w:val="nil"/>
                    <w:tr2bl w:val="nil"/>
                  </w:tcBorders>
                  <w:shd w:val="clear" w:color="auto" w:fill="auto"/>
                  <w:noWrap w:val="0"/>
                  <w:tcMar>
                    <w:top w:w="15" w:type="dxa"/>
                    <w:left w:w="15" w:type="dxa"/>
                    <w:right w:w="15" w:type="dxa"/>
                  </w:tcMar>
                  <w:vAlign w:val="center"/>
                </w:tcPr>
                <w:p w14:paraId="6C6DE9EC">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70</w:t>
                  </w:r>
                </w:p>
              </w:tc>
              <w:tc>
                <w:tcPr>
                  <w:tcW w:w="286" w:type="dxa"/>
                  <w:vMerge w:val="continue"/>
                  <w:tcBorders>
                    <w:tl2br w:val="nil"/>
                    <w:tr2bl w:val="nil"/>
                  </w:tcBorders>
                  <w:noWrap w:val="0"/>
                  <w:tcMar>
                    <w:top w:w="15" w:type="dxa"/>
                    <w:left w:w="15" w:type="dxa"/>
                    <w:right w:w="15" w:type="dxa"/>
                  </w:tcMar>
                  <w:vAlign w:val="center"/>
                </w:tcPr>
                <w:p w14:paraId="43ABAED9">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p>
              </w:tc>
              <w:tc>
                <w:tcPr>
                  <w:tcW w:w="465" w:type="dxa"/>
                  <w:vMerge w:val="continue"/>
                  <w:tcBorders>
                    <w:tl2br w:val="nil"/>
                    <w:tr2bl w:val="nil"/>
                  </w:tcBorders>
                  <w:noWrap w:val="0"/>
                  <w:tcMar>
                    <w:top w:w="15" w:type="dxa"/>
                    <w:left w:w="15" w:type="dxa"/>
                    <w:right w:w="15" w:type="dxa"/>
                  </w:tcMar>
                  <w:vAlign w:val="center"/>
                </w:tcPr>
                <w:p w14:paraId="6B6C8C73">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p>
              </w:tc>
              <w:tc>
                <w:tcPr>
                  <w:tcW w:w="720" w:type="dxa"/>
                  <w:tcBorders>
                    <w:tl2br w:val="nil"/>
                    <w:tr2bl w:val="nil"/>
                  </w:tcBorders>
                  <w:noWrap w:val="0"/>
                  <w:tcMar>
                    <w:top w:w="15" w:type="dxa"/>
                    <w:left w:w="15" w:type="dxa"/>
                    <w:right w:w="15" w:type="dxa"/>
                  </w:tcMar>
                  <w:vAlign w:val="center"/>
                </w:tcPr>
                <w:p w14:paraId="11AF2C55">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48.97</w:t>
                  </w:r>
                </w:p>
              </w:tc>
              <w:tc>
                <w:tcPr>
                  <w:tcW w:w="640" w:type="dxa"/>
                  <w:tcBorders>
                    <w:tl2br w:val="nil"/>
                    <w:tr2bl w:val="nil"/>
                  </w:tcBorders>
                  <w:noWrap w:val="0"/>
                  <w:tcMar>
                    <w:top w:w="15" w:type="dxa"/>
                    <w:left w:w="15" w:type="dxa"/>
                    <w:right w:w="15" w:type="dxa"/>
                  </w:tcMar>
                  <w:vAlign w:val="center"/>
                </w:tcPr>
                <w:p w14:paraId="5B40FAF0">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35.91</w:t>
                  </w:r>
                </w:p>
              </w:tc>
              <w:tc>
                <w:tcPr>
                  <w:tcW w:w="699" w:type="dxa"/>
                  <w:tcBorders>
                    <w:tl2br w:val="nil"/>
                    <w:tr2bl w:val="nil"/>
                  </w:tcBorders>
                  <w:noWrap w:val="0"/>
                  <w:tcMar>
                    <w:top w:w="15" w:type="dxa"/>
                    <w:left w:w="15" w:type="dxa"/>
                    <w:right w:w="15" w:type="dxa"/>
                  </w:tcMar>
                  <w:vAlign w:val="center"/>
                </w:tcPr>
                <w:p w14:paraId="42702B63">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25.75</w:t>
                  </w:r>
                </w:p>
              </w:tc>
              <w:tc>
                <w:tcPr>
                  <w:tcW w:w="626" w:type="dxa"/>
                  <w:tcBorders>
                    <w:tl2br w:val="nil"/>
                    <w:tr2bl w:val="nil"/>
                  </w:tcBorders>
                  <w:noWrap w:val="0"/>
                  <w:tcMar>
                    <w:top w:w="15" w:type="dxa"/>
                    <w:left w:w="15" w:type="dxa"/>
                    <w:right w:w="15" w:type="dxa"/>
                  </w:tcMar>
                  <w:vAlign w:val="center"/>
                </w:tcPr>
                <w:p w14:paraId="730C0694">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55</w:t>
                  </w:r>
                </w:p>
              </w:tc>
              <w:tc>
                <w:tcPr>
                  <w:tcW w:w="420" w:type="dxa"/>
                  <w:vMerge w:val="continue"/>
                  <w:tcBorders>
                    <w:tl2br w:val="nil"/>
                    <w:tr2bl w:val="nil"/>
                  </w:tcBorders>
                  <w:noWrap w:val="0"/>
                  <w:tcMar>
                    <w:top w:w="15" w:type="dxa"/>
                    <w:left w:w="15" w:type="dxa"/>
                    <w:right w:w="15" w:type="dxa"/>
                  </w:tcMar>
                  <w:vAlign w:val="center"/>
                </w:tcPr>
                <w:p w14:paraId="11C316F7">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r>
            <w:tr w14:paraId="5BC9CC5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tcBorders>
                    <w:tl2br w:val="nil"/>
                    <w:tr2bl w:val="nil"/>
                  </w:tcBorders>
                  <w:shd w:val="clear" w:color="auto" w:fill="auto"/>
                  <w:noWrap w:val="0"/>
                  <w:tcMar>
                    <w:top w:w="15" w:type="dxa"/>
                    <w:left w:w="15" w:type="dxa"/>
                    <w:right w:w="15" w:type="dxa"/>
                  </w:tcMar>
                  <w:vAlign w:val="center"/>
                </w:tcPr>
                <w:p w14:paraId="36889D3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en-US" w:bidi="ar"/>
                    </w:rPr>
                  </w:pPr>
                  <w:r>
                    <w:rPr>
                      <w:rFonts w:hint="default" w:ascii="Times New Roman" w:hAnsi="Times New Roman" w:cs="Times New Roman"/>
                      <w:i w:val="0"/>
                      <w:color w:val="auto"/>
                      <w:kern w:val="0"/>
                      <w:sz w:val="21"/>
                      <w:szCs w:val="21"/>
                      <w:highlight w:val="none"/>
                      <w:u w:val="none"/>
                      <w:lang w:val="en-US" w:eastAsia="zh-CN" w:bidi="ar"/>
                    </w:rPr>
                    <w:t>5</w:t>
                  </w:r>
                </w:p>
              </w:tc>
              <w:tc>
                <w:tcPr>
                  <w:tcW w:w="628" w:type="dxa"/>
                  <w:tcBorders>
                    <w:tl2br w:val="nil"/>
                    <w:tr2bl w:val="nil"/>
                  </w:tcBorders>
                  <w:shd w:val="clear" w:color="auto" w:fill="auto"/>
                  <w:noWrap w:val="0"/>
                  <w:tcMar>
                    <w:top w:w="15" w:type="dxa"/>
                    <w:left w:w="15" w:type="dxa"/>
                    <w:right w:w="15" w:type="dxa"/>
                  </w:tcMar>
                  <w:vAlign w:val="center"/>
                </w:tcPr>
                <w:p w14:paraId="2BE3AC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行车</w:t>
                  </w:r>
                </w:p>
              </w:tc>
              <w:tc>
                <w:tcPr>
                  <w:tcW w:w="452" w:type="dxa"/>
                  <w:tcBorders>
                    <w:tl2br w:val="nil"/>
                    <w:tr2bl w:val="nil"/>
                  </w:tcBorders>
                  <w:noWrap w:val="0"/>
                  <w:tcMar>
                    <w:top w:w="15" w:type="dxa"/>
                    <w:left w:w="15" w:type="dxa"/>
                    <w:right w:w="15" w:type="dxa"/>
                  </w:tcMar>
                  <w:vAlign w:val="center"/>
                </w:tcPr>
                <w:p w14:paraId="703DFF9F">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cs="Times New Roman"/>
                      <w:i w:val="0"/>
                      <w:color w:val="auto"/>
                      <w:sz w:val="21"/>
                      <w:szCs w:val="21"/>
                      <w:highlight w:val="none"/>
                      <w:u w:val="none"/>
                      <w:lang w:val="en-US" w:eastAsia="zh-CN"/>
                    </w:rPr>
                    <w:t>-4</w:t>
                  </w:r>
                </w:p>
              </w:tc>
              <w:tc>
                <w:tcPr>
                  <w:tcW w:w="437" w:type="dxa"/>
                  <w:tcBorders>
                    <w:tl2br w:val="nil"/>
                    <w:tr2bl w:val="nil"/>
                  </w:tcBorders>
                  <w:noWrap w:val="0"/>
                  <w:tcMar>
                    <w:top w:w="15" w:type="dxa"/>
                    <w:left w:w="15" w:type="dxa"/>
                    <w:right w:w="15" w:type="dxa"/>
                  </w:tcMar>
                  <w:vAlign w:val="center"/>
                </w:tcPr>
                <w:p w14:paraId="5428BBB6">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cs="Times New Roman"/>
                      <w:i w:val="0"/>
                      <w:color w:val="auto"/>
                      <w:sz w:val="21"/>
                      <w:szCs w:val="21"/>
                      <w:highlight w:val="none"/>
                      <w:u w:val="none"/>
                      <w:lang w:val="en-US" w:eastAsia="zh-CN"/>
                    </w:rPr>
                    <w:t>11</w:t>
                  </w:r>
                </w:p>
              </w:tc>
              <w:tc>
                <w:tcPr>
                  <w:tcW w:w="553" w:type="dxa"/>
                  <w:tcBorders>
                    <w:tl2br w:val="nil"/>
                    <w:tr2bl w:val="nil"/>
                  </w:tcBorders>
                  <w:noWrap w:val="0"/>
                  <w:tcMar>
                    <w:top w:w="15" w:type="dxa"/>
                    <w:left w:w="15" w:type="dxa"/>
                    <w:right w:w="15" w:type="dxa"/>
                  </w:tcMar>
                  <w:vAlign w:val="center"/>
                </w:tcPr>
                <w:p w14:paraId="3E111E0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tcBorders>
                    <w:tl2br w:val="nil"/>
                    <w:tr2bl w:val="nil"/>
                  </w:tcBorders>
                  <w:noWrap w:val="0"/>
                  <w:tcMar>
                    <w:top w:w="15" w:type="dxa"/>
                    <w:left w:w="15" w:type="dxa"/>
                    <w:right w:w="15" w:type="dxa"/>
                  </w:tcMar>
                  <w:vAlign w:val="center"/>
                </w:tcPr>
                <w:p w14:paraId="7E103F06">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85</w:t>
                  </w:r>
                </w:p>
              </w:tc>
              <w:tc>
                <w:tcPr>
                  <w:tcW w:w="201" w:type="dxa"/>
                  <w:tcBorders>
                    <w:tl2br w:val="nil"/>
                    <w:tr2bl w:val="nil"/>
                  </w:tcBorders>
                  <w:shd w:val="clear" w:color="auto" w:fill="auto"/>
                  <w:noWrap w:val="0"/>
                  <w:tcMar>
                    <w:top w:w="15" w:type="dxa"/>
                    <w:left w:w="15" w:type="dxa"/>
                    <w:right w:w="15" w:type="dxa"/>
                  </w:tcMar>
                  <w:vAlign w:val="center"/>
                </w:tcPr>
                <w:p w14:paraId="39E4392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4</w:t>
                  </w:r>
                </w:p>
              </w:tc>
              <w:tc>
                <w:tcPr>
                  <w:tcW w:w="451" w:type="dxa"/>
                  <w:vMerge w:val="restart"/>
                  <w:tcBorders>
                    <w:tl2br w:val="nil"/>
                    <w:tr2bl w:val="nil"/>
                  </w:tcBorders>
                  <w:noWrap w:val="0"/>
                  <w:tcMar>
                    <w:top w:w="15" w:type="dxa"/>
                    <w:left w:w="15" w:type="dxa"/>
                    <w:right w:w="15" w:type="dxa"/>
                  </w:tcMar>
                  <w:vAlign w:val="center"/>
                </w:tcPr>
                <w:p w14:paraId="2809E07A">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清理车间，</w:t>
                  </w:r>
                  <w:r>
                    <w:rPr>
                      <w:rFonts w:hint="default" w:ascii="Times New Roman" w:hAnsi="Times New Roman" w:eastAsia="宋体" w:cs="Times New Roman"/>
                      <w:i w:val="0"/>
                      <w:color w:val="auto"/>
                      <w:kern w:val="0"/>
                      <w:sz w:val="21"/>
                      <w:szCs w:val="21"/>
                      <w:highlight w:val="none"/>
                      <w:u w:val="none"/>
                      <w:lang w:val="en-US" w:eastAsia="zh-CN" w:bidi="ar"/>
                    </w:rPr>
                    <w:t>低噪声设备基础减振-1</w:t>
                  </w:r>
                  <w:r>
                    <w:rPr>
                      <w:rFonts w:hint="eastAsia" w:ascii="Times New Roman" w:hAnsi="Times New Roman" w:cs="Times New Roman"/>
                      <w:i w:val="0"/>
                      <w:color w:val="auto"/>
                      <w:kern w:val="0"/>
                      <w:sz w:val="21"/>
                      <w:szCs w:val="21"/>
                      <w:highlight w:val="none"/>
                      <w:u w:val="none"/>
                      <w:lang w:val="en-US" w:eastAsia="zh-CN" w:bidi="ar"/>
                    </w:rPr>
                    <w:t>5</w:t>
                  </w:r>
                </w:p>
              </w:tc>
              <w:tc>
                <w:tcPr>
                  <w:tcW w:w="697" w:type="dxa"/>
                  <w:tcBorders>
                    <w:tl2br w:val="nil"/>
                    <w:tr2bl w:val="nil"/>
                  </w:tcBorders>
                  <w:noWrap w:val="0"/>
                  <w:tcMar>
                    <w:top w:w="15" w:type="dxa"/>
                    <w:left w:w="15" w:type="dxa"/>
                    <w:right w:w="15" w:type="dxa"/>
                  </w:tcMar>
                  <w:vAlign w:val="center"/>
                </w:tcPr>
                <w:p w14:paraId="6503F6A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37</w:t>
                  </w:r>
                </w:p>
              </w:tc>
              <w:tc>
                <w:tcPr>
                  <w:tcW w:w="697" w:type="dxa"/>
                  <w:tcBorders>
                    <w:tl2br w:val="nil"/>
                    <w:tr2bl w:val="nil"/>
                  </w:tcBorders>
                  <w:noWrap w:val="0"/>
                  <w:tcMar>
                    <w:top w:w="15" w:type="dxa"/>
                    <w:left w:w="15" w:type="dxa"/>
                    <w:right w:w="15" w:type="dxa"/>
                  </w:tcMar>
                  <w:vAlign w:val="center"/>
                </w:tcPr>
                <w:p w14:paraId="4A01B9DC">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w:t>
                  </w:r>
                </w:p>
              </w:tc>
              <w:tc>
                <w:tcPr>
                  <w:tcW w:w="697" w:type="dxa"/>
                  <w:tcBorders>
                    <w:tl2br w:val="nil"/>
                    <w:tr2bl w:val="nil"/>
                  </w:tcBorders>
                  <w:noWrap w:val="0"/>
                  <w:tcMar>
                    <w:top w:w="15" w:type="dxa"/>
                    <w:left w:w="15" w:type="dxa"/>
                    <w:right w:w="15" w:type="dxa"/>
                  </w:tcMar>
                  <w:vAlign w:val="center"/>
                </w:tcPr>
                <w:p w14:paraId="72098E7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w:t>
                  </w:r>
                </w:p>
              </w:tc>
              <w:tc>
                <w:tcPr>
                  <w:tcW w:w="697" w:type="dxa"/>
                  <w:tcBorders>
                    <w:tl2br w:val="nil"/>
                    <w:tr2bl w:val="nil"/>
                  </w:tcBorders>
                  <w:noWrap w:val="0"/>
                  <w:tcMar>
                    <w:top w:w="15" w:type="dxa"/>
                    <w:left w:w="15" w:type="dxa"/>
                    <w:right w:w="15" w:type="dxa"/>
                  </w:tcMar>
                  <w:vAlign w:val="center"/>
                </w:tcPr>
                <w:p w14:paraId="1248510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714" w:type="dxa"/>
                  <w:tcBorders>
                    <w:tl2br w:val="nil"/>
                    <w:tr2bl w:val="nil"/>
                  </w:tcBorders>
                  <w:noWrap w:val="0"/>
                  <w:tcMar>
                    <w:top w:w="15" w:type="dxa"/>
                    <w:left w:w="15" w:type="dxa"/>
                    <w:right w:w="15" w:type="dxa"/>
                  </w:tcMar>
                  <w:vAlign w:val="center"/>
                </w:tcPr>
                <w:p w14:paraId="3A46170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38.63</w:t>
                  </w:r>
                </w:p>
              </w:tc>
              <w:tc>
                <w:tcPr>
                  <w:tcW w:w="714" w:type="dxa"/>
                  <w:tcBorders>
                    <w:tl2br w:val="nil"/>
                    <w:tr2bl w:val="nil"/>
                  </w:tcBorders>
                  <w:noWrap w:val="0"/>
                  <w:tcMar>
                    <w:top w:w="15" w:type="dxa"/>
                    <w:left w:w="15" w:type="dxa"/>
                    <w:right w:w="15" w:type="dxa"/>
                  </w:tcMar>
                  <w:vAlign w:val="center"/>
                </w:tcPr>
                <w:p w14:paraId="4EE6840B">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cs="Times New Roman"/>
                      <w:i w:val="0"/>
                      <w:color w:val="auto"/>
                      <w:sz w:val="21"/>
                      <w:szCs w:val="21"/>
                      <w:highlight w:val="none"/>
                      <w:u w:val="none"/>
                      <w:lang w:val="en-US" w:eastAsia="zh-CN"/>
                    </w:rPr>
                    <w:t>70</w:t>
                  </w:r>
                </w:p>
              </w:tc>
              <w:tc>
                <w:tcPr>
                  <w:tcW w:w="713" w:type="dxa"/>
                  <w:tcBorders>
                    <w:tl2br w:val="nil"/>
                    <w:tr2bl w:val="nil"/>
                  </w:tcBorders>
                  <w:noWrap w:val="0"/>
                  <w:tcMar>
                    <w:top w:w="15" w:type="dxa"/>
                    <w:left w:w="15" w:type="dxa"/>
                    <w:right w:w="15" w:type="dxa"/>
                  </w:tcMar>
                  <w:vAlign w:val="center"/>
                </w:tcPr>
                <w:p w14:paraId="779A27A2">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60.45</w:t>
                  </w:r>
                </w:p>
              </w:tc>
              <w:tc>
                <w:tcPr>
                  <w:tcW w:w="646" w:type="dxa"/>
                  <w:tcBorders>
                    <w:tl2br w:val="nil"/>
                    <w:tr2bl w:val="nil"/>
                  </w:tcBorders>
                  <w:noWrap w:val="0"/>
                  <w:tcMar>
                    <w:top w:w="15" w:type="dxa"/>
                    <w:left w:w="15" w:type="dxa"/>
                    <w:right w:w="15" w:type="dxa"/>
                  </w:tcMar>
                  <w:vAlign w:val="center"/>
                </w:tcPr>
                <w:p w14:paraId="4A6E9FFC">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63.97</w:t>
                  </w:r>
                </w:p>
              </w:tc>
              <w:tc>
                <w:tcPr>
                  <w:tcW w:w="286" w:type="dxa"/>
                  <w:vMerge w:val="continue"/>
                  <w:tcBorders>
                    <w:tl2br w:val="nil"/>
                    <w:tr2bl w:val="nil"/>
                  </w:tcBorders>
                  <w:noWrap w:val="0"/>
                  <w:tcMar>
                    <w:top w:w="15" w:type="dxa"/>
                    <w:left w:w="15" w:type="dxa"/>
                    <w:right w:w="15" w:type="dxa"/>
                  </w:tcMar>
                  <w:vAlign w:val="center"/>
                </w:tcPr>
                <w:p w14:paraId="6ED4CCFB">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rPr>
                  </w:pPr>
                </w:p>
              </w:tc>
              <w:tc>
                <w:tcPr>
                  <w:tcW w:w="465" w:type="dxa"/>
                  <w:vMerge w:val="continue"/>
                  <w:tcBorders>
                    <w:tl2br w:val="nil"/>
                    <w:tr2bl w:val="nil"/>
                  </w:tcBorders>
                  <w:noWrap w:val="0"/>
                  <w:tcMar>
                    <w:top w:w="15" w:type="dxa"/>
                    <w:left w:w="15" w:type="dxa"/>
                    <w:right w:w="15" w:type="dxa"/>
                  </w:tcMar>
                  <w:vAlign w:val="center"/>
                </w:tcPr>
                <w:p w14:paraId="2F41069B">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720" w:type="dxa"/>
                  <w:tcBorders>
                    <w:tl2br w:val="nil"/>
                    <w:tr2bl w:val="nil"/>
                  </w:tcBorders>
                  <w:noWrap w:val="0"/>
                  <w:tcMar>
                    <w:top w:w="15" w:type="dxa"/>
                    <w:left w:w="15" w:type="dxa"/>
                    <w:right w:w="15" w:type="dxa"/>
                  </w:tcMar>
                  <w:vAlign w:val="center"/>
                </w:tcPr>
                <w:p w14:paraId="4A01C28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29.65</w:t>
                  </w:r>
                </w:p>
              </w:tc>
              <w:tc>
                <w:tcPr>
                  <w:tcW w:w="640" w:type="dxa"/>
                  <w:tcBorders>
                    <w:tl2br w:val="nil"/>
                    <w:tr2bl w:val="nil"/>
                  </w:tcBorders>
                  <w:noWrap w:val="0"/>
                  <w:tcMar>
                    <w:top w:w="15" w:type="dxa"/>
                    <w:left w:w="15" w:type="dxa"/>
                    <w:right w:w="15" w:type="dxa"/>
                  </w:tcMar>
                  <w:vAlign w:val="center"/>
                </w:tcPr>
                <w:p w14:paraId="3D8DC92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61.02</w:t>
                  </w:r>
                </w:p>
              </w:tc>
              <w:tc>
                <w:tcPr>
                  <w:tcW w:w="699" w:type="dxa"/>
                  <w:tcBorders>
                    <w:tl2br w:val="nil"/>
                    <w:tr2bl w:val="nil"/>
                  </w:tcBorders>
                  <w:noWrap w:val="0"/>
                  <w:tcMar>
                    <w:top w:w="15" w:type="dxa"/>
                    <w:left w:w="15" w:type="dxa"/>
                    <w:right w:w="15" w:type="dxa"/>
                  </w:tcMar>
                  <w:vAlign w:val="center"/>
                </w:tcPr>
                <w:p w14:paraId="4B7F161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51.47</w:t>
                  </w:r>
                </w:p>
              </w:tc>
              <w:tc>
                <w:tcPr>
                  <w:tcW w:w="626" w:type="dxa"/>
                  <w:tcBorders>
                    <w:tl2br w:val="nil"/>
                    <w:tr2bl w:val="nil"/>
                  </w:tcBorders>
                  <w:noWrap w:val="0"/>
                  <w:tcMar>
                    <w:top w:w="15" w:type="dxa"/>
                    <w:left w:w="15" w:type="dxa"/>
                    <w:right w:w="15" w:type="dxa"/>
                  </w:tcMar>
                  <w:vAlign w:val="center"/>
                </w:tcPr>
                <w:p w14:paraId="51DB5D1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54.99</w:t>
                  </w:r>
                </w:p>
              </w:tc>
              <w:tc>
                <w:tcPr>
                  <w:tcW w:w="420" w:type="dxa"/>
                  <w:vMerge w:val="continue"/>
                  <w:tcBorders>
                    <w:tl2br w:val="nil"/>
                    <w:tr2bl w:val="nil"/>
                  </w:tcBorders>
                  <w:noWrap w:val="0"/>
                  <w:tcMar>
                    <w:top w:w="15" w:type="dxa"/>
                    <w:left w:w="15" w:type="dxa"/>
                    <w:right w:w="15" w:type="dxa"/>
                  </w:tcMar>
                  <w:vAlign w:val="center"/>
                </w:tcPr>
                <w:p w14:paraId="425E6902">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r>
            <w:tr w14:paraId="1F91CC9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tcBorders>
                    <w:tl2br w:val="nil"/>
                    <w:tr2bl w:val="nil"/>
                  </w:tcBorders>
                  <w:shd w:val="clear" w:color="auto" w:fill="auto"/>
                  <w:noWrap w:val="0"/>
                  <w:tcMar>
                    <w:top w:w="15" w:type="dxa"/>
                    <w:left w:w="15" w:type="dxa"/>
                    <w:right w:w="15" w:type="dxa"/>
                  </w:tcMar>
                  <w:vAlign w:val="center"/>
                </w:tcPr>
                <w:p w14:paraId="6A29F5A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6</w:t>
                  </w:r>
                </w:p>
              </w:tc>
              <w:tc>
                <w:tcPr>
                  <w:tcW w:w="628" w:type="dxa"/>
                  <w:tcBorders>
                    <w:tl2br w:val="nil"/>
                    <w:tr2bl w:val="nil"/>
                  </w:tcBorders>
                  <w:shd w:val="clear" w:color="auto" w:fill="auto"/>
                  <w:noWrap w:val="0"/>
                  <w:tcMar>
                    <w:top w:w="15" w:type="dxa"/>
                    <w:left w:w="15" w:type="dxa"/>
                    <w:right w:w="15" w:type="dxa"/>
                  </w:tcMar>
                  <w:vAlign w:val="center"/>
                </w:tcPr>
                <w:p w14:paraId="6C93215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自动打磨机</w:t>
                  </w:r>
                </w:p>
              </w:tc>
              <w:tc>
                <w:tcPr>
                  <w:tcW w:w="452" w:type="dxa"/>
                  <w:tcBorders>
                    <w:tl2br w:val="nil"/>
                    <w:tr2bl w:val="nil"/>
                  </w:tcBorders>
                  <w:shd w:val="clear" w:color="auto" w:fill="auto"/>
                  <w:noWrap w:val="0"/>
                  <w:tcMar>
                    <w:top w:w="15" w:type="dxa"/>
                    <w:left w:w="15" w:type="dxa"/>
                    <w:right w:w="15" w:type="dxa"/>
                  </w:tcMar>
                  <w:vAlign w:val="center"/>
                </w:tcPr>
                <w:p w14:paraId="1060060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7</w:t>
                  </w:r>
                </w:p>
              </w:tc>
              <w:tc>
                <w:tcPr>
                  <w:tcW w:w="437" w:type="dxa"/>
                  <w:tcBorders>
                    <w:tl2br w:val="nil"/>
                    <w:tr2bl w:val="nil"/>
                  </w:tcBorders>
                  <w:shd w:val="clear" w:color="auto" w:fill="auto"/>
                  <w:noWrap w:val="0"/>
                  <w:tcMar>
                    <w:top w:w="15" w:type="dxa"/>
                    <w:left w:w="15" w:type="dxa"/>
                    <w:right w:w="15" w:type="dxa"/>
                  </w:tcMar>
                  <w:vAlign w:val="center"/>
                </w:tcPr>
                <w:p w14:paraId="1DB5B69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15</w:t>
                  </w:r>
                </w:p>
              </w:tc>
              <w:tc>
                <w:tcPr>
                  <w:tcW w:w="553" w:type="dxa"/>
                  <w:tcBorders>
                    <w:tl2br w:val="nil"/>
                    <w:tr2bl w:val="nil"/>
                  </w:tcBorders>
                  <w:shd w:val="clear" w:color="auto" w:fill="auto"/>
                  <w:noWrap w:val="0"/>
                  <w:tcMar>
                    <w:top w:w="15" w:type="dxa"/>
                    <w:left w:w="15" w:type="dxa"/>
                    <w:right w:w="15" w:type="dxa"/>
                  </w:tcMar>
                  <w:vAlign w:val="center"/>
                </w:tcPr>
                <w:p w14:paraId="2BDD45B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tcBorders>
                    <w:tl2br w:val="nil"/>
                    <w:tr2bl w:val="nil"/>
                  </w:tcBorders>
                  <w:shd w:val="clear" w:color="auto" w:fill="auto"/>
                  <w:noWrap w:val="0"/>
                  <w:tcMar>
                    <w:top w:w="15" w:type="dxa"/>
                    <w:left w:w="15" w:type="dxa"/>
                    <w:right w:w="15" w:type="dxa"/>
                  </w:tcMar>
                  <w:vAlign w:val="center"/>
                </w:tcPr>
                <w:p w14:paraId="21BE682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85</w:t>
                  </w:r>
                </w:p>
              </w:tc>
              <w:tc>
                <w:tcPr>
                  <w:tcW w:w="201" w:type="dxa"/>
                  <w:tcBorders>
                    <w:tl2br w:val="nil"/>
                    <w:tr2bl w:val="nil"/>
                  </w:tcBorders>
                  <w:shd w:val="clear" w:color="auto" w:fill="auto"/>
                  <w:noWrap w:val="0"/>
                  <w:tcMar>
                    <w:top w:w="15" w:type="dxa"/>
                    <w:left w:w="15" w:type="dxa"/>
                    <w:right w:w="15" w:type="dxa"/>
                  </w:tcMar>
                  <w:vAlign w:val="center"/>
                </w:tcPr>
                <w:p w14:paraId="29342CB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tcBorders>
                    <w:tl2br w:val="nil"/>
                    <w:tr2bl w:val="nil"/>
                  </w:tcBorders>
                  <w:noWrap w:val="0"/>
                  <w:tcMar>
                    <w:top w:w="15" w:type="dxa"/>
                    <w:left w:w="15" w:type="dxa"/>
                    <w:right w:w="15" w:type="dxa"/>
                  </w:tcMar>
                  <w:vAlign w:val="center"/>
                </w:tcPr>
                <w:p w14:paraId="39B31E84">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tcBorders>
                    <w:tl2br w:val="nil"/>
                    <w:tr2bl w:val="nil"/>
                  </w:tcBorders>
                  <w:shd w:val="clear" w:color="auto" w:fill="auto"/>
                  <w:noWrap w:val="0"/>
                  <w:tcMar>
                    <w:top w:w="15" w:type="dxa"/>
                    <w:left w:w="15" w:type="dxa"/>
                    <w:right w:w="15" w:type="dxa"/>
                  </w:tcMar>
                  <w:vAlign w:val="center"/>
                </w:tcPr>
                <w:p w14:paraId="51914E5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25</w:t>
                  </w:r>
                </w:p>
              </w:tc>
              <w:tc>
                <w:tcPr>
                  <w:tcW w:w="697" w:type="dxa"/>
                  <w:tcBorders>
                    <w:tl2br w:val="nil"/>
                    <w:tr2bl w:val="nil"/>
                  </w:tcBorders>
                  <w:shd w:val="clear" w:color="auto" w:fill="auto"/>
                  <w:noWrap w:val="0"/>
                  <w:tcMar>
                    <w:top w:w="15" w:type="dxa"/>
                    <w:left w:w="15" w:type="dxa"/>
                    <w:right w:w="15" w:type="dxa"/>
                  </w:tcMar>
                  <w:vAlign w:val="center"/>
                </w:tcPr>
                <w:p w14:paraId="6E6D1CB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w:t>
                  </w:r>
                </w:p>
              </w:tc>
              <w:tc>
                <w:tcPr>
                  <w:tcW w:w="697" w:type="dxa"/>
                  <w:tcBorders>
                    <w:tl2br w:val="nil"/>
                    <w:tr2bl w:val="nil"/>
                  </w:tcBorders>
                  <w:shd w:val="clear" w:color="auto" w:fill="auto"/>
                  <w:noWrap w:val="0"/>
                  <w:tcMar>
                    <w:top w:w="15" w:type="dxa"/>
                    <w:left w:w="15" w:type="dxa"/>
                    <w:right w:w="15" w:type="dxa"/>
                  </w:tcMar>
                  <w:vAlign w:val="center"/>
                </w:tcPr>
                <w:p w14:paraId="65DE7E3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14</w:t>
                  </w:r>
                </w:p>
              </w:tc>
              <w:tc>
                <w:tcPr>
                  <w:tcW w:w="697" w:type="dxa"/>
                  <w:tcBorders>
                    <w:tl2br w:val="nil"/>
                    <w:tr2bl w:val="nil"/>
                  </w:tcBorders>
                  <w:shd w:val="clear" w:color="auto" w:fill="auto"/>
                  <w:noWrap w:val="0"/>
                  <w:tcMar>
                    <w:top w:w="15" w:type="dxa"/>
                    <w:left w:w="15" w:type="dxa"/>
                    <w:right w:w="15" w:type="dxa"/>
                  </w:tcMar>
                  <w:vAlign w:val="center"/>
                </w:tcPr>
                <w:p w14:paraId="480ADEB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6</w:t>
                  </w:r>
                </w:p>
              </w:tc>
              <w:tc>
                <w:tcPr>
                  <w:tcW w:w="714" w:type="dxa"/>
                  <w:tcBorders>
                    <w:tl2br w:val="nil"/>
                    <w:tr2bl w:val="nil"/>
                  </w:tcBorders>
                  <w:shd w:val="clear" w:color="auto" w:fill="auto"/>
                  <w:noWrap w:val="0"/>
                  <w:tcMar>
                    <w:top w:w="15" w:type="dxa"/>
                    <w:left w:w="15" w:type="dxa"/>
                    <w:right w:w="15" w:type="dxa"/>
                  </w:tcMar>
                  <w:vAlign w:val="center"/>
                </w:tcPr>
                <w:p w14:paraId="0283395C">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42.04</w:t>
                  </w:r>
                </w:p>
              </w:tc>
              <w:tc>
                <w:tcPr>
                  <w:tcW w:w="714" w:type="dxa"/>
                  <w:tcBorders>
                    <w:tl2br w:val="nil"/>
                    <w:tr2bl w:val="nil"/>
                  </w:tcBorders>
                  <w:shd w:val="clear" w:color="auto" w:fill="auto"/>
                  <w:noWrap w:val="0"/>
                  <w:tcMar>
                    <w:top w:w="15" w:type="dxa"/>
                    <w:left w:w="15" w:type="dxa"/>
                    <w:right w:w="15" w:type="dxa"/>
                  </w:tcMar>
                  <w:vAlign w:val="center"/>
                </w:tcPr>
                <w:p w14:paraId="6CAA827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60.45</w:t>
                  </w:r>
                </w:p>
              </w:tc>
              <w:tc>
                <w:tcPr>
                  <w:tcW w:w="713" w:type="dxa"/>
                  <w:tcBorders>
                    <w:tl2br w:val="nil"/>
                    <w:tr2bl w:val="nil"/>
                  </w:tcBorders>
                  <w:shd w:val="clear" w:color="auto" w:fill="auto"/>
                  <w:noWrap w:val="0"/>
                  <w:tcMar>
                    <w:top w:w="15" w:type="dxa"/>
                    <w:left w:w="15" w:type="dxa"/>
                    <w:right w:w="15" w:type="dxa"/>
                  </w:tcMar>
                  <w:vAlign w:val="center"/>
                </w:tcPr>
                <w:p w14:paraId="7656E39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47.07</w:t>
                  </w:r>
                </w:p>
              </w:tc>
              <w:tc>
                <w:tcPr>
                  <w:tcW w:w="646" w:type="dxa"/>
                  <w:tcBorders>
                    <w:tl2br w:val="nil"/>
                    <w:tr2bl w:val="nil"/>
                  </w:tcBorders>
                  <w:shd w:val="clear" w:color="auto" w:fill="auto"/>
                  <w:noWrap w:val="0"/>
                  <w:tcMar>
                    <w:top w:w="15" w:type="dxa"/>
                    <w:left w:w="15" w:type="dxa"/>
                    <w:right w:w="15" w:type="dxa"/>
                  </w:tcMar>
                  <w:vAlign w:val="center"/>
                </w:tcPr>
                <w:p w14:paraId="6E5A560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54.43</w:t>
                  </w:r>
                </w:p>
              </w:tc>
              <w:tc>
                <w:tcPr>
                  <w:tcW w:w="286" w:type="dxa"/>
                  <w:vMerge w:val="continue"/>
                  <w:tcBorders>
                    <w:tl2br w:val="nil"/>
                    <w:tr2bl w:val="nil"/>
                  </w:tcBorders>
                  <w:noWrap w:val="0"/>
                  <w:tcMar>
                    <w:top w:w="15" w:type="dxa"/>
                    <w:left w:w="15" w:type="dxa"/>
                    <w:right w:w="15" w:type="dxa"/>
                  </w:tcMar>
                  <w:vAlign w:val="center"/>
                </w:tcPr>
                <w:p w14:paraId="7B185F29">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tcBorders>
                    <w:tl2br w:val="nil"/>
                    <w:tr2bl w:val="nil"/>
                  </w:tcBorders>
                  <w:noWrap w:val="0"/>
                  <w:tcMar>
                    <w:top w:w="15" w:type="dxa"/>
                    <w:left w:w="15" w:type="dxa"/>
                    <w:right w:w="15" w:type="dxa"/>
                  </w:tcMar>
                  <w:vAlign w:val="center"/>
                </w:tcPr>
                <w:p w14:paraId="26ECFBD6">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tcBorders>
                    <w:tl2br w:val="nil"/>
                    <w:tr2bl w:val="nil"/>
                  </w:tcBorders>
                  <w:noWrap w:val="0"/>
                  <w:tcMar>
                    <w:top w:w="15" w:type="dxa"/>
                    <w:left w:w="15" w:type="dxa"/>
                    <w:right w:w="15" w:type="dxa"/>
                  </w:tcMar>
                  <w:vAlign w:val="center"/>
                </w:tcPr>
                <w:p w14:paraId="3DC2AF2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27.04</w:t>
                  </w:r>
                </w:p>
              </w:tc>
              <w:tc>
                <w:tcPr>
                  <w:tcW w:w="640" w:type="dxa"/>
                  <w:tcBorders>
                    <w:tl2br w:val="nil"/>
                    <w:tr2bl w:val="nil"/>
                  </w:tcBorders>
                  <w:noWrap w:val="0"/>
                  <w:tcMar>
                    <w:top w:w="15" w:type="dxa"/>
                    <w:left w:w="15" w:type="dxa"/>
                    <w:right w:w="15" w:type="dxa"/>
                  </w:tcMar>
                  <w:vAlign w:val="center"/>
                </w:tcPr>
                <w:p w14:paraId="7F98C25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45.45</w:t>
                  </w:r>
                </w:p>
              </w:tc>
              <w:tc>
                <w:tcPr>
                  <w:tcW w:w="699" w:type="dxa"/>
                  <w:tcBorders>
                    <w:tl2br w:val="nil"/>
                    <w:tr2bl w:val="nil"/>
                  </w:tcBorders>
                  <w:noWrap w:val="0"/>
                  <w:tcMar>
                    <w:top w:w="15" w:type="dxa"/>
                    <w:left w:w="15" w:type="dxa"/>
                    <w:right w:w="15" w:type="dxa"/>
                  </w:tcMar>
                  <w:vAlign w:val="center"/>
                </w:tcPr>
                <w:p w14:paraId="4845FAD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32.07</w:t>
                  </w:r>
                </w:p>
              </w:tc>
              <w:tc>
                <w:tcPr>
                  <w:tcW w:w="626" w:type="dxa"/>
                  <w:tcBorders>
                    <w:tl2br w:val="nil"/>
                    <w:tr2bl w:val="nil"/>
                  </w:tcBorders>
                  <w:noWrap w:val="0"/>
                  <w:tcMar>
                    <w:top w:w="15" w:type="dxa"/>
                    <w:left w:w="15" w:type="dxa"/>
                    <w:right w:w="15" w:type="dxa"/>
                  </w:tcMar>
                  <w:vAlign w:val="center"/>
                </w:tcPr>
                <w:p w14:paraId="3FE8739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39.43</w:t>
                  </w:r>
                </w:p>
              </w:tc>
              <w:tc>
                <w:tcPr>
                  <w:tcW w:w="420" w:type="dxa"/>
                  <w:vMerge w:val="continue"/>
                  <w:tcBorders>
                    <w:tl2br w:val="nil"/>
                    <w:tr2bl w:val="nil"/>
                  </w:tcBorders>
                  <w:noWrap w:val="0"/>
                  <w:tcMar>
                    <w:top w:w="15" w:type="dxa"/>
                    <w:left w:w="15" w:type="dxa"/>
                    <w:right w:w="15" w:type="dxa"/>
                  </w:tcMar>
                  <w:vAlign w:val="center"/>
                </w:tcPr>
                <w:p w14:paraId="6D3E86DD">
                  <w:pPr>
                    <w:spacing w:line="240" w:lineRule="auto"/>
                    <w:jc w:val="center"/>
                    <w:rPr>
                      <w:rFonts w:hint="default" w:ascii="Times New Roman" w:hAnsi="Times New Roman" w:eastAsia="宋体" w:cs="Times New Roman"/>
                      <w:i w:val="0"/>
                      <w:color w:val="auto"/>
                      <w:sz w:val="21"/>
                      <w:szCs w:val="21"/>
                      <w:highlight w:val="none"/>
                      <w:u w:val="none"/>
                    </w:rPr>
                  </w:pPr>
                </w:p>
              </w:tc>
            </w:tr>
            <w:tr w14:paraId="5207432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tcBorders>
                    <w:tl2br w:val="nil"/>
                    <w:tr2bl w:val="nil"/>
                  </w:tcBorders>
                  <w:shd w:val="clear" w:color="auto" w:fill="auto"/>
                  <w:noWrap w:val="0"/>
                  <w:tcMar>
                    <w:top w:w="15" w:type="dxa"/>
                    <w:left w:w="15" w:type="dxa"/>
                    <w:right w:w="15" w:type="dxa"/>
                  </w:tcMar>
                  <w:vAlign w:val="center"/>
                </w:tcPr>
                <w:p w14:paraId="426D8ECF">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7</w:t>
                  </w:r>
                </w:p>
              </w:tc>
              <w:tc>
                <w:tcPr>
                  <w:tcW w:w="628" w:type="dxa"/>
                  <w:tcBorders>
                    <w:tl2br w:val="nil"/>
                    <w:tr2bl w:val="nil"/>
                  </w:tcBorders>
                  <w:shd w:val="clear" w:color="auto" w:fill="auto"/>
                  <w:noWrap w:val="0"/>
                  <w:tcMar>
                    <w:top w:w="15" w:type="dxa"/>
                    <w:left w:w="15" w:type="dxa"/>
                    <w:right w:w="15" w:type="dxa"/>
                  </w:tcMar>
                  <w:vAlign w:val="center"/>
                </w:tcPr>
                <w:p w14:paraId="0300148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履带式清理机</w:t>
                  </w:r>
                </w:p>
              </w:tc>
              <w:tc>
                <w:tcPr>
                  <w:tcW w:w="452" w:type="dxa"/>
                  <w:tcBorders>
                    <w:tl2br w:val="nil"/>
                    <w:tr2bl w:val="nil"/>
                  </w:tcBorders>
                  <w:shd w:val="clear" w:color="auto" w:fill="auto"/>
                  <w:noWrap w:val="0"/>
                  <w:tcMar>
                    <w:top w:w="15" w:type="dxa"/>
                    <w:left w:w="15" w:type="dxa"/>
                    <w:right w:w="15" w:type="dxa"/>
                  </w:tcMar>
                  <w:vAlign w:val="center"/>
                </w:tcPr>
                <w:p w14:paraId="5338769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26</w:t>
                  </w:r>
                </w:p>
              </w:tc>
              <w:tc>
                <w:tcPr>
                  <w:tcW w:w="437" w:type="dxa"/>
                  <w:tcBorders>
                    <w:tl2br w:val="nil"/>
                    <w:tr2bl w:val="nil"/>
                  </w:tcBorders>
                  <w:shd w:val="clear" w:color="auto" w:fill="auto"/>
                  <w:noWrap w:val="0"/>
                  <w:tcMar>
                    <w:top w:w="15" w:type="dxa"/>
                    <w:left w:w="15" w:type="dxa"/>
                    <w:right w:w="15" w:type="dxa"/>
                  </w:tcMar>
                  <w:vAlign w:val="center"/>
                </w:tcPr>
                <w:p w14:paraId="59998CBC">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color w:val="auto"/>
                      <w:kern w:val="2"/>
                      <w:sz w:val="21"/>
                      <w:szCs w:val="21"/>
                      <w:highlight w:val="none"/>
                      <w:u w:val="none"/>
                      <w:lang w:val="en-US" w:eastAsia="zh-CN" w:bidi="ar-SA"/>
                    </w:rPr>
                    <w:t>16</w:t>
                  </w:r>
                </w:p>
              </w:tc>
              <w:tc>
                <w:tcPr>
                  <w:tcW w:w="553" w:type="dxa"/>
                  <w:tcBorders>
                    <w:tl2br w:val="nil"/>
                    <w:tr2bl w:val="nil"/>
                  </w:tcBorders>
                  <w:shd w:val="clear" w:color="auto" w:fill="auto"/>
                  <w:noWrap w:val="0"/>
                  <w:tcMar>
                    <w:top w:w="15" w:type="dxa"/>
                    <w:left w:w="15" w:type="dxa"/>
                    <w:right w:w="15" w:type="dxa"/>
                  </w:tcMar>
                  <w:vAlign w:val="center"/>
                </w:tcPr>
                <w:p w14:paraId="597E8B8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tcBorders>
                    <w:tl2br w:val="nil"/>
                    <w:tr2bl w:val="nil"/>
                  </w:tcBorders>
                  <w:shd w:val="clear" w:color="auto" w:fill="auto"/>
                  <w:noWrap w:val="0"/>
                  <w:tcMar>
                    <w:top w:w="15" w:type="dxa"/>
                    <w:left w:w="15" w:type="dxa"/>
                    <w:right w:w="15" w:type="dxa"/>
                  </w:tcMar>
                  <w:vAlign w:val="center"/>
                </w:tcPr>
                <w:p w14:paraId="24BBCFC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80</w:t>
                  </w:r>
                </w:p>
              </w:tc>
              <w:tc>
                <w:tcPr>
                  <w:tcW w:w="201" w:type="dxa"/>
                  <w:tcBorders>
                    <w:tl2br w:val="nil"/>
                    <w:tr2bl w:val="nil"/>
                  </w:tcBorders>
                  <w:shd w:val="clear" w:color="auto" w:fill="auto"/>
                  <w:noWrap w:val="0"/>
                  <w:tcMar>
                    <w:top w:w="15" w:type="dxa"/>
                    <w:left w:w="15" w:type="dxa"/>
                    <w:right w:w="15" w:type="dxa"/>
                  </w:tcMar>
                  <w:vAlign w:val="center"/>
                </w:tcPr>
                <w:p w14:paraId="167185B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tcBorders>
                    <w:tl2br w:val="nil"/>
                    <w:tr2bl w:val="nil"/>
                  </w:tcBorders>
                  <w:noWrap w:val="0"/>
                  <w:tcMar>
                    <w:top w:w="15" w:type="dxa"/>
                    <w:left w:w="15" w:type="dxa"/>
                    <w:right w:w="15" w:type="dxa"/>
                  </w:tcMar>
                  <w:vAlign w:val="center"/>
                </w:tcPr>
                <w:p w14:paraId="4FC9A3D5">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tcBorders>
                    <w:tl2br w:val="nil"/>
                    <w:tr2bl w:val="nil"/>
                  </w:tcBorders>
                  <w:shd w:val="clear" w:color="auto" w:fill="auto"/>
                  <w:noWrap w:val="0"/>
                  <w:tcMar>
                    <w:top w:w="15" w:type="dxa"/>
                    <w:left w:w="15" w:type="dxa"/>
                    <w:right w:w="15" w:type="dxa"/>
                  </w:tcMar>
                  <w:vAlign w:val="center"/>
                </w:tcPr>
                <w:p w14:paraId="7841D03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w:t>
                  </w:r>
                </w:p>
              </w:tc>
              <w:tc>
                <w:tcPr>
                  <w:tcW w:w="697" w:type="dxa"/>
                  <w:tcBorders>
                    <w:tl2br w:val="nil"/>
                    <w:tr2bl w:val="nil"/>
                  </w:tcBorders>
                  <w:shd w:val="clear" w:color="auto" w:fill="auto"/>
                  <w:noWrap w:val="0"/>
                  <w:tcMar>
                    <w:top w:w="15" w:type="dxa"/>
                    <w:left w:w="15" w:type="dxa"/>
                    <w:right w:w="15" w:type="dxa"/>
                  </w:tcMar>
                  <w:vAlign w:val="center"/>
                </w:tcPr>
                <w:p w14:paraId="416A2CF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697" w:type="dxa"/>
                  <w:tcBorders>
                    <w:tl2br w:val="nil"/>
                    <w:tr2bl w:val="nil"/>
                  </w:tcBorders>
                  <w:shd w:val="clear" w:color="auto" w:fill="auto"/>
                  <w:noWrap w:val="0"/>
                  <w:tcMar>
                    <w:top w:w="15" w:type="dxa"/>
                    <w:left w:w="15" w:type="dxa"/>
                    <w:right w:w="15" w:type="dxa"/>
                  </w:tcMar>
                  <w:vAlign w:val="center"/>
                </w:tcPr>
                <w:p w14:paraId="20093C8D">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34</w:t>
                  </w:r>
                </w:p>
              </w:tc>
              <w:tc>
                <w:tcPr>
                  <w:tcW w:w="697" w:type="dxa"/>
                  <w:tcBorders>
                    <w:tl2br w:val="nil"/>
                    <w:tr2bl w:val="nil"/>
                  </w:tcBorders>
                  <w:shd w:val="clear" w:color="auto" w:fill="auto"/>
                  <w:noWrap w:val="0"/>
                  <w:tcMar>
                    <w:top w:w="15" w:type="dxa"/>
                    <w:left w:w="15" w:type="dxa"/>
                    <w:right w:w="15" w:type="dxa"/>
                  </w:tcMar>
                  <w:vAlign w:val="center"/>
                </w:tcPr>
                <w:p w14:paraId="237E07C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7</w:t>
                  </w:r>
                </w:p>
              </w:tc>
              <w:tc>
                <w:tcPr>
                  <w:tcW w:w="714" w:type="dxa"/>
                  <w:tcBorders>
                    <w:tl2br w:val="nil"/>
                    <w:tr2bl w:val="nil"/>
                  </w:tcBorders>
                  <w:shd w:val="clear" w:color="auto" w:fill="auto"/>
                  <w:noWrap w:val="0"/>
                  <w:tcMar>
                    <w:top w:w="15" w:type="dxa"/>
                    <w:left w:w="15" w:type="dxa"/>
                    <w:right w:w="15" w:type="dxa"/>
                  </w:tcMar>
                  <w:vAlign w:val="center"/>
                </w:tcPr>
                <w:p w14:paraId="0AE6F31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51.02</w:t>
                  </w:r>
                </w:p>
              </w:tc>
              <w:tc>
                <w:tcPr>
                  <w:tcW w:w="714" w:type="dxa"/>
                  <w:tcBorders>
                    <w:tl2br w:val="nil"/>
                    <w:tr2bl w:val="nil"/>
                  </w:tcBorders>
                  <w:shd w:val="clear" w:color="auto" w:fill="auto"/>
                  <w:noWrap w:val="0"/>
                  <w:tcMar>
                    <w:top w:w="15" w:type="dxa"/>
                    <w:left w:w="15" w:type="dxa"/>
                    <w:right w:w="15" w:type="dxa"/>
                  </w:tcMar>
                  <w:vAlign w:val="center"/>
                </w:tcPr>
                <w:p w14:paraId="4653B55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58.97</w:t>
                  </w:r>
                </w:p>
              </w:tc>
              <w:tc>
                <w:tcPr>
                  <w:tcW w:w="713" w:type="dxa"/>
                  <w:tcBorders>
                    <w:tl2br w:val="nil"/>
                    <w:tr2bl w:val="nil"/>
                  </w:tcBorders>
                  <w:shd w:val="clear" w:color="auto" w:fill="auto"/>
                  <w:noWrap w:val="0"/>
                  <w:tcMar>
                    <w:top w:w="15" w:type="dxa"/>
                    <w:left w:w="15" w:type="dxa"/>
                    <w:right w:w="15" w:type="dxa"/>
                  </w:tcMar>
                  <w:vAlign w:val="center"/>
                </w:tcPr>
                <w:p w14:paraId="32DBA17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34.37</w:t>
                  </w:r>
                </w:p>
              </w:tc>
              <w:tc>
                <w:tcPr>
                  <w:tcW w:w="646" w:type="dxa"/>
                  <w:tcBorders>
                    <w:tl2br w:val="nil"/>
                    <w:tr2bl w:val="nil"/>
                  </w:tcBorders>
                  <w:shd w:val="clear" w:color="auto" w:fill="auto"/>
                  <w:noWrap w:val="0"/>
                  <w:tcMar>
                    <w:top w:w="15" w:type="dxa"/>
                    <w:left w:w="15" w:type="dxa"/>
                    <w:right w:w="15" w:type="dxa"/>
                  </w:tcMar>
                  <w:vAlign w:val="center"/>
                </w:tcPr>
                <w:p w14:paraId="72F7FD6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48.09</w:t>
                  </w:r>
                </w:p>
              </w:tc>
              <w:tc>
                <w:tcPr>
                  <w:tcW w:w="286" w:type="dxa"/>
                  <w:vMerge w:val="continue"/>
                  <w:tcBorders>
                    <w:tl2br w:val="nil"/>
                    <w:tr2bl w:val="nil"/>
                  </w:tcBorders>
                  <w:noWrap w:val="0"/>
                  <w:tcMar>
                    <w:top w:w="15" w:type="dxa"/>
                    <w:left w:w="15" w:type="dxa"/>
                    <w:right w:w="15" w:type="dxa"/>
                  </w:tcMar>
                  <w:vAlign w:val="center"/>
                </w:tcPr>
                <w:p w14:paraId="4D793745">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tcBorders>
                    <w:tl2br w:val="nil"/>
                    <w:tr2bl w:val="nil"/>
                  </w:tcBorders>
                  <w:noWrap w:val="0"/>
                  <w:tcMar>
                    <w:top w:w="15" w:type="dxa"/>
                    <w:left w:w="15" w:type="dxa"/>
                    <w:right w:w="15" w:type="dxa"/>
                  </w:tcMar>
                  <w:vAlign w:val="center"/>
                </w:tcPr>
                <w:p w14:paraId="1D502DCD">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tcBorders>
                    <w:tl2br w:val="nil"/>
                    <w:tr2bl w:val="nil"/>
                  </w:tcBorders>
                  <w:noWrap w:val="0"/>
                  <w:tcMar>
                    <w:top w:w="15" w:type="dxa"/>
                    <w:left w:w="15" w:type="dxa"/>
                    <w:right w:w="15" w:type="dxa"/>
                  </w:tcMar>
                  <w:vAlign w:val="center"/>
                </w:tcPr>
                <w:p w14:paraId="78CCA38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36.02</w:t>
                  </w:r>
                </w:p>
              </w:tc>
              <w:tc>
                <w:tcPr>
                  <w:tcW w:w="640" w:type="dxa"/>
                  <w:tcBorders>
                    <w:tl2br w:val="nil"/>
                    <w:tr2bl w:val="nil"/>
                  </w:tcBorders>
                  <w:noWrap w:val="0"/>
                  <w:tcMar>
                    <w:top w:w="15" w:type="dxa"/>
                    <w:left w:w="15" w:type="dxa"/>
                    <w:right w:w="15" w:type="dxa"/>
                  </w:tcMar>
                  <w:vAlign w:val="center"/>
                </w:tcPr>
                <w:p w14:paraId="1F1C80F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43.97</w:t>
                  </w:r>
                </w:p>
              </w:tc>
              <w:tc>
                <w:tcPr>
                  <w:tcW w:w="699" w:type="dxa"/>
                  <w:tcBorders>
                    <w:tl2br w:val="nil"/>
                    <w:tr2bl w:val="nil"/>
                  </w:tcBorders>
                  <w:noWrap w:val="0"/>
                  <w:tcMar>
                    <w:top w:w="15" w:type="dxa"/>
                    <w:left w:w="15" w:type="dxa"/>
                    <w:right w:w="15" w:type="dxa"/>
                  </w:tcMar>
                  <w:vAlign w:val="center"/>
                </w:tcPr>
                <w:p w14:paraId="629D370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19.37</w:t>
                  </w:r>
                </w:p>
              </w:tc>
              <w:tc>
                <w:tcPr>
                  <w:tcW w:w="626" w:type="dxa"/>
                  <w:tcBorders>
                    <w:tl2br w:val="nil"/>
                    <w:tr2bl w:val="nil"/>
                  </w:tcBorders>
                  <w:noWrap w:val="0"/>
                  <w:tcMar>
                    <w:top w:w="15" w:type="dxa"/>
                    <w:left w:w="15" w:type="dxa"/>
                    <w:right w:w="15" w:type="dxa"/>
                  </w:tcMar>
                  <w:vAlign w:val="center"/>
                </w:tcPr>
                <w:p w14:paraId="17E9D61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33.09</w:t>
                  </w:r>
                </w:p>
              </w:tc>
              <w:tc>
                <w:tcPr>
                  <w:tcW w:w="420" w:type="dxa"/>
                  <w:vMerge w:val="continue"/>
                  <w:tcBorders>
                    <w:tl2br w:val="nil"/>
                    <w:tr2bl w:val="nil"/>
                  </w:tcBorders>
                  <w:noWrap w:val="0"/>
                  <w:tcMar>
                    <w:top w:w="15" w:type="dxa"/>
                    <w:left w:w="15" w:type="dxa"/>
                    <w:right w:w="15" w:type="dxa"/>
                  </w:tcMar>
                  <w:vAlign w:val="center"/>
                </w:tcPr>
                <w:p w14:paraId="6DF862E7">
                  <w:pPr>
                    <w:spacing w:line="240" w:lineRule="auto"/>
                    <w:jc w:val="center"/>
                    <w:rPr>
                      <w:rFonts w:hint="default" w:ascii="Times New Roman" w:hAnsi="Times New Roman" w:eastAsia="宋体" w:cs="Times New Roman"/>
                      <w:i w:val="0"/>
                      <w:color w:val="auto"/>
                      <w:sz w:val="21"/>
                      <w:szCs w:val="21"/>
                      <w:highlight w:val="none"/>
                      <w:u w:val="none"/>
                    </w:rPr>
                  </w:pPr>
                </w:p>
              </w:tc>
            </w:tr>
            <w:tr w14:paraId="04B7FB9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156C728C">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8</w:t>
                  </w:r>
                </w:p>
              </w:tc>
              <w:tc>
                <w:tcPr>
                  <w:tcW w:w="628" w:type="dxa"/>
                  <w:shd w:val="clear" w:color="auto" w:fill="auto"/>
                  <w:vAlign w:val="center"/>
                </w:tcPr>
                <w:p w14:paraId="28B06B7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砂轮机</w:t>
                  </w:r>
                </w:p>
              </w:tc>
              <w:tc>
                <w:tcPr>
                  <w:tcW w:w="0" w:type="auto"/>
                  <w:shd w:val="clear" w:color="auto" w:fill="auto"/>
                  <w:vAlign w:val="center"/>
                </w:tcPr>
                <w:p w14:paraId="0A08298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12</w:t>
                  </w:r>
                </w:p>
              </w:tc>
              <w:tc>
                <w:tcPr>
                  <w:tcW w:w="0" w:type="auto"/>
                  <w:shd w:val="clear" w:color="auto" w:fill="auto"/>
                  <w:vAlign w:val="center"/>
                </w:tcPr>
                <w:p w14:paraId="29BCDC8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13</w:t>
                  </w:r>
                </w:p>
              </w:tc>
              <w:tc>
                <w:tcPr>
                  <w:tcW w:w="553" w:type="dxa"/>
                  <w:shd w:val="clear" w:color="auto" w:fill="auto"/>
                  <w:vAlign w:val="center"/>
                </w:tcPr>
                <w:p w14:paraId="4F90DF6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5A660481">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8</w:t>
                  </w:r>
                  <w:r>
                    <w:rPr>
                      <w:rFonts w:hint="eastAsia" w:ascii="Times New Roman" w:hAnsi="Times New Roman" w:cs="Times New Roman"/>
                      <w:i w:val="0"/>
                      <w:color w:val="auto"/>
                      <w:kern w:val="0"/>
                      <w:sz w:val="21"/>
                      <w:szCs w:val="21"/>
                      <w:highlight w:val="none"/>
                      <w:u w:val="none"/>
                      <w:lang w:val="en-US" w:eastAsia="zh-CN" w:bidi="ar"/>
                    </w:rPr>
                    <w:t>0</w:t>
                  </w:r>
                </w:p>
              </w:tc>
              <w:tc>
                <w:tcPr>
                  <w:tcW w:w="0" w:type="auto"/>
                  <w:shd w:val="clear" w:color="auto" w:fill="auto"/>
                  <w:vAlign w:val="center"/>
                </w:tcPr>
                <w:p w14:paraId="63610FB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w:t>
                  </w:r>
                </w:p>
              </w:tc>
              <w:tc>
                <w:tcPr>
                  <w:tcW w:w="451" w:type="dxa"/>
                  <w:vMerge w:val="continue"/>
                  <w:vAlign w:val="center"/>
                </w:tcPr>
                <w:p w14:paraId="254A0319">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vAlign w:val="center"/>
                </w:tcPr>
                <w:p w14:paraId="7E3C478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22</w:t>
                  </w:r>
                </w:p>
              </w:tc>
              <w:tc>
                <w:tcPr>
                  <w:tcW w:w="697" w:type="dxa"/>
                  <w:vAlign w:val="center"/>
                </w:tcPr>
                <w:p w14:paraId="51CE61BF">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w:t>
                  </w:r>
                </w:p>
              </w:tc>
              <w:tc>
                <w:tcPr>
                  <w:tcW w:w="697" w:type="dxa"/>
                  <w:vAlign w:val="center"/>
                </w:tcPr>
                <w:p w14:paraId="5D8BCFE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20</w:t>
                  </w:r>
                </w:p>
              </w:tc>
              <w:tc>
                <w:tcPr>
                  <w:tcW w:w="697" w:type="dxa"/>
                  <w:vAlign w:val="center"/>
                </w:tcPr>
                <w:p w14:paraId="0E4209C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w:t>
                  </w:r>
                </w:p>
              </w:tc>
              <w:tc>
                <w:tcPr>
                  <w:tcW w:w="714" w:type="dxa"/>
                  <w:vAlign w:val="center"/>
                </w:tcPr>
                <w:p w14:paraId="1E51F9B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38.15</w:t>
                  </w:r>
                </w:p>
              </w:tc>
              <w:tc>
                <w:tcPr>
                  <w:tcW w:w="0" w:type="auto"/>
                  <w:vAlign w:val="center"/>
                </w:tcPr>
                <w:p w14:paraId="4012D10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55.45</w:t>
                  </w:r>
                </w:p>
              </w:tc>
              <w:tc>
                <w:tcPr>
                  <w:tcW w:w="713" w:type="dxa"/>
                  <w:vAlign w:val="center"/>
                </w:tcPr>
                <w:p w14:paraId="5008A2F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38.97</w:t>
                  </w:r>
                </w:p>
              </w:tc>
              <w:tc>
                <w:tcPr>
                  <w:tcW w:w="646" w:type="dxa"/>
                  <w:vAlign w:val="center"/>
                </w:tcPr>
                <w:p w14:paraId="4AFCDFF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52.95</w:t>
                  </w:r>
                </w:p>
              </w:tc>
              <w:tc>
                <w:tcPr>
                  <w:tcW w:w="286" w:type="dxa"/>
                  <w:vMerge w:val="continue"/>
                  <w:vAlign w:val="center"/>
                </w:tcPr>
                <w:p w14:paraId="7FCBA416">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3880B5B6">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6ADB3CE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26.16</w:t>
                  </w:r>
                </w:p>
              </w:tc>
              <w:tc>
                <w:tcPr>
                  <w:tcW w:w="640" w:type="dxa"/>
                  <w:vAlign w:val="center"/>
                </w:tcPr>
                <w:p w14:paraId="41ECDFB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43.46</w:t>
                  </w:r>
                </w:p>
              </w:tc>
              <w:tc>
                <w:tcPr>
                  <w:tcW w:w="699" w:type="dxa"/>
                  <w:vAlign w:val="center"/>
                </w:tcPr>
                <w:p w14:paraId="4CAC326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26.98</w:t>
                  </w:r>
                </w:p>
              </w:tc>
              <w:tc>
                <w:tcPr>
                  <w:tcW w:w="626" w:type="dxa"/>
                  <w:vAlign w:val="center"/>
                </w:tcPr>
                <w:p w14:paraId="7B275C9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40.96</w:t>
                  </w:r>
                </w:p>
              </w:tc>
              <w:tc>
                <w:tcPr>
                  <w:tcW w:w="420" w:type="dxa"/>
                  <w:vMerge w:val="continue"/>
                  <w:vAlign w:val="center"/>
                </w:tcPr>
                <w:p w14:paraId="2DF6A7D1">
                  <w:pPr>
                    <w:spacing w:line="240" w:lineRule="auto"/>
                    <w:jc w:val="center"/>
                    <w:rPr>
                      <w:rFonts w:hint="default" w:ascii="Times New Roman" w:hAnsi="Times New Roman" w:eastAsia="宋体" w:cs="Times New Roman"/>
                      <w:i w:val="0"/>
                      <w:color w:val="auto"/>
                      <w:sz w:val="21"/>
                      <w:szCs w:val="21"/>
                      <w:highlight w:val="none"/>
                      <w:u w:val="none"/>
                    </w:rPr>
                  </w:pPr>
                </w:p>
              </w:tc>
            </w:tr>
            <w:tr w14:paraId="56816AF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4CC3C3D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color w:val="auto"/>
                      <w:kern w:val="0"/>
                      <w:sz w:val="21"/>
                      <w:szCs w:val="21"/>
                      <w:highlight w:val="none"/>
                      <w:u w:val="none"/>
                      <w:lang w:val="en-US" w:eastAsia="zh-CN" w:bidi="ar"/>
                    </w:rPr>
                    <w:t>9</w:t>
                  </w:r>
                </w:p>
              </w:tc>
              <w:tc>
                <w:tcPr>
                  <w:tcW w:w="628" w:type="dxa"/>
                  <w:shd w:val="clear" w:color="auto" w:fill="auto"/>
                  <w:vAlign w:val="center"/>
                </w:tcPr>
                <w:p w14:paraId="66639D7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角磨机</w:t>
                  </w:r>
                </w:p>
              </w:tc>
              <w:tc>
                <w:tcPr>
                  <w:tcW w:w="0" w:type="auto"/>
                  <w:shd w:val="clear" w:color="auto" w:fill="auto"/>
                  <w:vAlign w:val="center"/>
                </w:tcPr>
                <w:p w14:paraId="6C142DE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13</w:t>
                  </w:r>
                </w:p>
              </w:tc>
              <w:tc>
                <w:tcPr>
                  <w:tcW w:w="0" w:type="auto"/>
                  <w:shd w:val="clear" w:color="auto" w:fill="auto"/>
                  <w:vAlign w:val="center"/>
                </w:tcPr>
                <w:p w14:paraId="79520CE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13</w:t>
                  </w:r>
                </w:p>
              </w:tc>
              <w:tc>
                <w:tcPr>
                  <w:tcW w:w="553" w:type="dxa"/>
                  <w:shd w:val="clear" w:color="auto" w:fill="auto"/>
                  <w:vAlign w:val="center"/>
                </w:tcPr>
                <w:p w14:paraId="300B2B97">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1B10A06C">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75</w:t>
                  </w:r>
                </w:p>
              </w:tc>
              <w:tc>
                <w:tcPr>
                  <w:tcW w:w="0" w:type="auto"/>
                  <w:shd w:val="clear" w:color="auto" w:fill="auto"/>
                  <w:vAlign w:val="center"/>
                </w:tcPr>
                <w:p w14:paraId="468ABDA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3</w:t>
                  </w:r>
                </w:p>
              </w:tc>
              <w:tc>
                <w:tcPr>
                  <w:tcW w:w="451" w:type="dxa"/>
                  <w:vMerge w:val="continue"/>
                  <w:vAlign w:val="center"/>
                </w:tcPr>
                <w:p w14:paraId="3F59D2F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shd w:val="clear" w:color="auto" w:fill="auto"/>
                  <w:vAlign w:val="center"/>
                </w:tcPr>
                <w:p w14:paraId="56303991">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21</w:t>
                  </w:r>
                </w:p>
              </w:tc>
              <w:tc>
                <w:tcPr>
                  <w:tcW w:w="697" w:type="dxa"/>
                  <w:shd w:val="clear" w:color="auto" w:fill="auto"/>
                  <w:vAlign w:val="center"/>
                </w:tcPr>
                <w:p w14:paraId="041BB66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w:t>
                  </w:r>
                </w:p>
              </w:tc>
              <w:tc>
                <w:tcPr>
                  <w:tcW w:w="697" w:type="dxa"/>
                  <w:shd w:val="clear" w:color="auto" w:fill="auto"/>
                  <w:vAlign w:val="center"/>
                </w:tcPr>
                <w:p w14:paraId="6F36497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19</w:t>
                  </w:r>
                </w:p>
              </w:tc>
              <w:tc>
                <w:tcPr>
                  <w:tcW w:w="697" w:type="dxa"/>
                  <w:shd w:val="clear" w:color="auto" w:fill="auto"/>
                  <w:vAlign w:val="center"/>
                </w:tcPr>
                <w:p w14:paraId="14C51B67">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w:t>
                  </w:r>
                </w:p>
              </w:tc>
              <w:tc>
                <w:tcPr>
                  <w:tcW w:w="714" w:type="dxa"/>
                  <w:shd w:val="clear" w:color="auto" w:fill="auto"/>
                  <w:vAlign w:val="center"/>
                </w:tcPr>
                <w:p w14:paraId="14584D5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i w:val="0"/>
                      <w:snapToGrid w:val="0"/>
                      <w:color w:val="auto"/>
                      <w:kern w:val="0"/>
                      <w:sz w:val="21"/>
                      <w:szCs w:val="21"/>
                      <w:highlight w:val="none"/>
                      <w:u w:val="none"/>
                      <w:lang w:val="en-US" w:eastAsia="zh-CN" w:bidi="ar"/>
                    </w:rPr>
                    <w:t>33.55</w:t>
                  </w:r>
                </w:p>
              </w:tc>
              <w:tc>
                <w:tcPr>
                  <w:tcW w:w="0" w:type="auto"/>
                  <w:shd w:val="clear" w:color="auto" w:fill="auto"/>
                  <w:vAlign w:val="center"/>
                </w:tcPr>
                <w:p w14:paraId="461EB01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46.02</w:t>
                  </w:r>
                </w:p>
              </w:tc>
              <w:tc>
                <w:tcPr>
                  <w:tcW w:w="713" w:type="dxa"/>
                  <w:vAlign w:val="center"/>
                </w:tcPr>
                <w:p w14:paraId="7086DCA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34.42</w:t>
                  </w:r>
                </w:p>
              </w:tc>
              <w:tc>
                <w:tcPr>
                  <w:tcW w:w="646" w:type="dxa"/>
                  <w:vAlign w:val="center"/>
                </w:tcPr>
                <w:p w14:paraId="175E94D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47.95</w:t>
                  </w:r>
                </w:p>
              </w:tc>
              <w:tc>
                <w:tcPr>
                  <w:tcW w:w="286" w:type="dxa"/>
                  <w:vMerge w:val="continue"/>
                  <w:vAlign w:val="center"/>
                </w:tcPr>
                <w:p w14:paraId="19DF3ACC">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1E2A8DFD">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300D70A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23.32</w:t>
                  </w:r>
                </w:p>
              </w:tc>
              <w:tc>
                <w:tcPr>
                  <w:tcW w:w="640" w:type="dxa"/>
                  <w:vAlign w:val="center"/>
                </w:tcPr>
                <w:p w14:paraId="4C6BACD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35.79</w:t>
                  </w:r>
                </w:p>
              </w:tc>
              <w:tc>
                <w:tcPr>
                  <w:tcW w:w="699" w:type="dxa"/>
                  <w:vAlign w:val="center"/>
                </w:tcPr>
                <w:p w14:paraId="4D26FE5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24.19</w:t>
                  </w:r>
                </w:p>
              </w:tc>
              <w:tc>
                <w:tcPr>
                  <w:tcW w:w="626" w:type="dxa"/>
                  <w:vAlign w:val="center"/>
                </w:tcPr>
                <w:p w14:paraId="383B89A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37.72</w:t>
                  </w:r>
                </w:p>
              </w:tc>
              <w:tc>
                <w:tcPr>
                  <w:tcW w:w="420" w:type="dxa"/>
                  <w:vMerge w:val="continue"/>
                  <w:vAlign w:val="center"/>
                </w:tcPr>
                <w:p w14:paraId="7CBDC419">
                  <w:pPr>
                    <w:spacing w:line="240" w:lineRule="auto"/>
                    <w:jc w:val="center"/>
                    <w:rPr>
                      <w:rFonts w:hint="default" w:ascii="Times New Roman" w:hAnsi="Times New Roman" w:eastAsia="宋体" w:cs="Times New Roman"/>
                      <w:i w:val="0"/>
                      <w:color w:val="auto"/>
                      <w:sz w:val="21"/>
                      <w:szCs w:val="21"/>
                      <w:highlight w:val="none"/>
                      <w:u w:val="none"/>
                    </w:rPr>
                  </w:pPr>
                </w:p>
              </w:tc>
            </w:tr>
            <w:tr w14:paraId="56B9653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057CD02C">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10</w:t>
                  </w:r>
                </w:p>
              </w:tc>
              <w:tc>
                <w:tcPr>
                  <w:tcW w:w="628" w:type="dxa"/>
                  <w:shd w:val="clear" w:color="auto" w:fill="auto"/>
                  <w:vAlign w:val="center"/>
                </w:tcPr>
                <w:p w14:paraId="775BD75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电焊机</w:t>
                  </w:r>
                </w:p>
              </w:tc>
              <w:tc>
                <w:tcPr>
                  <w:tcW w:w="0" w:type="auto"/>
                  <w:shd w:val="clear" w:color="auto" w:fill="auto"/>
                  <w:vAlign w:val="center"/>
                </w:tcPr>
                <w:p w14:paraId="60DE8D7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12</w:t>
                  </w:r>
                </w:p>
              </w:tc>
              <w:tc>
                <w:tcPr>
                  <w:tcW w:w="0" w:type="auto"/>
                  <w:shd w:val="clear" w:color="auto" w:fill="auto"/>
                  <w:vAlign w:val="center"/>
                </w:tcPr>
                <w:p w14:paraId="22F09F6D">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15</w:t>
                  </w:r>
                </w:p>
              </w:tc>
              <w:tc>
                <w:tcPr>
                  <w:tcW w:w="553" w:type="dxa"/>
                  <w:shd w:val="clear" w:color="auto" w:fill="auto"/>
                  <w:vAlign w:val="center"/>
                </w:tcPr>
                <w:p w14:paraId="56EB06A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0CAAEBD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80</w:t>
                  </w:r>
                </w:p>
              </w:tc>
              <w:tc>
                <w:tcPr>
                  <w:tcW w:w="0" w:type="auto"/>
                  <w:shd w:val="clear" w:color="auto" w:fill="auto"/>
                  <w:vAlign w:val="center"/>
                </w:tcPr>
                <w:p w14:paraId="42FAE7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vAlign w:val="center"/>
                </w:tcPr>
                <w:p w14:paraId="3C5101A8">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shd w:val="clear" w:color="auto" w:fill="auto"/>
                  <w:vAlign w:val="center"/>
                </w:tcPr>
                <w:p w14:paraId="210E29F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22</w:t>
                  </w:r>
                </w:p>
              </w:tc>
              <w:tc>
                <w:tcPr>
                  <w:tcW w:w="697" w:type="dxa"/>
                  <w:shd w:val="clear" w:color="auto" w:fill="auto"/>
                  <w:vAlign w:val="center"/>
                </w:tcPr>
                <w:p w14:paraId="2DEEC97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w:t>
                  </w:r>
                </w:p>
              </w:tc>
              <w:tc>
                <w:tcPr>
                  <w:tcW w:w="697" w:type="dxa"/>
                  <w:shd w:val="clear" w:color="auto" w:fill="auto"/>
                  <w:vAlign w:val="center"/>
                </w:tcPr>
                <w:p w14:paraId="11F32A01">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20</w:t>
                  </w:r>
                </w:p>
              </w:tc>
              <w:tc>
                <w:tcPr>
                  <w:tcW w:w="697" w:type="dxa"/>
                  <w:shd w:val="clear" w:color="auto" w:fill="auto"/>
                  <w:vAlign w:val="center"/>
                </w:tcPr>
                <w:p w14:paraId="1177D0F1">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6</w:t>
                  </w:r>
                </w:p>
              </w:tc>
              <w:tc>
                <w:tcPr>
                  <w:tcW w:w="714" w:type="dxa"/>
                  <w:shd w:val="clear" w:color="auto" w:fill="auto"/>
                  <w:vAlign w:val="center"/>
                </w:tcPr>
                <w:p w14:paraId="44069BA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i w:val="0"/>
                      <w:snapToGrid w:val="0"/>
                      <w:color w:val="auto"/>
                      <w:kern w:val="0"/>
                      <w:sz w:val="21"/>
                      <w:szCs w:val="21"/>
                      <w:highlight w:val="none"/>
                      <w:u w:val="none"/>
                      <w:lang w:val="en-US" w:eastAsia="zh-CN" w:bidi="ar"/>
                    </w:rPr>
                    <w:t>38.15</w:t>
                  </w:r>
                </w:p>
              </w:tc>
              <w:tc>
                <w:tcPr>
                  <w:tcW w:w="0" w:type="auto"/>
                  <w:shd w:val="clear" w:color="auto" w:fill="auto"/>
                  <w:vAlign w:val="center"/>
                </w:tcPr>
                <w:p w14:paraId="725E65C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55.45</w:t>
                  </w:r>
                </w:p>
              </w:tc>
              <w:tc>
                <w:tcPr>
                  <w:tcW w:w="713" w:type="dxa"/>
                  <w:vAlign w:val="center"/>
                </w:tcPr>
                <w:p w14:paraId="25D2B0C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38.97</w:t>
                  </w:r>
                </w:p>
              </w:tc>
              <w:tc>
                <w:tcPr>
                  <w:tcW w:w="646" w:type="dxa"/>
                  <w:vAlign w:val="center"/>
                </w:tcPr>
                <w:p w14:paraId="1066C7A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49.43</w:t>
                  </w:r>
                </w:p>
              </w:tc>
              <w:tc>
                <w:tcPr>
                  <w:tcW w:w="286" w:type="dxa"/>
                  <w:vMerge w:val="continue"/>
                  <w:vAlign w:val="center"/>
                </w:tcPr>
                <w:p w14:paraId="2686B2E1">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09C20CAE">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2B28873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23.15</w:t>
                  </w:r>
                </w:p>
              </w:tc>
              <w:tc>
                <w:tcPr>
                  <w:tcW w:w="640" w:type="dxa"/>
                  <w:vAlign w:val="center"/>
                </w:tcPr>
                <w:p w14:paraId="4D17D6C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40.45</w:t>
                  </w:r>
                </w:p>
              </w:tc>
              <w:tc>
                <w:tcPr>
                  <w:tcW w:w="699" w:type="dxa"/>
                  <w:vAlign w:val="center"/>
                </w:tcPr>
                <w:p w14:paraId="753167D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23.97</w:t>
                  </w:r>
                </w:p>
              </w:tc>
              <w:tc>
                <w:tcPr>
                  <w:tcW w:w="626" w:type="dxa"/>
                  <w:vAlign w:val="center"/>
                </w:tcPr>
                <w:p w14:paraId="43C25E8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34.43</w:t>
                  </w:r>
                </w:p>
              </w:tc>
              <w:tc>
                <w:tcPr>
                  <w:tcW w:w="420" w:type="dxa"/>
                  <w:vMerge w:val="continue"/>
                  <w:vAlign w:val="center"/>
                </w:tcPr>
                <w:p w14:paraId="7A2B3F95">
                  <w:pPr>
                    <w:spacing w:line="240" w:lineRule="auto"/>
                    <w:jc w:val="center"/>
                    <w:rPr>
                      <w:rFonts w:hint="default" w:ascii="Times New Roman" w:hAnsi="Times New Roman" w:eastAsia="宋体" w:cs="Times New Roman"/>
                      <w:i w:val="0"/>
                      <w:color w:val="auto"/>
                      <w:sz w:val="21"/>
                      <w:szCs w:val="21"/>
                      <w:highlight w:val="none"/>
                      <w:u w:val="none"/>
                    </w:rPr>
                  </w:pPr>
                </w:p>
              </w:tc>
            </w:tr>
            <w:tr w14:paraId="621CD19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3CB9290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11</w:t>
                  </w:r>
                </w:p>
              </w:tc>
              <w:tc>
                <w:tcPr>
                  <w:tcW w:w="628" w:type="dxa"/>
                  <w:shd w:val="clear" w:color="auto" w:fill="auto"/>
                  <w:vAlign w:val="center"/>
                </w:tcPr>
                <w:p w14:paraId="5D6589A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焊烟净化器</w:t>
                  </w:r>
                </w:p>
              </w:tc>
              <w:tc>
                <w:tcPr>
                  <w:tcW w:w="0" w:type="auto"/>
                  <w:shd w:val="clear" w:color="auto" w:fill="auto"/>
                  <w:vAlign w:val="center"/>
                </w:tcPr>
                <w:p w14:paraId="0C788B3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12</w:t>
                  </w:r>
                </w:p>
              </w:tc>
              <w:tc>
                <w:tcPr>
                  <w:tcW w:w="0" w:type="auto"/>
                  <w:shd w:val="clear" w:color="auto" w:fill="auto"/>
                  <w:vAlign w:val="center"/>
                </w:tcPr>
                <w:p w14:paraId="4F2785E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14</w:t>
                  </w:r>
                </w:p>
              </w:tc>
              <w:tc>
                <w:tcPr>
                  <w:tcW w:w="553" w:type="dxa"/>
                  <w:shd w:val="clear" w:color="auto" w:fill="auto"/>
                  <w:vAlign w:val="center"/>
                </w:tcPr>
                <w:p w14:paraId="500D7F9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56BF106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75</w:t>
                  </w:r>
                </w:p>
              </w:tc>
              <w:tc>
                <w:tcPr>
                  <w:tcW w:w="0" w:type="auto"/>
                  <w:shd w:val="clear" w:color="auto" w:fill="auto"/>
                  <w:vAlign w:val="center"/>
                </w:tcPr>
                <w:p w14:paraId="641E8CD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vAlign w:val="center"/>
                </w:tcPr>
                <w:p w14:paraId="519EE3E3">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vAlign w:val="center"/>
                </w:tcPr>
                <w:p w14:paraId="10BA8DF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22</w:t>
                  </w:r>
                </w:p>
              </w:tc>
              <w:tc>
                <w:tcPr>
                  <w:tcW w:w="697" w:type="dxa"/>
                  <w:vAlign w:val="center"/>
                </w:tcPr>
                <w:p w14:paraId="438FCF47">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w:t>
                  </w:r>
                </w:p>
              </w:tc>
              <w:tc>
                <w:tcPr>
                  <w:tcW w:w="697" w:type="dxa"/>
                  <w:vAlign w:val="center"/>
                </w:tcPr>
                <w:p w14:paraId="3C7F4E5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20</w:t>
                  </w:r>
                </w:p>
              </w:tc>
              <w:tc>
                <w:tcPr>
                  <w:tcW w:w="697" w:type="dxa"/>
                  <w:vAlign w:val="center"/>
                </w:tcPr>
                <w:p w14:paraId="1D92C0D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w:t>
                  </w:r>
                </w:p>
              </w:tc>
              <w:tc>
                <w:tcPr>
                  <w:tcW w:w="714" w:type="dxa"/>
                  <w:vAlign w:val="center"/>
                </w:tcPr>
                <w:p w14:paraId="056955B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33.15</w:t>
                  </w:r>
                </w:p>
              </w:tc>
              <w:tc>
                <w:tcPr>
                  <w:tcW w:w="0" w:type="auto"/>
                  <w:vAlign w:val="center"/>
                </w:tcPr>
                <w:p w14:paraId="646140F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47.95</w:t>
                  </w:r>
                </w:p>
              </w:tc>
              <w:tc>
                <w:tcPr>
                  <w:tcW w:w="713" w:type="dxa"/>
                  <w:vAlign w:val="center"/>
                </w:tcPr>
                <w:p w14:paraId="6E1538D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33.97</w:t>
                  </w:r>
                </w:p>
              </w:tc>
              <w:tc>
                <w:tcPr>
                  <w:tcW w:w="646" w:type="dxa"/>
                  <w:shd w:val="clear" w:color="auto" w:fill="auto"/>
                  <w:vAlign w:val="center"/>
                </w:tcPr>
                <w:p w14:paraId="5DE725E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46.02</w:t>
                  </w:r>
                </w:p>
              </w:tc>
              <w:tc>
                <w:tcPr>
                  <w:tcW w:w="286" w:type="dxa"/>
                  <w:vMerge w:val="continue"/>
                  <w:vAlign w:val="center"/>
                </w:tcPr>
                <w:p w14:paraId="6D8378E9">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3F96EB60">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46D0F9E1">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18.15</w:t>
                  </w:r>
                </w:p>
              </w:tc>
              <w:tc>
                <w:tcPr>
                  <w:tcW w:w="640" w:type="dxa"/>
                  <w:vAlign w:val="center"/>
                </w:tcPr>
                <w:p w14:paraId="08C54B1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32.95</w:t>
                  </w:r>
                </w:p>
              </w:tc>
              <w:tc>
                <w:tcPr>
                  <w:tcW w:w="699" w:type="dxa"/>
                  <w:vAlign w:val="center"/>
                </w:tcPr>
                <w:p w14:paraId="5796CBDC">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18.97</w:t>
                  </w:r>
                </w:p>
              </w:tc>
              <w:tc>
                <w:tcPr>
                  <w:tcW w:w="626" w:type="dxa"/>
                  <w:vAlign w:val="center"/>
                </w:tcPr>
                <w:p w14:paraId="101DB508">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31.02</w:t>
                  </w:r>
                </w:p>
              </w:tc>
              <w:tc>
                <w:tcPr>
                  <w:tcW w:w="420" w:type="dxa"/>
                  <w:vMerge w:val="continue"/>
                  <w:vAlign w:val="center"/>
                </w:tcPr>
                <w:p w14:paraId="11D162D6">
                  <w:pPr>
                    <w:spacing w:line="240" w:lineRule="auto"/>
                    <w:jc w:val="center"/>
                    <w:rPr>
                      <w:rFonts w:hint="default" w:ascii="Times New Roman" w:hAnsi="Times New Roman" w:eastAsia="宋体" w:cs="Times New Roman"/>
                      <w:i w:val="0"/>
                      <w:color w:val="auto"/>
                      <w:sz w:val="21"/>
                      <w:szCs w:val="21"/>
                      <w:highlight w:val="none"/>
                      <w:u w:val="none"/>
                    </w:rPr>
                  </w:pPr>
                </w:p>
              </w:tc>
            </w:tr>
            <w:tr w14:paraId="7116336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2F9757AF">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12</w:t>
                  </w:r>
                </w:p>
              </w:tc>
              <w:tc>
                <w:tcPr>
                  <w:tcW w:w="628" w:type="dxa"/>
                  <w:shd w:val="clear" w:color="auto" w:fill="auto"/>
                  <w:vAlign w:val="center"/>
                </w:tcPr>
                <w:p w14:paraId="2A0F845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泡沫切割机</w:t>
                  </w:r>
                </w:p>
              </w:tc>
              <w:tc>
                <w:tcPr>
                  <w:tcW w:w="0" w:type="auto"/>
                  <w:shd w:val="clear" w:color="auto" w:fill="auto"/>
                  <w:vAlign w:val="center"/>
                </w:tcPr>
                <w:p w14:paraId="21210A6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0" w:type="auto"/>
                  <w:shd w:val="clear" w:color="auto" w:fill="auto"/>
                  <w:vAlign w:val="center"/>
                </w:tcPr>
                <w:p w14:paraId="7D148CF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12</w:t>
                  </w:r>
                </w:p>
              </w:tc>
              <w:tc>
                <w:tcPr>
                  <w:tcW w:w="553" w:type="dxa"/>
                  <w:shd w:val="clear" w:color="auto" w:fill="auto"/>
                  <w:vAlign w:val="center"/>
                </w:tcPr>
                <w:p w14:paraId="2BB84A9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325258B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80</w:t>
                  </w:r>
                </w:p>
              </w:tc>
              <w:tc>
                <w:tcPr>
                  <w:tcW w:w="0" w:type="auto"/>
                  <w:shd w:val="clear" w:color="auto" w:fill="auto"/>
                  <w:vAlign w:val="center"/>
                </w:tcPr>
                <w:p w14:paraId="4D9B2E5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vAlign w:val="center"/>
                </w:tcPr>
                <w:p w14:paraId="7FAF8F28">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vAlign w:val="center"/>
                </w:tcPr>
                <w:p w14:paraId="12CCFE77">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34</w:t>
                  </w:r>
                </w:p>
              </w:tc>
              <w:tc>
                <w:tcPr>
                  <w:tcW w:w="697" w:type="dxa"/>
                  <w:vAlign w:val="center"/>
                </w:tcPr>
                <w:p w14:paraId="101A58C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w:t>
                  </w:r>
                </w:p>
              </w:tc>
              <w:tc>
                <w:tcPr>
                  <w:tcW w:w="697" w:type="dxa"/>
                  <w:vAlign w:val="center"/>
                </w:tcPr>
                <w:p w14:paraId="3D338CF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6</w:t>
                  </w:r>
                </w:p>
              </w:tc>
              <w:tc>
                <w:tcPr>
                  <w:tcW w:w="697" w:type="dxa"/>
                  <w:vAlign w:val="center"/>
                </w:tcPr>
                <w:p w14:paraId="6A070867">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w:t>
                  </w:r>
                </w:p>
              </w:tc>
              <w:tc>
                <w:tcPr>
                  <w:tcW w:w="714" w:type="dxa"/>
                  <w:vAlign w:val="center"/>
                </w:tcPr>
                <w:p w14:paraId="7165BE1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34.37</w:t>
                  </w:r>
                </w:p>
              </w:tc>
              <w:tc>
                <w:tcPr>
                  <w:tcW w:w="0" w:type="auto"/>
                  <w:vAlign w:val="center"/>
                </w:tcPr>
                <w:p w14:paraId="50D5ADF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51.02</w:t>
                  </w:r>
                </w:p>
              </w:tc>
              <w:tc>
                <w:tcPr>
                  <w:tcW w:w="713" w:type="dxa"/>
                  <w:vAlign w:val="center"/>
                </w:tcPr>
                <w:p w14:paraId="04844AA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49.43</w:t>
                  </w:r>
                </w:p>
              </w:tc>
              <w:tc>
                <w:tcPr>
                  <w:tcW w:w="646" w:type="dxa"/>
                  <w:shd w:val="clear" w:color="auto" w:fill="auto"/>
                  <w:vAlign w:val="center"/>
                </w:tcPr>
                <w:p w14:paraId="00A0029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55.45</w:t>
                  </w:r>
                </w:p>
              </w:tc>
              <w:tc>
                <w:tcPr>
                  <w:tcW w:w="286" w:type="dxa"/>
                  <w:vMerge w:val="continue"/>
                  <w:vAlign w:val="center"/>
                </w:tcPr>
                <w:p w14:paraId="4061B571">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69DAEE86">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214EE257">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19.37</w:t>
                  </w:r>
                </w:p>
              </w:tc>
              <w:tc>
                <w:tcPr>
                  <w:tcW w:w="640" w:type="dxa"/>
                  <w:vAlign w:val="center"/>
                </w:tcPr>
                <w:p w14:paraId="2FB2085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36.02</w:t>
                  </w:r>
                </w:p>
              </w:tc>
              <w:tc>
                <w:tcPr>
                  <w:tcW w:w="699" w:type="dxa"/>
                  <w:vAlign w:val="center"/>
                </w:tcPr>
                <w:p w14:paraId="3EBA1CBC">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34.43</w:t>
                  </w:r>
                </w:p>
              </w:tc>
              <w:tc>
                <w:tcPr>
                  <w:tcW w:w="626" w:type="dxa"/>
                  <w:vAlign w:val="center"/>
                </w:tcPr>
                <w:p w14:paraId="5944CA5D">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40.45</w:t>
                  </w:r>
                </w:p>
              </w:tc>
              <w:tc>
                <w:tcPr>
                  <w:tcW w:w="420" w:type="dxa"/>
                  <w:vMerge w:val="continue"/>
                  <w:vAlign w:val="center"/>
                </w:tcPr>
                <w:p w14:paraId="3E8D2147">
                  <w:pPr>
                    <w:spacing w:line="240" w:lineRule="auto"/>
                    <w:jc w:val="center"/>
                    <w:rPr>
                      <w:rFonts w:hint="default" w:ascii="Times New Roman" w:hAnsi="Times New Roman" w:eastAsia="宋体" w:cs="Times New Roman"/>
                      <w:i w:val="0"/>
                      <w:color w:val="auto"/>
                      <w:sz w:val="21"/>
                      <w:szCs w:val="21"/>
                      <w:highlight w:val="none"/>
                      <w:u w:val="none"/>
                    </w:rPr>
                  </w:pPr>
                </w:p>
              </w:tc>
            </w:tr>
            <w:tr w14:paraId="3E2732A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5639DE6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13</w:t>
                  </w:r>
                </w:p>
              </w:tc>
              <w:tc>
                <w:tcPr>
                  <w:tcW w:w="628" w:type="dxa"/>
                  <w:shd w:val="clear" w:color="auto" w:fill="auto"/>
                  <w:vAlign w:val="center"/>
                </w:tcPr>
                <w:p w14:paraId="5BD0ECE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热风烘干机</w:t>
                  </w:r>
                </w:p>
              </w:tc>
              <w:tc>
                <w:tcPr>
                  <w:tcW w:w="0" w:type="auto"/>
                  <w:shd w:val="clear" w:color="auto" w:fill="auto"/>
                  <w:vAlign w:val="center"/>
                </w:tcPr>
                <w:p w14:paraId="5409CAFA">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w:t>
                  </w:r>
                </w:p>
              </w:tc>
              <w:tc>
                <w:tcPr>
                  <w:tcW w:w="0" w:type="auto"/>
                  <w:shd w:val="clear" w:color="auto" w:fill="auto"/>
                  <w:vAlign w:val="center"/>
                </w:tcPr>
                <w:p w14:paraId="1CE1AEE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14</w:t>
                  </w:r>
                </w:p>
              </w:tc>
              <w:tc>
                <w:tcPr>
                  <w:tcW w:w="553" w:type="dxa"/>
                  <w:shd w:val="clear" w:color="auto" w:fill="auto"/>
                  <w:vAlign w:val="center"/>
                </w:tcPr>
                <w:p w14:paraId="1705A44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665AA4B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80</w:t>
                  </w:r>
                </w:p>
              </w:tc>
              <w:tc>
                <w:tcPr>
                  <w:tcW w:w="0" w:type="auto"/>
                  <w:shd w:val="clear" w:color="auto" w:fill="auto"/>
                  <w:vAlign w:val="center"/>
                </w:tcPr>
                <w:p w14:paraId="517AF68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vAlign w:val="center"/>
                </w:tcPr>
                <w:p w14:paraId="20DF984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vAlign w:val="center"/>
                </w:tcPr>
                <w:p w14:paraId="633EB57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35</w:t>
                  </w:r>
                </w:p>
              </w:tc>
              <w:tc>
                <w:tcPr>
                  <w:tcW w:w="697" w:type="dxa"/>
                  <w:vAlign w:val="center"/>
                </w:tcPr>
                <w:p w14:paraId="0BFB39B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697" w:type="dxa"/>
                  <w:vAlign w:val="center"/>
                </w:tcPr>
                <w:p w14:paraId="44169CF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w:t>
                  </w:r>
                </w:p>
              </w:tc>
              <w:tc>
                <w:tcPr>
                  <w:tcW w:w="697" w:type="dxa"/>
                  <w:vAlign w:val="center"/>
                </w:tcPr>
                <w:p w14:paraId="1D9AEC2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5</w:t>
                  </w:r>
                </w:p>
              </w:tc>
              <w:tc>
                <w:tcPr>
                  <w:tcW w:w="714" w:type="dxa"/>
                  <w:vAlign w:val="center"/>
                </w:tcPr>
                <w:p w14:paraId="31D44A1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34.11</w:t>
                  </w:r>
                </w:p>
              </w:tc>
              <w:tc>
                <w:tcPr>
                  <w:tcW w:w="0" w:type="auto"/>
                  <w:vAlign w:val="center"/>
                </w:tcPr>
                <w:p w14:paraId="60AB4BA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58.97</w:t>
                  </w:r>
                </w:p>
              </w:tc>
              <w:tc>
                <w:tcPr>
                  <w:tcW w:w="713" w:type="dxa"/>
                  <w:vAlign w:val="center"/>
                </w:tcPr>
                <w:p w14:paraId="0406715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51.02</w:t>
                  </w:r>
                </w:p>
              </w:tc>
              <w:tc>
                <w:tcPr>
                  <w:tcW w:w="646" w:type="dxa"/>
                  <w:vAlign w:val="center"/>
                </w:tcPr>
                <w:p w14:paraId="7B95672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51.02</w:t>
                  </w:r>
                </w:p>
              </w:tc>
              <w:tc>
                <w:tcPr>
                  <w:tcW w:w="286" w:type="dxa"/>
                  <w:vMerge w:val="continue"/>
                  <w:vAlign w:val="center"/>
                </w:tcPr>
                <w:p w14:paraId="26FBB9B9">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1E18162A">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419CF262">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19.11</w:t>
                  </w:r>
                </w:p>
              </w:tc>
              <w:tc>
                <w:tcPr>
                  <w:tcW w:w="640" w:type="dxa"/>
                  <w:vAlign w:val="center"/>
                </w:tcPr>
                <w:p w14:paraId="519465AB">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43.97</w:t>
                  </w:r>
                </w:p>
              </w:tc>
              <w:tc>
                <w:tcPr>
                  <w:tcW w:w="699" w:type="dxa"/>
                  <w:vAlign w:val="center"/>
                </w:tcPr>
                <w:p w14:paraId="60B3AD07">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36.02</w:t>
                  </w:r>
                </w:p>
              </w:tc>
              <w:tc>
                <w:tcPr>
                  <w:tcW w:w="626" w:type="dxa"/>
                  <w:vAlign w:val="center"/>
                </w:tcPr>
                <w:p w14:paraId="7B62A9C4">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36.02</w:t>
                  </w:r>
                </w:p>
              </w:tc>
              <w:tc>
                <w:tcPr>
                  <w:tcW w:w="420" w:type="dxa"/>
                  <w:vMerge w:val="continue"/>
                  <w:vAlign w:val="center"/>
                </w:tcPr>
                <w:p w14:paraId="00E03346">
                  <w:pPr>
                    <w:spacing w:line="240" w:lineRule="auto"/>
                    <w:jc w:val="center"/>
                    <w:rPr>
                      <w:rFonts w:hint="default" w:ascii="Times New Roman" w:hAnsi="Times New Roman" w:eastAsia="宋体" w:cs="Times New Roman"/>
                      <w:i w:val="0"/>
                      <w:color w:val="auto"/>
                      <w:sz w:val="21"/>
                      <w:szCs w:val="21"/>
                      <w:highlight w:val="none"/>
                      <w:u w:val="none"/>
                    </w:rPr>
                  </w:pPr>
                </w:p>
              </w:tc>
            </w:tr>
            <w:tr w14:paraId="272825C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494D200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14</w:t>
                  </w:r>
                </w:p>
              </w:tc>
              <w:tc>
                <w:tcPr>
                  <w:tcW w:w="628" w:type="dxa"/>
                  <w:shd w:val="clear" w:color="auto" w:fill="auto"/>
                  <w:vAlign w:val="center"/>
                </w:tcPr>
                <w:p w14:paraId="7C50BEC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退火炉</w:t>
                  </w:r>
                </w:p>
              </w:tc>
              <w:tc>
                <w:tcPr>
                  <w:tcW w:w="0" w:type="auto"/>
                  <w:shd w:val="clear" w:color="auto" w:fill="auto"/>
                  <w:vAlign w:val="center"/>
                </w:tcPr>
                <w:p w14:paraId="10B1E5A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27</w:t>
                  </w:r>
                </w:p>
              </w:tc>
              <w:tc>
                <w:tcPr>
                  <w:tcW w:w="0" w:type="auto"/>
                  <w:shd w:val="clear" w:color="auto" w:fill="auto"/>
                  <w:vAlign w:val="center"/>
                </w:tcPr>
                <w:p w14:paraId="6AA942A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17</w:t>
                  </w:r>
                </w:p>
              </w:tc>
              <w:tc>
                <w:tcPr>
                  <w:tcW w:w="553" w:type="dxa"/>
                  <w:shd w:val="clear" w:color="auto" w:fill="auto"/>
                  <w:vAlign w:val="center"/>
                </w:tcPr>
                <w:p w14:paraId="390F82B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609F1B6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85</w:t>
                  </w:r>
                </w:p>
              </w:tc>
              <w:tc>
                <w:tcPr>
                  <w:tcW w:w="0" w:type="auto"/>
                  <w:shd w:val="clear" w:color="auto" w:fill="auto"/>
                  <w:vAlign w:val="center"/>
                </w:tcPr>
                <w:p w14:paraId="4E6FAEC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451" w:type="dxa"/>
                  <w:vMerge w:val="continue"/>
                  <w:vAlign w:val="center"/>
                </w:tcPr>
                <w:p w14:paraId="07343CBD">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vAlign w:val="center"/>
                </w:tcPr>
                <w:p w14:paraId="72D468D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w:t>
                  </w:r>
                </w:p>
              </w:tc>
              <w:tc>
                <w:tcPr>
                  <w:tcW w:w="697" w:type="dxa"/>
                  <w:vAlign w:val="center"/>
                </w:tcPr>
                <w:p w14:paraId="70FF2FE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w:t>
                  </w:r>
                </w:p>
              </w:tc>
              <w:tc>
                <w:tcPr>
                  <w:tcW w:w="697" w:type="dxa"/>
                  <w:vAlign w:val="center"/>
                </w:tcPr>
                <w:p w14:paraId="54DC569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35</w:t>
                  </w:r>
                </w:p>
              </w:tc>
              <w:tc>
                <w:tcPr>
                  <w:tcW w:w="697" w:type="dxa"/>
                  <w:vAlign w:val="center"/>
                </w:tcPr>
                <w:p w14:paraId="2957CAA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8</w:t>
                  </w:r>
                </w:p>
              </w:tc>
              <w:tc>
                <w:tcPr>
                  <w:tcW w:w="714" w:type="dxa"/>
                  <w:vAlign w:val="center"/>
                </w:tcPr>
                <w:p w14:paraId="05D0592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sz w:val="21"/>
                      <w:szCs w:val="21"/>
                      <w:highlight w:val="none"/>
                      <w:u w:val="none"/>
                      <w:lang w:val="en-US" w:eastAsia="zh-CN"/>
                    </w:rPr>
                    <w:t>57.95</w:t>
                  </w:r>
                </w:p>
              </w:tc>
              <w:tc>
                <w:tcPr>
                  <w:tcW w:w="0" w:type="auto"/>
                  <w:vAlign w:val="center"/>
                </w:tcPr>
                <w:p w14:paraId="6956294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713" w:type="dxa"/>
                  <w:vAlign w:val="center"/>
                </w:tcPr>
                <w:p w14:paraId="3EFA90D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39.11</w:t>
                  </w:r>
                </w:p>
              </w:tc>
              <w:tc>
                <w:tcPr>
                  <w:tcW w:w="646" w:type="dxa"/>
                  <w:vAlign w:val="center"/>
                </w:tcPr>
                <w:p w14:paraId="547837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51.93</w:t>
                  </w:r>
                </w:p>
              </w:tc>
              <w:tc>
                <w:tcPr>
                  <w:tcW w:w="286" w:type="dxa"/>
                  <w:vMerge w:val="continue"/>
                  <w:vAlign w:val="center"/>
                </w:tcPr>
                <w:p w14:paraId="0B542135">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29629F3C">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7F85C9A4">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42.95</w:t>
                  </w:r>
                </w:p>
              </w:tc>
              <w:tc>
                <w:tcPr>
                  <w:tcW w:w="640" w:type="dxa"/>
                  <w:vAlign w:val="center"/>
                </w:tcPr>
                <w:p w14:paraId="7BBDF113">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55</w:t>
                  </w:r>
                </w:p>
              </w:tc>
              <w:tc>
                <w:tcPr>
                  <w:tcW w:w="699" w:type="dxa"/>
                  <w:vAlign w:val="center"/>
                </w:tcPr>
                <w:p w14:paraId="217D485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24.11</w:t>
                  </w:r>
                </w:p>
              </w:tc>
              <w:tc>
                <w:tcPr>
                  <w:tcW w:w="626" w:type="dxa"/>
                  <w:vAlign w:val="center"/>
                </w:tcPr>
                <w:p w14:paraId="6B247EF4">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36.93</w:t>
                  </w:r>
                </w:p>
              </w:tc>
              <w:tc>
                <w:tcPr>
                  <w:tcW w:w="420" w:type="dxa"/>
                  <w:vMerge w:val="continue"/>
                  <w:vAlign w:val="center"/>
                </w:tcPr>
                <w:p w14:paraId="5FC2959D">
                  <w:pPr>
                    <w:spacing w:line="240" w:lineRule="auto"/>
                    <w:jc w:val="center"/>
                    <w:rPr>
                      <w:rFonts w:hint="default" w:ascii="Times New Roman" w:hAnsi="Times New Roman" w:eastAsia="宋体" w:cs="Times New Roman"/>
                      <w:i w:val="0"/>
                      <w:color w:val="auto"/>
                      <w:sz w:val="21"/>
                      <w:szCs w:val="21"/>
                      <w:highlight w:val="none"/>
                      <w:u w:val="none"/>
                    </w:rPr>
                  </w:pPr>
                </w:p>
              </w:tc>
            </w:tr>
            <w:tr w14:paraId="41FC289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shd w:val="clear" w:color="auto" w:fill="auto"/>
                  <w:vAlign w:val="center"/>
                </w:tcPr>
                <w:p w14:paraId="23331FD0">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15</w:t>
                  </w:r>
                </w:p>
              </w:tc>
              <w:tc>
                <w:tcPr>
                  <w:tcW w:w="628" w:type="dxa"/>
                  <w:shd w:val="clear" w:color="auto" w:fill="auto"/>
                  <w:vAlign w:val="center"/>
                </w:tcPr>
                <w:p w14:paraId="6B90028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DA003风机</w:t>
                  </w:r>
                </w:p>
              </w:tc>
              <w:tc>
                <w:tcPr>
                  <w:tcW w:w="0" w:type="auto"/>
                  <w:shd w:val="clear" w:color="auto" w:fill="auto"/>
                  <w:vAlign w:val="center"/>
                </w:tcPr>
                <w:p w14:paraId="1669C416">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26</w:t>
                  </w:r>
                </w:p>
              </w:tc>
              <w:tc>
                <w:tcPr>
                  <w:tcW w:w="0" w:type="auto"/>
                  <w:shd w:val="clear" w:color="auto" w:fill="auto"/>
                  <w:vAlign w:val="center"/>
                </w:tcPr>
                <w:p w14:paraId="74567ADF">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11</w:t>
                  </w:r>
                </w:p>
              </w:tc>
              <w:tc>
                <w:tcPr>
                  <w:tcW w:w="553" w:type="dxa"/>
                  <w:shd w:val="clear" w:color="auto" w:fill="auto"/>
                  <w:vAlign w:val="center"/>
                </w:tcPr>
                <w:p w14:paraId="5EE6CFF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76963ADF">
                  <w:pPr>
                    <w:keepNext w:val="0"/>
                    <w:keepLines w:val="0"/>
                    <w:widowControl/>
                    <w:suppressLineNumbers w:val="0"/>
                    <w:spacing w:line="240" w:lineRule="auto"/>
                    <w:jc w:val="center"/>
                    <w:textAlignment w:val="center"/>
                    <w:rPr>
                      <w:rFonts w:hint="default" w:ascii="Times New Roman" w:hAnsi="Times New Roman" w:cs="Times New Roman"/>
                      <w:i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85</w:t>
                  </w:r>
                </w:p>
              </w:tc>
              <w:tc>
                <w:tcPr>
                  <w:tcW w:w="0" w:type="auto"/>
                  <w:shd w:val="clear" w:color="auto" w:fill="auto"/>
                  <w:vAlign w:val="center"/>
                </w:tcPr>
                <w:p w14:paraId="355650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451" w:type="dxa"/>
                  <w:vMerge w:val="continue"/>
                  <w:vAlign w:val="center"/>
                </w:tcPr>
                <w:p w14:paraId="1215F06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697" w:type="dxa"/>
                  <w:vAlign w:val="center"/>
                </w:tcPr>
                <w:p w14:paraId="256274C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6</w:t>
                  </w:r>
                </w:p>
              </w:tc>
              <w:tc>
                <w:tcPr>
                  <w:tcW w:w="697" w:type="dxa"/>
                  <w:vAlign w:val="center"/>
                </w:tcPr>
                <w:p w14:paraId="02FFE4D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8</w:t>
                  </w:r>
                </w:p>
              </w:tc>
              <w:tc>
                <w:tcPr>
                  <w:tcW w:w="697" w:type="dxa"/>
                  <w:vAlign w:val="center"/>
                </w:tcPr>
                <w:p w14:paraId="48BC628F">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34</w:t>
                  </w:r>
                </w:p>
              </w:tc>
              <w:tc>
                <w:tcPr>
                  <w:tcW w:w="697" w:type="dxa"/>
                  <w:vAlign w:val="center"/>
                </w:tcPr>
                <w:p w14:paraId="7CD0FFF3">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714" w:type="dxa"/>
                  <w:vAlign w:val="center"/>
                </w:tcPr>
                <w:p w14:paraId="6D0B7CF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sz w:val="21"/>
                      <w:szCs w:val="21"/>
                      <w:highlight w:val="none"/>
                      <w:u w:val="none"/>
                      <w:lang w:val="en-US" w:eastAsia="zh-CN"/>
                    </w:rPr>
                    <w:t>54.43</w:t>
                  </w:r>
                </w:p>
              </w:tc>
              <w:tc>
                <w:tcPr>
                  <w:tcW w:w="0" w:type="auto"/>
                  <w:vAlign w:val="center"/>
                </w:tcPr>
                <w:p w14:paraId="1C9C782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51.93</w:t>
                  </w:r>
                </w:p>
              </w:tc>
              <w:tc>
                <w:tcPr>
                  <w:tcW w:w="713" w:type="dxa"/>
                  <w:vAlign w:val="center"/>
                </w:tcPr>
                <w:p w14:paraId="128CF36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39.37</w:t>
                  </w:r>
                </w:p>
              </w:tc>
              <w:tc>
                <w:tcPr>
                  <w:tcW w:w="646" w:type="dxa"/>
                  <w:vAlign w:val="center"/>
                </w:tcPr>
                <w:p w14:paraId="425AD26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63.97</w:t>
                  </w:r>
                </w:p>
              </w:tc>
              <w:tc>
                <w:tcPr>
                  <w:tcW w:w="286" w:type="dxa"/>
                  <w:vMerge w:val="continue"/>
                  <w:vAlign w:val="center"/>
                </w:tcPr>
                <w:p w14:paraId="39CD4D89">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rPr>
                  </w:pPr>
                </w:p>
              </w:tc>
              <w:tc>
                <w:tcPr>
                  <w:tcW w:w="465" w:type="dxa"/>
                  <w:vMerge w:val="continue"/>
                  <w:vAlign w:val="center"/>
                </w:tcPr>
                <w:p w14:paraId="5391EA4B">
                  <w:pPr>
                    <w:spacing w:line="240" w:lineRule="auto"/>
                    <w:jc w:val="center"/>
                    <w:rPr>
                      <w:rFonts w:hint="default" w:ascii="Times New Roman" w:hAnsi="Times New Roman" w:eastAsia="宋体" w:cs="Times New Roman"/>
                      <w:i w:val="0"/>
                      <w:color w:val="auto"/>
                      <w:sz w:val="21"/>
                      <w:szCs w:val="21"/>
                      <w:highlight w:val="none"/>
                      <w:u w:val="none"/>
                    </w:rPr>
                  </w:pPr>
                </w:p>
              </w:tc>
              <w:tc>
                <w:tcPr>
                  <w:tcW w:w="720" w:type="dxa"/>
                  <w:vAlign w:val="center"/>
                </w:tcPr>
                <w:p w14:paraId="23505495">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39.43</w:t>
                  </w:r>
                </w:p>
              </w:tc>
              <w:tc>
                <w:tcPr>
                  <w:tcW w:w="640" w:type="dxa"/>
                  <w:vAlign w:val="center"/>
                </w:tcPr>
                <w:p w14:paraId="7518E7A7">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36.93</w:t>
                  </w:r>
                </w:p>
              </w:tc>
              <w:tc>
                <w:tcPr>
                  <w:tcW w:w="699" w:type="dxa"/>
                  <w:vAlign w:val="center"/>
                </w:tcPr>
                <w:p w14:paraId="2D59D08F">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24.37</w:t>
                  </w:r>
                </w:p>
              </w:tc>
              <w:tc>
                <w:tcPr>
                  <w:tcW w:w="626" w:type="dxa"/>
                  <w:vAlign w:val="center"/>
                </w:tcPr>
                <w:p w14:paraId="2468A7EC">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48.97</w:t>
                  </w:r>
                </w:p>
              </w:tc>
              <w:tc>
                <w:tcPr>
                  <w:tcW w:w="420" w:type="dxa"/>
                  <w:vMerge w:val="continue"/>
                  <w:vAlign w:val="center"/>
                </w:tcPr>
                <w:p w14:paraId="2403A95D">
                  <w:pPr>
                    <w:spacing w:line="240" w:lineRule="auto"/>
                    <w:jc w:val="center"/>
                    <w:rPr>
                      <w:rFonts w:hint="default" w:ascii="Times New Roman" w:hAnsi="Times New Roman" w:eastAsia="宋体" w:cs="Times New Roman"/>
                      <w:i w:val="0"/>
                      <w:color w:val="auto"/>
                      <w:sz w:val="21"/>
                      <w:szCs w:val="21"/>
                      <w:highlight w:val="none"/>
                      <w:u w:val="none"/>
                    </w:rPr>
                  </w:pPr>
                </w:p>
              </w:tc>
            </w:tr>
            <w:tr w14:paraId="2A3B78E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3" w:type="dxa"/>
                  <w:vAlign w:val="center"/>
                </w:tcPr>
                <w:p w14:paraId="0D1DA74C">
                  <w:pPr>
                    <w:keepNext w:val="0"/>
                    <w:keepLines w:val="0"/>
                    <w:widowControl/>
                    <w:suppressLineNumbers w:val="0"/>
                    <w:spacing w:line="240" w:lineRule="auto"/>
                    <w:jc w:val="center"/>
                    <w:textAlignment w:val="center"/>
                    <w:rPr>
                      <w:rFonts w:hint="default" w:ascii="Times New Roman" w:hAnsi="Times New Roman" w:cs="Times New Roman"/>
                      <w:i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16</w:t>
                  </w:r>
                </w:p>
              </w:tc>
              <w:tc>
                <w:tcPr>
                  <w:tcW w:w="628" w:type="dxa"/>
                  <w:shd w:val="clear" w:color="auto" w:fill="auto"/>
                  <w:vAlign w:val="center"/>
                </w:tcPr>
                <w:p w14:paraId="569B74D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DA001风机</w:t>
                  </w:r>
                </w:p>
              </w:tc>
              <w:tc>
                <w:tcPr>
                  <w:tcW w:w="0" w:type="auto"/>
                  <w:shd w:val="clear" w:color="auto" w:fill="auto"/>
                  <w:vAlign w:val="center"/>
                </w:tcPr>
                <w:p w14:paraId="37EAC93C">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-6</w:t>
                  </w:r>
                </w:p>
              </w:tc>
              <w:tc>
                <w:tcPr>
                  <w:tcW w:w="0" w:type="auto"/>
                  <w:shd w:val="clear" w:color="auto" w:fill="auto"/>
                  <w:vAlign w:val="center"/>
                </w:tcPr>
                <w:p w14:paraId="607FEBBF">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46</w:t>
                  </w:r>
                </w:p>
              </w:tc>
              <w:tc>
                <w:tcPr>
                  <w:tcW w:w="553" w:type="dxa"/>
                  <w:shd w:val="clear" w:color="auto" w:fill="auto"/>
                  <w:vAlign w:val="center"/>
                </w:tcPr>
                <w:p w14:paraId="768B2653">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1.0</w:t>
                  </w:r>
                </w:p>
              </w:tc>
              <w:tc>
                <w:tcPr>
                  <w:tcW w:w="603" w:type="dxa"/>
                  <w:shd w:val="clear" w:color="auto" w:fill="auto"/>
                  <w:vAlign w:val="center"/>
                </w:tcPr>
                <w:p w14:paraId="48C75C67">
                  <w:pPr>
                    <w:keepNext w:val="0"/>
                    <w:keepLines w:val="0"/>
                    <w:widowControl/>
                    <w:suppressLineNumbers w:val="0"/>
                    <w:spacing w:line="240" w:lineRule="auto"/>
                    <w:jc w:val="center"/>
                    <w:textAlignment w:val="center"/>
                    <w:rPr>
                      <w:rFonts w:hint="default" w:ascii="Times New Roman" w:hAnsi="Times New Roman" w:cs="Times New Roman"/>
                      <w:i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85</w:t>
                  </w:r>
                </w:p>
              </w:tc>
              <w:tc>
                <w:tcPr>
                  <w:tcW w:w="0" w:type="auto"/>
                  <w:shd w:val="clear" w:color="auto" w:fill="auto"/>
                  <w:vAlign w:val="center"/>
                </w:tcPr>
                <w:p w14:paraId="442A31F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451" w:type="dxa"/>
                  <w:vAlign w:val="center"/>
                </w:tcPr>
                <w:p w14:paraId="526527C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浇注车间</w:t>
                  </w:r>
                  <w:r>
                    <w:rPr>
                      <w:rFonts w:hint="eastAsia" w:ascii="Times New Roman" w:hAnsi="Times New Roman" w:cs="Times New Roman"/>
                      <w:i w:val="0"/>
                      <w:color w:val="auto"/>
                      <w:kern w:val="0"/>
                      <w:sz w:val="21"/>
                      <w:szCs w:val="21"/>
                      <w:highlight w:val="none"/>
                      <w:u w:val="none"/>
                      <w:lang w:val="en-US" w:eastAsia="zh-CN" w:bidi="ar"/>
                    </w:rPr>
                    <w:t>，</w:t>
                  </w:r>
                  <w:r>
                    <w:rPr>
                      <w:rFonts w:hint="default" w:ascii="Times New Roman" w:hAnsi="Times New Roman" w:eastAsia="宋体" w:cs="Times New Roman"/>
                      <w:i w:val="0"/>
                      <w:color w:val="auto"/>
                      <w:kern w:val="0"/>
                      <w:sz w:val="21"/>
                      <w:szCs w:val="21"/>
                      <w:highlight w:val="none"/>
                      <w:u w:val="none"/>
                      <w:lang w:val="en-US" w:eastAsia="zh-CN" w:bidi="ar"/>
                    </w:rPr>
                    <w:t>低噪声设备基础减振-1</w:t>
                  </w:r>
                  <w:r>
                    <w:rPr>
                      <w:rFonts w:hint="eastAsia" w:ascii="Times New Roman" w:hAnsi="Times New Roman" w:cs="Times New Roman"/>
                      <w:i w:val="0"/>
                      <w:color w:val="auto"/>
                      <w:kern w:val="0"/>
                      <w:sz w:val="21"/>
                      <w:szCs w:val="21"/>
                      <w:highlight w:val="none"/>
                      <w:u w:val="none"/>
                      <w:lang w:val="en-US" w:eastAsia="zh-CN" w:bidi="ar"/>
                    </w:rPr>
                    <w:t>5</w:t>
                  </w:r>
                </w:p>
              </w:tc>
              <w:tc>
                <w:tcPr>
                  <w:tcW w:w="697" w:type="dxa"/>
                  <w:vAlign w:val="center"/>
                </w:tcPr>
                <w:p w14:paraId="6BFD6DF4">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19</w:t>
                  </w:r>
                </w:p>
              </w:tc>
              <w:tc>
                <w:tcPr>
                  <w:tcW w:w="697" w:type="dxa"/>
                  <w:vAlign w:val="center"/>
                </w:tcPr>
                <w:p w14:paraId="133E93A9">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6</w:t>
                  </w:r>
                </w:p>
              </w:tc>
              <w:tc>
                <w:tcPr>
                  <w:tcW w:w="697" w:type="dxa"/>
                  <w:vAlign w:val="center"/>
                </w:tcPr>
                <w:p w14:paraId="7841B56F">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2</w:t>
                  </w:r>
                </w:p>
              </w:tc>
              <w:tc>
                <w:tcPr>
                  <w:tcW w:w="697" w:type="dxa"/>
                  <w:vAlign w:val="center"/>
                </w:tcPr>
                <w:p w14:paraId="18C26F5F">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2"/>
                      <w:sz w:val="21"/>
                      <w:szCs w:val="21"/>
                      <w:highlight w:val="none"/>
                      <w:u w:val="none"/>
                      <w:lang w:val="en-US" w:eastAsia="zh-CN" w:bidi="ar-SA"/>
                    </w:rPr>
                  </w:pPr>
                  <w:r>
                    <w:rPr>
                      <w:rFonts w:hint="eastAsia" w:ascii="Times New Roman" w:hAnsi="Times New Roman" w:cs="Times New Roman"/>
                      <w:i w:val="0"/>
                      <w:snapToGrid w:val="0"/>
                      <w:color w:val="auto"/>
                      <w:kern w:val="2"/>
                      <w:sz w:val="21"/>
                      <w:szCs w:val="21"/>
                      <w:highlight w:val="none"/>
                      <w:u w:val="none"/>
                      <w:lang w:val="en-US" w:eastAsia="zh-CN" w:bidi="ar-SA"/>
                    </w:rPr>
                    <w:t>8</w:t>
                  </w:r>
                </w:p>
              </w:tc>
              <w:tc>
                <w:tcPr>
                  <w:tcW w:w="714" w:type="dxa"/>
                  <w:vAlign w:val="center"/>
                </w:tcPr>
                <w:p w14:paraId="47E13377">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0"/>
                      <w:sz w:val="21"/>
                      <w:szCs w:val="21"/>
                      <w:highlight w:val="none"/>
                      <w:u w:val="none"/>
                      <w:lang w:val="en-US" w:eastAsia="zh-CN" w:bidi="ar-SA"/>
                    </w:rPr>
                  </w:pPr>
                  <w:r>
                    <w:rPr>
                      <w:rFonts w:hint="default" w:ascii="Times New Roman" w:hAnsi="Times New Roman" w:cs="Times New Roman"/>
                      <w:i w:val="0"/>
                      <w:snapToGrid w:val="0"/>
                      <w:color w:val="auto"/>
                      <w:kern w:val="0"/>
                      <w:sz w:val="21"/>
                      <w:szCs w:val="21"/>
                      <w:highlight w:val="none"/>
                      <w:u w:val="none"/>
                      <w:lang w:val="en-US" w:eastAsia="zh-CN" w:bidi="ar-SA"/>
                    </w:rPr>
                    <w:t>44.42</w:t>
                  </w:r>
                </w:p>
              </w:tc>
              <w:tc>
                <w:tcPr>
                  <w:tcW w:w="0" w:type="auto"/>
                  <w:vAlign w:val="center"/>
                </w:tcPr>
                <w:p w14:paraId="0E255743">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54.43</w:t>
                  </w:r>
                </w:p>
              </w:tc>
              <w:tc>
                <w:tcPr>
                  <w:tcW w:w="713" w:type="dxa"/>
                  <w:vAlign w:val="center"/>
                </w:tcPr>
                <w:p w14:paraId="66D3770D">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0"/>
                      <w:sz w:val="21"/>
                      <w:szCs w:val="21"/>
                      <w:highlight w:val="none"/>
                      <w:u w:val="none"/>
                      <w:lang w:val="en-US" w:eastAsia="zh-CN" w:bidi="ar-SA"/>
                    </w:rPr>
                  </w:pPr>
                  <w:r>
                    <w:rPr>
                      <w:rFonts w:hint="default" w:ascii="Times New Roman" w:hAnsi="Times New Roman" w:cs="Times New Roman"/>
                      <w:i w:val="0"/>
                      <w:snapToGrid w:val="0"/>
                      <w:color w:val="auto"/>
                      <w:kern w:val="0"/>
                      <w:sz w:val="21"/>
                      <w:szCs w:val="21"/>
                      <w:highlight w:val="none"/>
                      <w:u w:val="none"/>
                      <w:lang w:val="en-US" w:eastAsia="zh-CN" w:bidi="ar-SA"/>
                    </w:rPr>
                    <w:t>63.97</w:t>
                  </w:r>
                </w:p>
              </w:tc>
              <w:tc>
                <w:tcPr>
                  <w:tcW w:w="646" w:type="dxa"/>
                  <w:vAlign w:val="center"/>
                </w:tcPr>
                <w:p w14:paraId="2B4220D2">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51.93</w:t>
                  </w:r>
                </w:p>
              </w:tc>
              <w:tc>
                <w:tcPr>
                  <w:tcW w:w="286" w:type="dxa"/>
                  <w:vMerge w:val="continue"/>
                  <w:vAlign w:val="center"/>
                </w:tcPr>
                <w:p w14:paraId="78DFA0BB">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0"/>
                      <w:sz w:val="21"/>
                      <w:szCs w:val="21"/>
                      <w:highlight w:val="none"/>
                      <w:u w:val="none"/>
                      <w:lang w:val="en-US" w:eastAsia="zh-CN" w:bidi="ar-SA"/>
                    </w:rPr>
                  </w:pPr>
                </w:p>
              </w:tc>
              <w:tc>
                <w:tcPr>
                  <w:tcW w:w="465" w:type="dxa"/>
                  <w:vMerge w:val="continue"/>
                  <w:vAlign w:val="center"/>
                </w:tcPr>
                <w:p w14:paraId="09A9923F">
                  <w:pPr>
                    <w:keepNext w:val="0"/>
                    <w:keepLines w:val="0"/>
                    <w:widowControl/>
                    <w:suppressLineNumbers w:val="0"/>
                    <w:spacing w:line="240" w:lineRule="auto"/>
                    <w:jc w:val="center"/>
                    <w:textAlignment w:val="center"/>
                    <w:rPr>
                      <w:rFonts w:hint="default" w:ascii="Times New Roman" w:hAnsi="Times New Roman" w:cs="Times New Roman"/>
                      <w:i w:val="0"/>
                      <w:snapToGrid w:val="0"/>
                      <w:color w:val="auto"/>
                      <w:kern w:val="0"/>
                      <w:sz w:val="21"/>
                      <w:szCs w:val="21"/>
                      <w:highlight w:val="none"/>
                      <w:u w:val="none"/>
                      <w:lang w:val="en-US" w:eastAsia="zh-CN" w:bidi="ar-SA"/>
                    </w:rPr>
                  </w:pPr>
                </w:p>
              </w:tc>
              <w:tc>
                <w:tcPr>
                  <w:tcW w:w="720" w:type="dxa"/>
                  <w:vAlign w:val="center"/>
                </w:tcPr>
                <w:p w14:paraId="262A1B4B">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29.42</w:t>
                  </w:r>
                </w:p>
              </w:tc>
              <w:tc>
                <w:tcPr>
                  <w:tcW w:w="640" w:type="dxa"/>
                  <w:vAlign w:val="center"/>
                </w:tcPr>
                <w:p w14:paraId="62BEB3AC">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39.43</w:t>
                  </w:r>
                </w:p>
              </w:tc>
              <w:tc>
                <w:tcPr>
                  <w:tcW w:w="699" w:type="dxa"/>
                  <w:vAlign w:val="center"/>
                </w:tcPr>
                <w:p w14:paraId="05FE5FDD">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48.97</w:t>
                  </w:r>
                </w:p>
              </w:tc>
              <w:tc>
                <w:tcPr>
                  <w:tcW w:w="626" w:type="dxa"/>
                  <w:vAlign w:val="center"/>
                </w:tcPr>
                <w:p w14:paraId="00C134D7">
                  <w:pPr>
                    <w:keepNext w:val="0"/>
                    <w:keepLines w:val="0"/>
                    <w:widowControl/>
                    <w:suppressLineNumbers w:val="0"/>
                    <w:spacing w:line="240" w:lineRule="auto"/>
                    <w:jc w:val="center"/>
                    <w:textAlignment w:val="center"/>
                    <w:rPr>
                      <w:rFonts w:hint="eastAsia" w:ascii="Times New Roman" w:hAnsi="Times New Roman"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36.93</w:t>
                  </w:r>
                </w:p>
              </w:tc>
              <w:tc>
                <w:tcPr>
                  <w:tcW w:w="420" w:type="dxa"/>
                  <w:vMerge w:val="continue"/>
                  <w:vAlign w:val="center"/>
                </w:tcPr>
                <w:p w14:paraId="3F84B2D9">
                  <w:pPr>
                    <w:spacing w:line="240" w:lineRule="auto"/>
                    <w:jc w:val="center"/>
                    <w:rPr>
                      <w:rFonts w:hint="default" w:ascii="Times New Roman" w:hAnsi="Times New Roman" w:eastAsia="宋体" w:cs="Times New Roman"/>
                      <w:i w:val="0"/>
                      <w:color w:val="auto"/>
                      <w:sz w:val="21"/>
                      <w:szCs w:val="21"/>
                      <w:highlight w:val="none"/>
                      <w:u w:val="none"/>
                    </w:rPr>
                  </w:pPr>
                </w:p>
              </w:tc>
            </w:tr>
          </w:tbl>
          <w:p w14:paraId="168658B8">
            <w:pPr>
              <w:keepNext w:val="0"/>
              <w:keepLines w:val="0"/>
              <w:pageBreakBefore w:val="0"/>
              <w:widowControl w:val="0"/>
              <w:kinsoku/>
              <w:wordWrap/>
              <w:overflowPunct/>
              <w:topLinePunct w:val="0"/>
              <w:autoSpaceDE/>
              <w:autoSpaceDN/>
              <w:bidi w:val="0"/>
              <w:spacing w:line="360" w:lineRule="auto"/>
              <w:ind w:firstLine="422" w:firstLineChars="200"/>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以</w:t>
            </w:r>
            <w:r>
              <w:rPr>
                <w:rFonts w:hint="eastAsia" w:ascii="Times New Roman" w:hAnsi="Times New Roman" w:eastAsia="宋体" w:cs="Times New Roman"/>
                <w:b/>
                <w:bCs/>
                <w:color w:val="auto"/>
                <w:sz w:val="21"/>
                <w:szCs w:val="21"/>
                <w:highlight w:val="none"/>
                <w:lang w:val="en-US" w:eastAsia="zh-CN"/>
              </w:rPr>
              <w:t>射芯车间</w:t>
            </w:r>
            <w:r>
              <w:rPr>
                <w:rFonts w:hint="default" w:ascii="Times New Roman" w:hAnsi="Times New Roman" w:eastAsia="宋体" w:cs="Times New Roman"/>
                <w:b/>
                <w:bCs/>
                <w:color w:val="auto"/>
                <w:sz w:val="21"/>
                <w:szCs w:val="21"/>
                <w:highlight w:val="none"/>
                <w:lang w:val="en-US" w:eastAsia="zh-CN"/>
              </w:rPr>
              <w:t>西南角为坐标原点</w:t>
            </w:r>
          </w:p>
          <w:p w14:paraId="00173E1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噪声防治措施</w:t>
            </w:r>
          </w:p>
          <w:p w14:paraId="3239803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①</w:t>
            </w:r>
            <w:r>
              <w:rPr>
                <w:rFonts w:hint="default" w:ascii="Times New Roman" w:hAnsi="Times New Roman" w:eastAsia="宋体" w:cs="Times New Roman"/>
                <w:color w:val="auto"/>
              </w:rPr>
              <w:t>总平面布置</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将高噪声设备设置于距离厂界较远的位置，同时在工厂总体布置上利用建筑物、构筑物来阻隔声波的传播。</w:t>
            </w:r>
          </w:p>
          <w:p w14:paraId="0AD18D24">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②</w:t>
            </w:r>
            <w:r>
              <w:rPr>
                <w:rFonts w:hint="default" w:ascii="Times New Roman" w:hAnsi="Times New Roman" w:eastAsia="宋体" w:cs="Times New Roman"/>
                <w:color w:val="auto"/>
              </w:rPr>
              <w:t>加强治理</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设备选型时选择噪声低的设备，对设备采取减振、隔音、建筑屏蔽等措施。</w:t>
            </w:r>
          </w:p>
          <w:p w14:paraId="42D205F4">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③</w:t>
            </w:r>
            <w:r>
              <w:rPr>
                <w:rFonts w:hint="default" w:ascii="Times New Roman" w:hAnsi="Times New Roman" w:eastAsia="宋体" w:cs="Times New Roman"/>
                <w:color w:val="auto"/>
              </w:rPr>
              <w:t>加强管理</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建立设备定期维护，保养的管理制度，以防止设备故障形成的非正常生产噪声</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加强职工环保意识教育，提倡文明生产，减少人为噪声。</w:t>
            </w:r>
          </w:p>
          <w:p w14:paraId="7734764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eastAsia="zh-CN"/>
              </w:rPr>
              <w:t>预测模式</w:t>
            </w:r>
          </w:p>
          <w:p w14:paraId="6CEF8553">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本次评价采用《环境影响评价技术导则</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eastAsia="zh-CN"/>
              </w:rPr>
              <w:t>声环境》(HJ2.4-2021) 中附录B.1 (工业噪声预测计算模式)进行预测，用A声级计算，模式如下:</w:t>
            </w:r>
          </w:p>
          <w:p w14:paraId="6DAB018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eastAsia="zh-CN"/>
              </w:rPr>
              <w:t>室外声源在预测点产生的声级计算基本公式</w:t>
            </w:r>
          </w:p>
          <w:p w14:paraId="0363D3B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.1.1</w:t>
            </w:r>
            <w:r>
              <w:rPr>
                <w:rFonts w:hint="default" w:ascii="Times New Roman" w:hAnsi="Times New Roman" w:eastAsia="宋体" w:cs="Times New Roman"/>
                <w:color w:val="auto"/>
                <w:lang w:eastAsia="zh-CN"/>
              </w:rPr>
              <w:t>）在环境影响评价中，应根据声源声功率级或参考位置处的声压级、户外声传播衰减，按下式计算预测点的声级:</w:t>
            </w:r>
          </w:p>
          <w:p w14:paraId="19A8873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Lp(r)=Lw+Dc- (A</w:t>
            </w:r>
            <w:r>
              <w:rPr>
                <w:rFonts w:hint="default" w:ascii="Times New Roman" w:hAnsi="Times New Roman" w:eastAsia="宋体" w:cs="Times New Roman"/>
                <w:color w:val="auto"/>
                <w:vertAlign w:val="subscript"/>
                <w:lang w:eastAsia="zh-CN"/>
              </w:rPr>
              <w:t>div</w:t>
            </w:r>
            <w:r>
              <w:rPr>
                <w:rFonts w:hint="default" w:ascii="Times New Roman" w:hAnsi="Times New Roman" w:eastAsia="宋体" w:cs="Times New Roman"/>
                <w:color w:val="auto"/>
                <w:lang w:eastAsia="zh-CN"/>
              </w:rPr>
              <w:t xml:space="preserve"> +A</w:t>
            </w:r>
            <w:r>
              <w:rPr>
                <w:rFonts w:hint="default" w:ascii="Times New Roman" w:hAnsi="Times New Roman" w:eastAsia="宋体" w:cs="Times New Roman"/>
                <w:color w:val="auto"/>
                <w:vertAlign w:val="subscript"/>
                <w:lang w:eastAsia="zh-CN"/>
              </w:rPr>
              <w:t>atm</w:t>
            </w: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g</w:t>
            </w:r>
            <w:r>
              <w:rPr>
                <w:rFonts w:hint="eastAsia"/>
                <w:color w:val="auto"/>
                <w:vertAlign w:val="subscript"/>
                <w:lang w:val="en-US" w:eastAsia="zh-CN"/>
              </w:rPr>
              <w:t>r</w:t>
            </w:r>
            <w:r>
              <w:rPr>
                <w:rFonts w:hint="default" w:ascii="Times New Roman" w:hAnsi="Times New Roman" w:eastAsia="宋体" w:cs="Times New Roman"/>
                <w:color w:val="auto"/>
                <w:lang w:eastAsia="zh-CN"/>
              </w:rPr>
              <w:t xml:space="preserve"> +A</w:t>
            </w:r>
            <w:r>
              <w:rPr>
                <w:rFonts w:hint="default" w:ascii="Times New Roman" w:hAnsi="Times New Roman" w:eastAsia="宋体" w:cs="Times New Roman"/>
                <w:color w:val="auto"/>
                <w:vertAlign w:val="subscript"/>
                <w:lang w:eastAsia="zh-CN"/>
              </w:rPr>
              <w:t>bar</w:t>
            </w:r>
            <w:r>
              <w:rPr>
                <w:rFonts w:hint="default" w:ascii="Times New Roman" w:hAnsi="Times New Roman" w:eastAsia="宋体" w:cs="Times New Roman"/>
                <w:color w:val="auto"/>
                <w:lang w:eastAsia="zh-CN"/>
              </w:rPr>
              <w:t xml:space="preserve"> + A</w:t>
            </w:r>
            <w:r>
              <w:rPr>
                <w:rFonts w:hint="default" w:ascii="Times New Roman" w:hAnsi="Times New Roman" w:eastAsia="宋体" w:cs="Times New Roman"/>
                <w:color w:val="auto"/>
                <w:vertAlign w:val="subscript"/>
                <w:lang w:eastAsia="zh-CN"/>
              </w:rPr>
              <w:t>mis</w:t>
            </w:r>
            <w:r>
              <w:rPr>
                <w:rFonts w:hint="eastAsia" w:ascii="Times New Roman" w:hAnsi="Times New Roman" w:cs="Times New Roman"/>
                <w:color w:val="auto"/>
                <w:vertAlign w:val="subscript"/>
                <w:lang w:val="en-US" w:eastAsia="zh-CN"/>
              </w:rPr>
              <w:t>c</w:t>
            </w:r>
            <w:r>
              <w:rPr>
                <w:rFonts w:hint="default" w:ascii="Times New Roman" w:hAnsi="Times New Roman" w:eastAsia="宋体" w:cs="Times New Roman"/>
                <w:color w:val="auto"/>
                <w:lang w:eastAsia="zh-CN"/>
              </w:rPr>
              <w:t>)</w:t>
            </w:r>
          </w:p>
          <w:p w14:paraId="01E50B6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Lp(r)=Lp(r</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lang w:eastAsia="zh-CN"/>
              </w:rPr>
              <w:t>)+Dc- (A</w:t>
            </w:r>
            <w:r>
              <w:rPr>
                <w:rFonts w:hint="eastAsia" w:ascii="Times New Roman" w:hAnsi="Times New Roman" w:cs="Times New Roman"/>
                <w:color w:val="auto"/>
                <w:vertAlign w:val="subscript"/>
                <w:lang w:val="en-US" w:eastAsia="zh-CN"/>
              </w:rPr>
              <w:t>d</w:t>
            </w:r>
            <w:r>
              <w:rPr>
                <w:rFonts w:hint="default" w:ascii="Times New Roman" w:hAnsi="Times New Roman" w:eastAsia="宋体" w:cs="Times New Roman"/>
                <w:color w:val="auto"/>
                <w:vertAlign w:val="subscript"/>
                <w:lang w:eastAsia="zh-CN"/>
              </w:rPr>
              <w:t>iv</w:t>
            </w:r>
            <w:r>
              <w:rPr>
                <w:rFonts w:hint="default" w:ascii="Times New Roman" w:hAnsi="Times New Roman" w:eastAsia="宋体" w:cs="Times New Roman"/>
                <w:color w:val="auto"/>
                <w:lang w:eastAsia="zh-CN"/>
              </w:rPr>
              <w:t xml:space="preserve"> +A</w:t>
            </w:r>
            <w:r>
              <w:rPr>
                <w:rFonts w:hint="default" w:ascii="Times New Roman" w:hAnsi="Times New Roman" w:eastAsia="宋体" w:cs="Times New Roman"/>
                <w:color w:val="auto"/>
                <w:vertAlign w:val="subscript"/>
                <w:lang w:eastAsia="zh-CN"/>
              </w:rPr>
              <w:t>atm</w:t>
            </w: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g</w:t>
            </w:r>
            <w:r>
              <w:rPr>
                <w:rFonts w:hint="eastAsia" w:ascii="Times New Roman" w:hAnsi="Times New Roman" w:cs="Times New Roman"/>
                <w:color w:val="auto"/>
                <w:vertAlign w:val="subscript"/>
                <w:lang w:val="en-US" w:eastAsia="zh-CN"/>
              </w:rPr>
              <w:t>r</w:t>
            </w:r>
            <w:r>
              <w:rPr>
                <w:rFonts w:hint="default" w:ascii="Times New Roman" w:hAnsi="Times New Roman" w:eastAsia="宋体" w:cs="Times New Roman"/>
                <w:color w:val="auto"/>
                <w:lang w:eastAsia="zh-CN"/>
              </w:rPr>
              <w:t>+ A</w:t>
            </w:r>
            <w:r>
              <w:rPr>
                <w:rFonts w:hint="default" w:ascii="Times New Roman" w:hAnsi="Times New Roman" w:eastAsia="宋体" w:cs="Times New Roman"/>
                <w:color w:val="auto"/>
                <w:vertAlign w:val="subscript"/>
                <w:lang w:eastAsia="zh-CN"/>
              </w:rPr>
              <w:t>bar</w:t>
            </w: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misc</w:t>
            </w:r>
            <w:r>
              <w:rPr>
                <w:rFonts w:hint="default" w:ascii="Times New Roman" w:hAnsi="Times New Roman" w:eastAsia="宋体" w:cs="Times New Roman"/>
                <w:color w:val="auto"/>
                <w:lang w:eastAsia="zh-CN"/>
              </w:rPr>
              <w:t>)</w:t>
            </w:r>
          </w:p>
          <w:p w14:paraId="449D283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式中：Lp(r)—预测点处声压级，dB；</w:t>
            </w:r>
          </w:p>
          <w:p w14:paraId="47985FC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Lp(ro)—参考位置To处的声压级，dB；</w:t>
            </w:r>
          </w:p>
          <w:p w14:paraId="01074A7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Lw—由点声源产生的声功率级(A计权或倍频带)，dB；</w:t>
            </w:r>
          </w:p>
          <w:p w14:paraId="0C070B5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Dc—指向性校正， 它描述点声源的等效连续声压级与产生声功率级Lw的全向点声源在规定方向的声级的偏差程度，dB；</w:t>
            </w:r>
          </w:p>
          <w:p w14:paraId="599C582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div</w:t>
            </w:r>
            <w:r>
              <w:rPr>
                <w:rFonts w:hint="default" w:ascii="Times New Roman" w:hAnsi="Times New Roman" w:eastAsia="宋体" w:cs="Times New Roman"/>
                <w:color w:val="auto"/>
                <w:lang w:eastAsia="zh-CN"/>
              </w:rPr>
              <w:t>—几何发散引起的衰减，dB；</w:t>
            </w:r>
          </w:p>
          <w:p w14:paraId="40D0C67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atm</w:t>
            </w:r>
            <w:r>
              <w:rPr>
                <w:rFonts w:hint="default" w:ascii="Times New Roman" w:hAnsi="Times New Roman" w:eastAsia="宋体" w:cs="Times New Roman"/>
                <w:color w:val="auto"/>
                <w:lang w:eastAsia="zh-CN"/>
              </w:rPr>
              <w:t>—大气吸收引起的衰减，dB；</w:t>
            </w:r>
          </w:p>
          <w:p w14:paraId="2CAE5A6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g</w:t>
            </w:r>
            <w:r>
              <w:rPr>
                <w:rFonts w:hint="eastAsia" w:ascii="Times New Roman" w:hAnsi="Times New Roman" w:cs="Times New Roman"/>
                <w:color w:val="auto"/>
                <w:vertAlign w:val="subscript"/>
                <w:lang w:val="en-US" w:eastAsia="zh-CN"/>
              </w:rPr>
              <w:t>r</w:t>
            </w:r>
            <w:r>
              <w:rPr>
                <w:rFonts w:hint="default" w:ascii="Times New Roman" w:hAnsi="Times New Roman" w:eastAsia="宋体" w:cs="Times New Roman"/>
                <w:color w:val="auto"/>
                <w:lang w:eastAsia="zh-CN"/>
              </w:rPr>
              <w:t>—地面效应引起的衰减，dB；</w:t>
            </w:r>
          </w:p>
          <w:p w14:paraId="38F7999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bar</w:t>
            </w:r>
            <w:r>
              <w:rPr>
                <w:rFonts w:hint="default" w:ascii="Times New Roman" w:hAnsi="Times New Roman" w:eastAsia="宋体" w:cs="Times New Roman"/>
                <w:color w:val="auto"/>
                <w:lang w:eastAsia="zh-CN"/>
              </w:rPr>
              <w:t>—障碍物屏蔽引起的衰减，dB；</w:t>
            </w:r>
          </w:p>
          <w:p w14:paraId="59CB115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A</w:t>
            </w:r>
            <w:r>
              <w:rPr>
                <w:rFonts w:hint="default" w:ascii="Times New Roman" w:hAnsi="Times New Roman" w:eastAsia="宋体" w:cs="Times New Roman"/>
                <w:color w:val="auto"/>
                <w:vertAlign w:val="subscript"/>
                <w:lang w:eastAsia="zh-CN"/>
              </w:rPr>
              <w:t>misc</w:t>
            </w:r>
            <w:r>
              <w:rPr>
                <w:rFonts w:hint="default" w:ascii="Times New Roman" w:hAnsi="Times New Roman" w:eastAsia="宋体" w:cs="Times New Roman"/>
                <w:color w:val="auto"/>
                <w:lang w:eastAsia="zh-CN"/>
              </w:rPr>
              <w:t>— 其他多方面效应引起的衰减，dB.</w:t>
            </w:r>
          </w:p>
          <w:p w14:paraId="33233FD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.1.2</w:t>
            </w:r>
            <w:r>
              <w:rPr>
                <w:rFonts w:hint="default" w:ascii="Times New Roman" w:hAnsi="Times New Roman" w:eastAsia="宋体" w:cs="Times New Roman"/>
                <w:color w:val="auto"/>
                <w:lang w:eastAsia="zh-CN"/>
              </w:rPr>
              <w:t>）预测点的A声级LA (r) 按照下式计算，即将8个倍频带声压级合成，计算出预测点的A声级La (r) 。</w:t>
            </w:r>
          </w:p>
          <w:p w14:paraId="6DA567D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1729105" cy="415290"/>
                  <wp:effectExtent l="0" t="0" r="0" b="317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7">
                            <a:clrChange>
                              <a:clrFrom>
                                <a:srgbClr val="CDDEC2"/>
                              </a:clrFrom>
                              <a:clrTo>
                                <a:srgbClr val="CDDEC2">
                                  <a:alpha val="0"/>
                                </a:srgbClr>
                              </a:clrTo>
                            </a:clrChange>
                          </a:blip>
                          <a:srcRect l="4703" t="1938" r="3658" b="16434"/>
                          <a:stretch>
                            <a:fillRect/>
                          </a:stretch>
                        </pic:blipFill>
                        <pic:spPr>
                          <a:xfrm>
                            <a:off x="0" y="0"/>
                            <a:ext cx="1729105" cy="415290"/>
                          </a:xfrm>
                          <a:prstGeom prst="rect">
                            <a:avLst/>
                          </a:prstGeom>
                          <a:noFill/>
                          <a:ln>
                            <a:noFill/>
                          </a:ln>
                        </pic:spPr>
                      </pic:pic>
                    </a:graphicData>
                  </a:graphic>
                </wp:inline>
              </w:drawing>
            </w:r>
          </w:p>
          <w:p w14:paraId="55EB04F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式中: Lpi (r)—预测点(r) 处，第i倍频带A声级，dB；</w:t>
            </w:r>
          </w:p>
          <w:p w14:paraId="5092F72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mc:AlternateContent>
                <mc:Choice Requires="wps">
                  <w:drawing>
                    <wp:inline distT="0" distB="0" distL="114300" distR="114300">
                      <wp:extent cx="75565" cy="95250"/>
                      <wp:effectExtent l="6985" t="12700" r="12700" b="6350"/>
                      <wp:docPr id="7" name="等腰三角形 7"/>
                      <wp:cNvGraphicFramePr/>
                      <a:graphic xmlns:a="http://schemas.openxmlformats.org/drawingml/2006/main">
                        <a:graphicData uri="http://schemas.microsoft.com/office/word/2010/wordprocessingShape">
                          <wps:wsp>
                            <wps:cNvSpPr/>
                            <wps:spPr>
                              <a:xfrm>
                                <a:off x="0" y="0"/>
                                <a:ext cx="75565" cy="9525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a:graphicData>
                      </a:graphic>
                    </wp:inline>
                  </w:drawing>
                </mc:Choice>
                <mc:Fallback>
                  <w:pict>
                    <v:shape id="_x0000_s1026" o:spid="_x0000_s1026" o:spt="5" type="#_x0000_t5" style="height:7.5pt;width:5.95pt;" fillcolor="#FFFFFF" filled="t" stroked="t" coordsize="21600,21600" o:gfxdata="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yIfxjTAAAA&#10;AwEAAA8AAAAAAAAAAQAgAAAAIgAAAGRycy9kb3ducmV2LnhtbFBLAQIUABQAAAAIAIdO4kDcHBYc&#10;IgIAAFQEAAAOAAAAAAAAAAEAIAAAACIBAABkcnMvZTJvRG9jLnhtbFBLBQYAAAAABgAGAFkBAAC2&#10;BQAAAAA=&#10;" adj="10800">
                      <v:fill on="t" focussize="0,0"/>
                      <v:stroke color="#000000" joinstyle="miter"/>
                      <v:imagedata o:title=""/>
                      <o:lock v:ext="edit" aspectratio="f"/>
                      <w10:wrap type="none"/>
                      <w10:anchorlock/>
                    </v:shape>
                  </w:pict>
                </mc:Fallback>
              </mc:AlternateContent>
            </w:r>
            <w:r>
              <w:rPr>
                <w:rFonts w:hint="default" w:ascii="Times New Roman" w:hAnsi="Times New Roman" w:eastAsia="宋体" w:cs="Times New Roman"/>
                <w:color w:val="auto"/>
                <w:lang w:eastAsia="zh-CN"/>
              </w:rPr>
              <w:t>L</w:t>
            </w:r>
            <w:r>
              <w:rPr>
                <w:rFonts w:hint="default" w:ascii="Times New Roman" w:hAnsi="Times New Roman" w:eastAsia="宋体" w:cs="Times New Roman"/>
                <w:color w:val="auto"/>
                <w:lang w:val="en-US" w:eastAsia="zh-CN"/>
              </w:rPr>
              <w:t>i</w:t>
            </w:r>
            <w:r>
              <w:rPr>
                <w:rFonts w:hint="default" w:ascii="Times New Roman" w:hAnsi="Times New Roman" w:eastAsia="宋体" w:cs="Times New Roman"/>
                <w:color w:val="auto"/>
                <w:lang w:eastAsia="zh-CN"/>
              </w:rPr>
              <w:t xml:space="preserve">—第i倍频带的A计权网络修正值，dB. </w:t>
            </w:r>
          </w:p>
          <w:p w14:paraId="68D7333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4.1.3</w:t>
            </w:r>
            <w:r>
              <w:rPr>
                <w:rFonts w:hint="default" w:ascii="Times New Roman" w:hAnsi="Times New Roman" w:eastAsia="宋体" w:cs="Times New Roman"/>
                <w:color w:val="auto"/>
                <w:lang w:eastAsia="zh-CN"/>
              </w:rPr>
              <w:t>）在只考虑几何发散衰减时，可用公式:</w:t>
            </w:r>
          </w:p>
          <w:p w14:paraId="45254A9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w:t>
            </w:r>
            <w:r>
              <w:rPr>
                <w:rFonts w:hint="default" w:ascii="Times New Roman" w:hAnsi="Times New Roman" w:eastAsia="宋体" w:cs="Times New Roman"/>
                <w:color w:val="auto"/>
                <w:lang w:val="en-US" w:eastAsia="zh-CN"/>
              </w:rPr>
              <w:t>A</w:t>
            </w:r>
            <w:r>
              <w:rPr>
                <w:rFonts w:hint="default" w:ascii="Times New Roman" w:hAnsi="Times New Roman" w:eastAsia="宋体" w:cs="Times New Roman"/>
                <w:color w:val="auto"/>
                <w:lang w:eastAsia="zh-CN"/>
              </w:rPr>
              <w:t>(r) =LA (ro)</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Adiv</w:t>
            </w:r>
          </w:p>
          <w:p w14:paraId="7303785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.1.4</w:t>
            </w:r>
            <w:r>
              <w:rPr>
                <w:rFonts w:hint="default" w:ascii="Times New Roman" w:hAnsi="Times New Roman" w:eastAsia="宋体" w:cs="Times New Roman"/>
                <w:color w:val="auto"/>
                <w:lang w:eastAsia="zh-CN"/>
              </w:rPr>
              <w:t>）衰减项的计算</w:t>
            </w:r>
          </w:p>
          <w:p w14:paraId="0A391B0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①点生源的几何发散衰减</w:t>
            </w:r>
          </w:p>
          <w:p w14:paraId="3E33D6D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A、无指向性点声源几何发散衰减:</w:t>
            </w:r>
          </w:p>
          <w:p w14:paraId="35CDC36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 xml:space="preserve">Lp (r) =Lp (ro) </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20lg (r/ro)</w:t>
            </w:r>
          </w:p>
          <w:p w14:paraId="5660D8A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声源处于自由空间:</w:t>
            </w:r>
          </w:p>
          <w:p w14:paraId="5FD0339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 xml:space="preserve">LA (r) =LA (ro) </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20lg (r/ro)</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11</w:t>
            </w:r>
          </w:p>
          <w:p w14:paraId="4FC833F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声源处于半自由空间</w:t>
            </w:r>
          </w:p>
          <w:p w14:paraId="3E72B1B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 xml:space="preserve">LA (r) =LA (ro) </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 xml:space="preserve">20lg (r/ro) </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8</w:t>
            </w:r>
          </w:p>
          <w:p w14:paraId="366B82C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B、指向性点声源几何发散衰减:</w:t>
            </w:r>
          </w:p>
          <w:p w14:paraId="1D341CA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对于自由空间的点声源，其在某一θ方向上距离r处的声压级[Lp (r)θ]:</w:t>
            </w:r>
          </w:p>
          <w:p w14:paraId="0E69836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 (r)θ= Lw- 20lg(</w:t>
            </w:r>
            <w:r>
              <w:rPr>
                <w:rFonts w:hint="default" w:ascii="Times New Roman" w:hAnsi="Times New Roman" w:eastAsia="宋体" w:cs="Times New Roman"/>
                <w:color w:val="auto"/>
                <w:lang w:val="en-US" w:eastAsia="zh-CN"/>
              </w:rPr>
              <w:t>r</w:t>
            </w:r>
            <w:r>
              <w:rPr>
                <w:rFonts w:hint="default" w:ascii="Times New Roman" w:hAnsi="Times New Roman" w:eastAsia="宋体" w:cs="Times New Roman"/>
                <w:color w:val="auto"/>
                <w:lang w:eastAsia="zh-CN"/>
              </w:rPr>
              <w:t>)+ D1θ-11</w:t>
            </w:r>
          </w:p>
          <w:p w14:paraId="1DCABB0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 xml:space="preserve">Lp(r)θ—自由空间的点声源在某一θ方向上距离r处的声压级，dB； </w:t>
            </w:r>
          </w:p>
          <w:p w14:paraId="4BDA48F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 xml:space="preserve">Lw—点声源声功率级（A计权或倍频带），dB； </w:t>
            </w:r>
          </w:p>
          <w:p w14:paraId="4A48CAA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 xml:space="preserve">r —预测点距声源的距离； </w:t>
            </w:r>
          </w:p>
          <w:p w14:paraId="4EB8449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DIθ—θ方向上的指向性指数，DIθ</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 xml:space="preserve"> </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eastAsia="zh-CN"/>
              </w:rPr>
              <w:t>0lg</w:t>
            </w:r>
            <w:r>
              <w:rPr>
                <w:rFonts w:hint="default" w:ascii="Times New Roman" w:hAnsi="Times New Roman" w:eastAsia="宋体" w:cs="Times New Roman"/>
                <w:color w:val="auto"/>
                <w:lang w:val="en-US" w:eastAsia="zh-CN"/>
              </w:rPr>
              <w:t>R</w:t>
            </w:r>
            <w:r>
              <w:rPr>
                <w:rFonts w:hint="default" w:ascii="Times New Roman" w:hAnsi="Times New Roman" w:eastAsia="宋体" w:cs="Times New Roman"/>
                <w:color w:val="auto"/>
                <w:lang w:eastAsia="zh-CN"/>
              </w:rPr>
              <w:t>θ，其中，Rθ为指向性因数，Rθ=Iθ/I，其中，I为所有方向上的平均声强，W/m</w:t>
            </w:r>
            <w:r>
              <w:rPr>
                <w:rFonts w:hint="default" w:ascii="Times New Roman" w:hAnsi="Times New Roman" w:eastAsia="宋体" w:cs="Times New Roman"/>
                <w:color w:val="auto"/>
                <w:vertAlign w:val="superscript"/>
                <w:lang w:eastAsia="zh-CN"/>
              </w:rPr>
              <w:t>2</w:t>
            </w:r>
            <w:r>
              <w:rPr>
                <w:rFonts w:hint="default" w:ascii="Times New Roman" w:hAnsi="Times New Roman" w:eastAsia="宋体" w:cs="Times New Roman"/>
                <w:color w:val="auto"/>
                <w:lang w:eastAsia="zh-CN"/>
              </w:rPr>
              <w:t>，Iθ为某一θ方向上的声强，W/m</w:t>
            </w:r>
            <w:r>
              <w:rPr>
                <w:rFonts w:hint="default" w:ascii="Times New Roman" w:hAnsi="Times New Roman" w:eastAsia="宋体" w:cs="Times New Roman"/>
                <w:color w:val="auto"/>
                <w:vertAlign w:val="superscript"/>
                <w:lang w:eastAsia="zh-CN"/>
              </w:rPr>
              <w:t>2</w:t>
            </w:r>
            <w:r>
              <w:rPr>
                <w:rFonts w:hint="default" w:ascii="Times New Roman" w:hAnsi="Times New Roman" w:eastAsia="宋体" w:cs="Times New Roman"/>
                <w:color w:val="auto"/>
                <w:lang w:eastAsia="zh-CN"/>
              </w:rPr>
              <w:t>。</w:t>
            </w:r>
          </w:p>
          <w:p w14:paraId="074B43C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②线声源的几何发散衰减</w:t>
            </w:r>
          </w:p>
          <w:p w14:paraId="50713C3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无限长线声源几何发散衰减的基本公式:</w:t>
            </w:r>
          </w:p>
          <w:p w14:paraId="3A07AF6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Lp(r)= Lp(</w:t>
            </w:r>
            <w:r>
              <w:rPr>
                <w:rFonts w:hint="default" w:ascii="Times New Roman" w:hAnsi="Times New Roman" w:eastAsia="宋体" w:cs="Times New Roman"/>
                <w:color w:val="auto"/>
                <w:lang w:val="en-US" w:eastAsia="zh-CN"/>
              </w:rPr>
              <w:t>r0</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eastAsia="zh-CN"/>
              </w:rPr>
              <w:t>0lg(r/r</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lang w:eastAsia="zh-CN"/>
              </w:rPr>
              <w:t>)</w:t>
            </w:r>
          </w:p>
          <w:p w14:paraId="632877F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有限长线声源:</w:t>
            </w:r>
          </w:p>
          <w:p w14:paraId="321C979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2072005" cy="469900"/>
                  <wp:effectExtent l="0" t="0" r="4445" b="635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8">
                            <a:clrChange>
                              <a:clrFrom>
                                <a:srgbClr val="CCDEC2"/>
                              </a:clrFrom>
                              <a:clrTo>
                                <a:srgbClr val="CCDEC2">
                                  <a:alpha val="0"/>
                                </a:srgbClr>
                              </a:clrTo>
                            </a:clrChange>
                            <a:biLevel thresh="50000"/>
                            <a:grayscl/>
                            <a:lum bright="6000" contrast="-36000"/>
                          </a:blip>
                          <a:stretch>
                            <a:fillRect/>
                          </a:stretch>
                        </pic:blipFill>
                        <pic:spPr>
                          <a:xfrm>
                            <a:off x="0" y="0"/>
                            <a:ext cx="2072005" cy="469900"/>
                          </a:xfrm>
                          <a:prstGeom prst="rect">
                            <a:avLst/>
                          </a:prstGeom>
                          <a:noFill/>
                          <a:ln>
                            <a:noFill/>
                          </a:ln>
                        </pic:spPr>
                      </pic:pic>
                    </a:graphicData>
                  </a:graphic>
                </wp:inline>
              </w:drawing>
            </w:r>
          </w:p>
          <w:p w14:paraId="341916F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③面声源的几何发散衰减</w:t>
            </w:r>
          </w:p>
          <w:p w14:paraId="2BA2727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一个大型机器设备的振动表面，车间透声的墙壁，均可以认为是面声源。如果已知面声源单位面积的声功率为W,各面积元噪声的位相是随机的，面声源可看作由无数点声源连续分布组合而成，其合成声级可按能量叠加法求出。</w:t>
            </w:r>
          </w:p>
          <w:p w14:paraId="27A08C1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当预测点和面声源中心距离r处于以下条件时，可按下述方法近似计算: r&lt;a/π时，几乎不衰减( A</w:t>
            </w:r>
            <w:r>
              <w:rPr>
                <w:rFonts w:hint="default" w:ascii="Times New Roman" w:hAnsi="Times New Roman" w:eastAsia="宋体" w:cs="Times New Roman"/>
                <w:color w:val="auto"/>
                <w:lang w:val="en-US" w:eastAsia="zh-CN"/>
              </w:rPr>
              <w:t>d</w:t>
            </w:r>
            <w:r>
              <w:rPr>
                <w:rFonts w:hint="default" w:ascii="Times New Roman" w:hAnsi="Times New Roman" w:eastAsia="宋体" w:cs="Times New Roman"/>
                <w:color w:val="auto"/>
                <w:lang w:eastAsia="zh-CN"/>
              </w:rPr>
              <w:t>iv=0)；当a/π&lt;r&lt;b/π，距离加倍衰减3dB左右，类似线声源衰减特性(A</w:t>
            </w:r>
            <w:r>
              <w:rPr>
                <w:rFonts w:hint="default" w:ascii="Times New Roman" w:hAnsi="Times New Roman" w:eastAsia="宋体" w:cs="Times New Roman"/>
                <w:color w:val="auto"/>
                <w:lang w:val="en-US" w:eastAsia="zh-CN"/>
              </w:rPr>
              <w:t>d</w:t>
            </w:r>
            <w:r>
              <w:rPr>
                <w:rFonts w:hint="default" w:ascii="Times New Roman" w:hAnsi="Times New Roman" w:eastAsia="宋体" w:cs="Times New Roman"/>
                <w:color w:val="auto"/>
                <w:lang w:eastAsia="zh-CN"/>
              </w:rPr>
              <w:t>ir≈</w:t>
            </w:r>
            <w:r>
              <w:rPr>
                <w:rFonts w:hint="default" w:ascii="Times New Roman" w:hAnsi="Times New Roman" w:eastAsia="宋体" w:cs="Times New Roman"/>
                <w:color w:val="auto"/>
                <w:lang w:val="en-US" w:eastAsia="zh-CN"/>
              </w:rPr>
              <w:t>10</w:t>
            </w:r>
            <w:r>
              <w:rPr>
                <w:rFonts w:hint="default" w:ascii="Times New Roman" w:hAnsi="Times New Roman" w:eastAsia="宋体" w:cs="Times New Roman"/>
                <w:color w:val="auto"/>
                <w:lang w:eastAsia="zh-CN"/>
              </w:rPr>
              <w:t>lg (r/r</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lang w:eastAsia="zh-CN"/>
              </w:rPr>
              <w:t>) ) ；当r&gt;b/π时，距离加倍衰减趋近于6dB，类似点声源衰减特性( Adiv≈20lg(r/r</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lang w:eastAsia="zh-CN"/>
              </w:rPr>
              <w:t xml:space="preserve">) )。其中面声源的b&gt;a。 </w:t>
            </w:r>
          </w:p>
          <w:p w14:paraId="28033B9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）室内声源等效室外声源声功率级计算方法：</w:t>
            </w:r>
          </w:p>
          <w:p w14:paraId="00796D2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声源位于室内，室内声源可采用等效室外声源声功率级法进行计算。设靠近开口处(或窗户)室内、室外某倍频带的声压级分别为Lp</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eastAsia="zh-CN"/>
              </w:rPr>
              <w:t>和Lp2。若声源所在室内声场为近似扩散声场，则室外的倍频带声压级可按下列公式近似求出：</w:t>
            </w:r>
          </w:p>
          <w:p w14:paraId="4D90DD5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Lp2=Lp1-(TL+6)</w:t>
            </w:r>
          </w:p>
          <w:p w14:paraId="0D64D3B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Lp1—靠近开口处(或窗户)室内某倍频带的声压级或A声级，dB；</w:t>
            </w:r>
          </w:p>
          <w:p w14:paraId="112C67E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Lp2—靠近开口处(或窗户)室外某倍频带的声压级或A声级，dB；</w:t>
            </w:r>
          </w:p>
          <w:p w14:paraId="51F31D7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TL—隔墙(或窗户)倍频带或A声级的隔声量，dB.</w:t>
            </w:r>
          </w:p>
          <w:p w14:paraId="0A3501D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也可按下列公式计算某一室内声源靠近围护结构处产生的倍频带声压级或A声级：</w:t>
            </w:r>
          </w:p>
          <w:p w14:paraId="73074FE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LP1=LW+1</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lang w:eastAsia="zh-CN"/>
              </w:rPr>
              <w:t>g(Q/4π</w:t>
            </w:r>
            <w:r>
              <w:rPr>
                <w:rFonts w:hint="default" w:ascii="Times New Roman" w:hAnsi="Times New Roman" w:eastAsia="宋体" w:cs="Times New Roman"/>
                <w:color w:val="auto"/>
                <w:lang w:val="en-US" w:eastAsia="zh-CN"/>
              </w:rPr>
              <w:t>r</w:t>
            </w:r>
            <w:r>
              <w:rPr>
                <w:rFonts w:hint="default" w:ascii="Times New Roman" w:hAnsi="Times New Roman" w:eastAsia="宋体" w:cs="Times New Roman"/>
                <w:color w:val="auto"/>
                <w:vertAlign w:val="superscript"/>
                <w:lang w:eastAsia="zh-CN"/>
              </w:rPr>
              <w:t>2</w:t>
            </w:r>
            <w:r>
              <w:rPr>
                <w:rFonts w:hint="default" w:ascii="Times New Roman" w:hAnsi="Times New Roman" w:eastAsia="宋体" w:cs="Times New Roman"/>
                <w:color w:val="auto"/>
                <w:lang w:eastAsia="zh-CN"/>
              </w:rPr>
              <w:t>+4/R)</w:t>
            </w:r>
          </w:p>
          <w:p w14:paraId="3BF5F3A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式中：LP1-—靠近开口处(或窗户)室内某倍频带的声压级或A声级，dB；</w:t>
            </w:r>
          </w:p>
          <w:p w14:paraId="41BC5FA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Lw—点声源声功率级( A计权或倍频带)，dB；</w:t>
            </w:r>
          </w:p>
          <w:p w14:paraId="37D05C2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Q—指向性因数；通常对无指向性声源，当声源放在房间中心时，Q=1；当放在一面墙的中心时，Q=2；当放在两面墙夹角处时，Q=4；当放在三面墙夹角处时，Q=8。</w:t>
            </w:r>
          </w:p>
          <w:p w14:paraId="54DB4AE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R—房间常数；R=</w:t>
            </w:r>
            <w:r>
              <w:rPr>
                <w:rFonts w:hint="default" w:ascii="Times New Roman" w:hAnsi="Times New Roman" w:eastAsia="宋体" w:cs="Times New Roman"/>
                <w:color w:val="auto"/>
                <w:lang w:val="en-US" w:eastAsia="zh-CN"/>
              </w:rPr>
              <w:t>S</w:t>
            </w:r>
            <w:r>
              <w:rPr>
                <w:rFonts w:hint="default" w:ascii="Times New Roman" w:hAnsi="Times New Roman" w:eastAsia="宋体" w:cs="Times New Roman"/>
                <w:color w:val="auto"/>
                <w:lang w:eastAsia="zh-CN"/>
              </w:rPr>
              <w:t>α/(1-α)，S为房间内表面面积，m</w:t>
            </w:r>
            <w:r>
              <w:rPr>
                <w:rFonts w:hint="default" w:ascii="Times New Roman" w:hAnsi="Times New Roman" w:eastAsia="宋体" w:cs="Times New Roman"/>
                <w:color w:val="auto"/>
                <w:vertAlign w:val="superscript"/>
                <w:lang w:eastAsia="zh-CN"/>
              </w:rPr>
              <w:t>2</w:t>
            </w:r>
            <w:r>
              <w:rPr>
                <w:rFonts w:hint="default" w:ascii="Times New Roman" w:hAnsi="Times New Roman" w:eastAsia="宋体" w:cs="Times New Roman"/>
                <w:color w:val="auto"/>
                <w:lang w:eastAsia="zh-CN"/>
              </w:rPr>
              <w:t>；α为平均吸声系数；</w:t>
            </w:r>
          </w:p>
          <w:p w14:paraId="0DCAACE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r—声源到靠近围护结构某点处的距离，m。</w:t>
            </w:r>
          </w:p>
          <w:p w14:paraId="1C66CA0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然后按下列公式计算出所有室内声源在围护结构处产生的i倍频带叠加声压级:</w:t>
            </w:r>
          </w:p>
          <w:p w14:paraId="22CF639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drawing>
                <wp:inline distT="0" distB="0" distL="114300" distR="114300">
                  <wp:extent cx="1480185" cy="429260"/>
                  <wp:effectExtent l="0" t="0" r="0" b="825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9">
                            <a:clrChange>
                              <a:clrFrom>
                                <a:srgbClr val="CDDEC2"/>
                              </a:clrFrom>
                              <a:clrTo>
                                <a:srgbClr val="CDDEC2">
                                  <a:alpha val="0"/>
                                </a:srgbClr>
                              </a:clrTo>
                            </a:clrChange>
                          </a:blip>
                          <a:stretch>
                            <a:fillRect/>
                          </a:stretch>
                        </pic:blipFill>
                        <pic:spPr>
                          <a:xfrm>
                            <a:off x="0" y="0"/>
                            <a:ext cx="1480185" cy="429260"/>
                          </a:xfrm>
                          <a:prstGeom prst="rect">
                            <a:avLst/>
                          </a:prstGeom>
                          <a:noFill/>
                          <a:ln>
                            <a:noFill/>
                          </a:ln>
                        </pic:spPr>
                      </pic:pic>
                    </a:graphicData>
                  </a:graphic>
                </wp:inline>
              </w:drawing>
            </w:r>
          </w:p>
          <w:p w14:paraId="78FC7EE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式中: Lpli (T)—靠近围护结构处室内N个声源i倍频带的叠加声压级，dB；</w:t>
            </w:r>
          </w:p>
          <w:p w14:paraId="202A3E8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Lplj—室内j声源i倍频带的声压级，dB；</w:t>
            </w:r>
          </w:p>
          <w:p w14:paraId="3D3B2B2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N—室内声源总数。</w:t>
            </w:r>
          </w:p>
          <w:p w14:paraId="1F79C47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在室内近似为扩散声场时，按下列公式计算出靠近室外围护结构处的声压级:</w:t>
            </w:r>
          </w:p>
          <w:p w14:paraId="3B50E38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Lp2i (T) =Lpli (T)一(T</w:t>
            </w:r>
            <w:r>
              <w:rPr>
                <w:rFonts w:hint="default" w:ascii="Times New Roman" w:hAnsi="Times New Roman" w:eastAsia="宋体" w:cs="Times New Roman"/>
                <w:color w:val="auto"/>
                <w:lang w:val="en-US" w:eastAsia="zh-CN"/>
              </w:rPr>
              <w:t>Li</w:t>
            </w:r>
            <w:r>
              <w:rPr>
                <w:rFonts w:hint="default" w:ascii="Times New Roman" w:hAnsi="Times New Roman" w:eastAsia="宋体" w:cs="Times New Roman"/>
                <w:color w:val="auto"/>
                <w:lang w:eastAsia="zh-CN"/>
              </w:rPr>
              <w:t>+6)</w:t>
            </w:r>
          </w:p>
          <w:p w14:paraId="6E1F2C3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式中: Lp2i (T)—靠近围护结构处室外N个声源i倍频带的叠加声压级，dB；</w:t>
            </w:r>
          </w:p>
          <w:p w14:paraId="38B7A49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Lpli (T)—靠近围护结构处室内N个声源i倍频带的叠加声压级，dB；</w:t>
            </w:r>
          </w:p>
          <w:p w14:paraId="389BF8F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T</w:t>
            </w:r>
            <w:r>
              <w:rPr>
                <w:rFonts w:hint="default" w:ascii="Times New Roman" w:hAnsi="Times New Roman" w:eastAsia="宋体" w:cs="Times New Roman"/>
                <w:color w:val="auto"/>
                <w:lang w:val="en-US" w:eastAsia="zh-CN"/>
              </w:rPr>
              <w:t>Li</w:t>
            </w:r>
            <w:r>
              <w:rPr>
                <w:rFonts w:hint="default" w:ascii="Times New Roman" w:hAnsi="Times New Roman" w:eastAsia="宋体" w:cs="Times New Roman"/>
                <w:color w:val="auto"/>
                <w:lang w:eastAsia="zh-CN"/>
              </w:rPr>
              <w:t>—围护结构i倍频带的隔声量，dB.</w:t>
            </w:r>
          </w:p>
          <w:p w14:paraId="5979704B">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然后按下列公式将室外声源的声压级和透过面积换算成等效的室外声源，计算出中心位置位于透声面积(S)处的等效声源的倍频带声功率级。</w:t>
            </w:r>
          </w:p>
          <w:p w14:paraId="07AF67D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Lw=Lp2 (T) +10lgS</w:t>
            </w:r>
          </w:p>
          <w:p w14:paraId="30D7540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 xml:space="preserve">式中: Lw—中心位置位于透声面积(S)处的等效声源的倍频带声功率，dB； </w:t>
            </w:r>
          </w:p>
          <w:p w14:paraId="20A11AB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Lp2 (T)—靠近围护结构处室外声源的声压级，dB；</w:t>
            </w:r>
          </w:p>
          <w:p w14:paraId="3B3370C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S—透声面积，m</w:t>
            </w:r>
            <w:r>
              <w:rPr>
                <w:rFonts w:hint="default" w:ascii="Times New Roman" w:hAnsi="Times New Roman" w:eastAsia="宋体" w:cs="Times New Roman"/>
                <w:color w:val="auto"/>
                <w:vertAlign w:val="superscript"/>
                <w:lang w:eastAsia="zh-CN"/>
              </w:rPr>
              <w:t>2</w:t>
            </w:r>
            <w:r>
              <w:rPr>
                <w:rFonts w:hint="default" w:ascii="Times New Roman" w:hAnsi="Times New Roman" w:eastAsia="宋体" w:cs="Times New Roman"/>
                <w:color w:val="auto"/>
                <w:lang w:eastAsia="zh-CN"/>
              </w:rPr>
              <w:t>。</w:t>
            </w:r>
          </w:p>
          <w:p w14:paraId="2FE2B7A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然后按室外声源预测方法计算预测点处的A声级。</w:t>
            </w:r>
          </w:p>
          <w:p w14:paraId="6E71C35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lang w:eastAsia="zh-CN"/>
              </w:rPr>
              <w:t>）靠近声源处的预测点噪声预测模式</w:t>
            </w:r>
          </w:p>
          <w:p w14:paraId="506610DD">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如预测点在靠近声源处，但不能满足点声源条件时，需按线声源或面声源模式计算。</w:t>
            </w:r>
          </w:p>
          <w:p w14:paraId="291689C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lang w:eastAsia="zh-CN"/>
              </w:rPr>
              <w:t>）工业企业噪声计算</w:t>
            </w:r>
          </w:p>
          <w:p w14:paraId="79B6112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设第i个室外声源在预测点产生的A声级为LA</w:t>
            </w:r>
            <w:r>
              <w:rPr>
                <w:rFonts w:hint="default" w:ascii="Times New Roman" w:hAnsi="Times New Roman" w:eastAsia="宋体" w:cs="Times New Roman"/>
                <w:color w:val="auto"/>
                <w:lang w:val="en-US" w:eastAsia="zh-CN"/>
              </w:rPr>
              <w:t>i</w:t>
            </w:r>
            <w:r>
              <w:rPr>
                <w:rFonts w:hint="default" w:ascii="Times New Roman" w:hAnsi="Times New Roman" w:eastAsia="宋体" w:cs="Times New Roman"/>
                <w:color w:val="auto"/>
                <w:lang w:eastAsia="zh-CN"/>
              </w:rPr>
              <w:t>，在T时间内该声源工作时间为t</w:t>
            </w:r>
            <w:r>
              <w:rPr>
                <w:rFonts w:hint="default" w:ascii="Times New Roman" w:hAnsi="Times New Roman" w:eastAsia="宋体" w:cs="Times New Roman"/>
                <w:color w:val="auto"/>
                <w:lang w:val="en-US" w:eastAsia="zh-CN"/>
              </w:rPr>
              <w:t>i</w:t>
            </w:r>
            <w:r>
              <w:rPr>
                <w:rFonts w:hint="default" w:ascii="Times New Roman" w:hAnsi="Times New Roman" w:eastAsia="宋体" w:cs="Times New Roman"/>
                <w:color w:val="auto"/>
                <w:lang w:eastAsia="zh-CN"/>
              </w:rPr>
              <w:t>；第j个等效室外声源在预测点产生的A声级为L</w:t>
            </w:r>
            <w:r>
              <w:rPr>
                <w:rFonts w:hint="default" w:ascii="Times New Roman" w:hAnsi="Times New Roman" w:eastAsia="宋体" w:cs="Times New Roman"/>
                <w:color w:val="auto"/>
                <w:lang w:val="en-US" w:eastAsia="zh-CN"/>
              </w:rPr>
              <w:t>Aj</w:t>
            </w:r>
            <w:r>
              <w:rPr>
                <w:rFonts w:hint="default" w:ascii="Times New Roman" w:hAnsi="Times New Roman" w:eastAsia="宋体" w:cs="Times New Roman"/>
                <w:color w:val="auto"/>
                <w:lang w:eastAsia="zh-CN"/>
              </w:rPr>
              <w:t>；在T时间内该声源工作时间为t</w:t>
            </w:r>
            <w:r>
              <w:rPr>
                <w:rFonts w:hint="default" w:ascii="Times New Roman" w:hAnsi="Times New Roman" w:eastAsia="宋体" w:cs="Times New Roman"/>
                <w:color w:val="auto"/>
                <w:lang w:val="en-US" w:eastAsia="zh-CN"/>
              </w:rPr>
              <w:t>j</w:t>
            </w:r>
            <w:r>
              <w:rPr>
                <w:rFonts w:hint="default" w:ascii="Times New Roman" w:hAnsi="Times New Roman" w:eastAsia="宋体" w:cs="Times New Roman"/>
                <w:color w:val="auto"/>
                <w:lang w:eastAsia="zh-CN"/>
              </w:rPr>
              <w:t>，则拟建工程声源对预测点产生的贡献值(Leqg) 为:</w:t>
            </w:r>
          </w:p>
          <w:p w14:paraId="214EDE4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2576195" cy="507365"/>
                  <wp:effectExtent l="0" t="0" r="0" b="571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0">
                            <a:clrChange>
                              <a:clrFrom>
                                <a:srgbClr val="CDDEC2"/>
                              </a:clrFrom>
                              <a:clrTo>
                                <a:srgbClr val="CDDEC2">
                                  <a:alpha val="0"/>
                                </a:srgbClr>
                              </a:clrTo>
                            </a:clrChange>
                          </a:blip>
                          <a:srcRect t="15807"/>
                          <a:stretch>
                            <a:fillRect/>
                          </a:stretch>
                        </pic:blipFill>
                        <pic:spPr>
                          <a:xfrm>
                            <a:off x="0" y="0"/>
                            <a:ext cx="2576195" cy="507365"/>
                          </a:xfrm>
                          <a:prstGeom prst="rect">
                            <a:avLst/>
                          </a:prstGeom>
                          <a:noFill/>
                          <a:ln>
                            <a:noFill/>
                          </a:ln>
                        </pic:spPr>
                      </pic:pic>
                    </a:graphicData>
                  </a:graphic>
                </wp:inline>
              </w:drawing>
            </w:r>
          </w:p>
          <w:p w14:paraId="23B3C93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式中: Le</w:t>
            </w:r>
            <w:r>
              <w:rPr>
                <w:rFonts w:hint="default" w:ascii="Times New Roman" w:hAnsi="Times New Roman" w:eastAsia="宋体" w:cs="Times New Roman"/>
                <w:color w:val="auto"/>
                <w:lang w:val="en-US" w:eastAsia="zh-CN"/>
              </w:rPr>
              <w:t>q</w:t>
            </w:r>
            <w:r>
              <w:rPr>
                <w:rFonts w:hint="default" w:ascii="Times New Roman" w:hAnsi="Times New Roman" w:eastAsia="宋体" w:cs="Times New Roman"/>
                <w:color w:val="auto"/>
                <w:lang w:eastAsia="zh-CN"/>
              </w:rPr>
              <w:t>g—建设项目声源在预测点的等效声级贡献值，dB (A) ；</w:t>
            </w:r>
          </w:p>
          <w:p w14:paraId="14524CF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T—用于计算等效声级的时间，s；</w:t>
            </w:r>
          </w:p>
          <w:p w14:paraId="06A2025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N—室外声源个数；</w:t>
            </w:r>
          </w:p>
          <w:p w14:paraId="3C6C05C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t</w:t>
            </w:r>
            <w:r>
              <w:rPr>
                <w:rFonts w:hint="default" w:ascii="Times New Roman" w:hAnsi="Times New Roman" w:eastAsia="宋体" w:cs="Times New Roman"/>
                <w:color w:val="auto"/>
                <w:lang w:val="en-US" w:eastAsia="zh-CN"/>
              </w:rPr>
              <w:t>i</w:t>
            </w:r>
            <w:r>
              <w:rPr>
                <w:rFonts w:hint="default" w:ascii="Times New Roman" w:hAnsi="Times New Roman" w:eastAsia="宋体" w:cs="Times New Roman"/>
                <w:color w:val="auto"/>
                <w:lang w:eastAsia="zh-CN"/>
              </w:rPr>
              <w:t>—在T时间内i声源工作时间，s；</w:t>
            </w:r>
          </w:p>
          <w:p w14:paraId="0E9056D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M—等效室外声源个数；</w:t>
            </w:r>
          </w:p>
          <w:p w14:paraId="4855C13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t</w:t>
            </w:r>
            <w:r>
              <w:rPr>
                <w:rFonts w:hint="default" w:ascii="Times New Roman" w:hAnsi="Times New Roman" w:eastAsia="宋体" w:cs="Times New Roman"/>
                <w:color w:val="auto"/>
                <w:lang w:val="en-US" w:eastAsia="zh-CN"/>
              </w:rPr>
              <w:t>j</w:t>
            </w:r>
            <w:r>
              <w:rPr>
                <w:rFonts w:hint="default" w:ascii="Times New Roman" w:hAnsi="Times New Roman" w:eastAsia="宋体" w:cs="Times New Roman"/>
                <w:color w:val="auto"/>
                <w:lang w:eastAsia="zh-CN"/>
              </w:rPr>
              <w:t>—在T时间内j声源工作时间，</w:t>
            </w:r>
            <w:r>
              <w:rPr>
                <w:rFonts w:hint="default" w:ascii="Times New Roman" w:hAnsi="Times New Roman" w:eastAsia="宋体" w:cs="Times New Roman"/>
                <w:color w:val="auto"/>
                <w:lang w:val="en-US" w:eastAsia="zh-CN"/>
              </w:rPr>
              <w:t>s</w:t>
            </w:r>
            <w:r>
              <w:rPr>
                <w:rFonts w:hint="default" w:ascii="Times New Roman" w:hAnsi="Times New Roman" w:eastAsia="宋体" w:cs="Times New Roman"/>
                <w:color w:val="auto"/>
                <w:lang w:eastAsia="zh-CN"/>
              </w:rPr>
              <w:t>。</w:t>
            </w:r>
          </w:p>
          <w:p w14:paraId="22816307">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eastAsia" w:ascii="Times New Roman" w:hAnsi="Times New Roman" w:cs="Times New Roman"/>
                <w:color w:val="auto"/>
                <w:lang w:val="en-US" w:eastAsia="zh-CN"/>
              </w:rPr>
              <w:t>4</w:t>
            </w:r>
            <w:r>
              <w:rPr>
                <w:rFonts w:hint="default" w:ascii="Times New Roman" w:hAnsi="Times New Roman" w:eastAsia="宋体" w:cs="Times New Roman"/>
                <w:color w:val="auto"/>
                <w:lang w:eastAsia="zh-CN"/>
              </w:rPr>
              <w:t>）预测结果及评价</w:t>
            </w:r>
          </w:p>
          <w:p w14:paraId="4605C226">
            <w:pPr>
              <w:pStyle w:val="23"/>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w:t>
            </w:r>
            <w:r>
              <w:rPr>
                <w:rFonts w:hint="eastAsia" w:ascii="Times New Roman" w:hAnsi="Times New Roman" w:cs="Times New Roman"/>
                <w:b/>
                <w:bCs w:val="0"/>
                <w:color w:val="auto"/>
                <w:sz w:val="24"/>
                <w:szCs w:val="24"/>
                <w:highlight w:val="none"/>
                <w:lang w:val="en-US" w:eastAsia="zh-CN"/>
              </w:rPr>
              <w:t>10</w:t>
            </w:r>
            <w:r>
              <w:rPr>
                <w:rFonts w:hint="default" w:ascii="Times New Roman" w:hAnsi="Times New Roman" w:eastAsia="宋体" w:cs="Times New Roman"/>
                <w:b/>
                <w:bCs w:val="0"/>
                <w:color w:val="auto"/>
                <w:sz w:val="24"/>
                <w:szCs w:val="24"/>
                <w:highlight w:val="none"/>
                <w:lang w:val="en-US" w:eastAsia="zh-CN"/>
              </w:rPr>
              <w:t>主要噪声源距离厂界距离一览表</w:t>
            </w:r>
          </w:p>
          <w:tbl>
            <w:tblPr>
              <w:tblStyle w:val="16"/>
              <w:tblW w:w="1303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02"/>
              <w:gridCol w:w="1528"/>
              <w:gridCol w:w="1330"/>
              <w:gridCol w:w="1331"/>
              <w:gridCol w:w="1331"/>
              <w:gridCol w:w="1331"/>
              <w:gridCol w:w="1421"/>
              <w:gridCol w:w="1302"/>
              <w:gridCol w:w="1331"/>
              <w:gridCol w:w="1332"/>
            </w:tblGrid>
            <w:tr w14:paraId="37983B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restart"/>
                  <w:tcBorders>
                    <w:tl2br w:val="nil"/>
                    <w:tr2bl w:val="nil"/>
                  </w:tcBorders>
                  <w:noWrap w:val="0"/>
                  <w:vAlign w:val="center"/>
                </w:tcPr>
                <w:p w14:paraId="473C274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序号</w:t>
                  </w:r>
                </w:p>
              </w:tc>
              <w:tc>
                <w:tcPr>
                  <w:tcW w:w="1528" w:type="dxa"/>
                  <w:vMerge w:val="restart"/>
                  <w:tcBorders>
                    <w:tl2br w:val="nil"/>
                    <w:tr2bl w:val="nil"/>
                  </w:tcBorders>
                  <w:noWrap w:val="0"/>
                  <w:vAlign w:val="center"/>
                </w:tcPr>
                <w:p w14:paraId="7BCAD70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噪声源</w:t>
                  </w:r>
                </w:p>
              </w:tc>
              <w:tc>
                <w:tcPr>
                  <w:tcW w:w="5323" w:type="dxa"/>
                  <w:gridSpan w:val="4"/>
                  <w:tcBorders>
                    <w:tl2br w:val="nil"/>
                    <w:tr2bl w:val="nil"/>
                  </w:tcBorders>
                  <w:noWrap w:val="0"/>
                  <w:vAlign w:val="center"/>
                </w:tcPr>
                <w:p w14:paraId="06F037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建筑物外噪声声压级/ dB（A）</w:t>
                  </w:r>
                </w:p>
              </w:tc>
              <w:tc>
                <w:tcPr>
                  <w:tcW w:w="5386" w:type="dxa"/>
                  <w:gridSpan w:val="4"/>
                  <w:tcBorders>
                    <w:tl2br w:val="nil"/>
                    <w:tr2bl w:val="nil"/>
                  </w:tcBorders>
                  <w:noWrap w:val="0"/>
                  <w:vAlign w:val="center"/>
                </w:tcPr>
                <w:p w14:paraId="54AEC92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与厂界距离（</w:t>
                  </w:r>
                  <w:r>
                    <w:rPr>
                      <w:rFonts w:hint="default" w:ascii="Times New Roman" w:hAnsi="Times New Roman" w:eastAsia="宋体"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lang w:eastAsia="zh-CN"/>
                    </w:rPr>
                    <w:t>）</w:t>
                  </w:r>
                </w:p>
              </w:tc>
            </w:tr>
            <w:tr w14:paraId="3B74AC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tcBorders>
                    <w:tl2br w:val="nil"/>
                    <w:tr2bl w:val="nil"/>
                  </w:tcBorders>
                  <w:noWrap w:val="0"/>
                  <w:vAlign w:val="center"/>
                </w:tcPr>
                <w:p w14:paraId="3E2B0CC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1528" w:type="dxa"/>
                  <w:vMerge w:val="continue"/>
                  <w:tcBorders>
                    <w:tl2br w:val="nil"/>
                    <w:tr2bl w:val="nil"/>
                  </w:tcBorders>
                  <w:noWrap w:val="0"/>
                  <w:vAlign w:val="center"/>
                </w:tcPr>
                <w:p w14:paraId="517A332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1330" w:type="dxa"/>
                  <w:tcBorders>
                    <w:tl2br w:val="nil"/>
                    <w:tr2bl w:val="nil"/>
                  </w:tcBorders>
                  <w:noWrap w:val="0"/>
                  <w:vAlign w:val="center"/>
                </w:tcPr>
                <w:p w14:paraId="3BE3DED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东边界</w:t>
                  </w:r>
                </w:p>
              </w:tc>
              <w:tc>
                <w:tcPr>
                  <w:tcW w:w="1331" w:type="dxa"/>
                  <w:tcBorders>
                    <w:tl2br w:val="nil"/>
                    <w:tr2bl w:val="nil"/>
                  </w:tcBorders>
                  <w:noWrap w:val="0"/>
                  <w:vAlign w:val="center"/>
                </w:tcPr>
                <w:p w14:paraId="359E2D6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北边界</w:t>
                  </w:r>
                </w:p>
              </w:tc>
              <w:tc>
                <w:tcPr>
                  <w:tcW w:w="1331" w:type="dxa"/>
                  <w:tcBorders>
                    <w:tl2br w:val="nil"/>
                    <w:tr2bl w:val="nil"/>
                  </w:tcBorders>
                  <w:noWrap w:val="0"/>
                  <w:vAlign w:val="center"/>
                </w:tcPr>
                <w:p w14:paraId="488DDB3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西边界</w:t>
                  </w:r>
                </w:p>
              </w:tc>
              <w:tc>
                <w:tcPr>
                  <w:tcW w:w="1331" w:type="dxa"/>
                  <w:tcBorders>
                    <w:tl2br w:val="nil"/>
                    <w:tr2bl w:val="nil"/>
                  </w:tcBorders>
                  <w:noWrap w:val="0"/>
                  <w:vAlign w:val="center"/>
                </w:tcPr>
                <w:p w14:paraId="5A2B223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南边界</w:t>
                  </w:r>
                </w:p>
              </w:tc>
              <w:tc>
                <w:tcPr>
                  <w:tcW w:w="1421" w:type="dxa"/>
                  <w:tcBorders>
                    <w:tl2br w:val="nil"/>
                    <w:tr2bl w:val="nil"/>
                  </w:tcBorders>
                  <w:noWrap w:val="0"/>
                  <w:vAlign w:val="center"/>
                </w:tcPr>
                <w:p w14:paraId="4984711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东厂界</w:t>
                  </w:r>
                </w:p>
              </w:tc>
              <w:tc>
                <w:tcPr>
                  <w:tcW w:w="1302" w:type="dxa"/>
                  <w:tcBorders>
                    <w:tl2br w:val="nil"/>
                    <w:tr2bl w:val="nil"/>
                  </w:tcBorders>
                  <w:noWrap w:val="0"/>
                  <w:vAlign w:val="center"/>
                </w:tcPr>
                <w:p w14:paraId="7D0C168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北厂界</w:t>
                  </w:r>
                </w:p>
              </w:tc>
              <w:tc>
                <w:tcPr>
                  <w:tcW w:w="1331" w:type="dxa"/>
                  <w:tcBorders>
                    <w:tl2br w:val="nil"/>
                    <w:tr2bl w:val="nil"/>
                  </w:tcBorders>
                  <w:noWrap w:val="0"/>
                  <w:vAlign w:val="center"/>
                </w:tcPr>
                <w:p w14:paraId="36EB144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西厂界</w:t>
                  </w:r>
                </w:p>
              </w:tc>
              <w:tc>
                <w:tcPr>
                  <w:tcW w:w="1332" w:type="dxa"/>
                  <w:tcBorders>
                    <w:tl2br w:val="nil"/>
                    <w:tr2bl w:val="nil"/>
                  </w:tcBorders>
                  <w:noWrap w:val="0"/>
                  <w:vAlign w:val="center"/>
                </w:tcPr>
                <w:p w14:paraId="771AE06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南厂界</w:t>
                  </w:r>
                </w:p>
              </w:tc>
            </w:tr>
            <w:tr w14:paraId="3C53EF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tcBorders>
                    <w:tl2br w:val="nil"/>
                    <w:tr2bl w:val="nil"/>
                  </w:tcBorders>
                  <w:noWrap w:val="0"/>
                  <w:vAlign w:val="center"/>
                </w:tcPr>
                <w:p w14:paraId="64B5860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528" w:type="dxa"/>
                  <w:tcBorders>
                    <w:tl2br w:val="nil"/>
                    <w:tr2bl w:val="nil"/>
                  </w:tcBorders>
                  <w:noWrap w:val="0"/>
                  <w:vAlign w:val="center"/>
                </w:tcPr>
                <w:p w14:paraId="575DCE9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射芯</w:t>
                  </w:r>
                  <w:r>
                    <w:rPr>
                      <w:rFonts w:hint="default" w:ascii="Times New Roman" w:hAnsi="Times New Roman" w:eastAsia="宋体" w:cs="Times New Roman"/>
                      <w:color w:val="auto"/>
                      <w:sz w:val="21"/>
                      <w:szCs w:val="21"/>
                      <w:highlight w:val="none"/>
                      <w:lang w:val="en-US" w:eastAsia="zh-CN"/>
                    </w:rPr>
                    <w:t>车间</w:t>
                  </w:r>
                </w:p>
              </w:tc>
              <w:tc>
                <w:tcPr>
                  <w:tcW w:w="1330" w:type="dxa"/>
                  <w:tcBorders>
                    <w:tl2br w:val="nil"/>
                    <w:tr2bl w:val="nil"/>
                  </w:tcBorders>
                  <w:shd w:val="clear" w:color="auto" w:fill="auto"/>
                  <w:noWrap w:val="0"/>
                  <w:vAlign w:val="center"/>
                </w:tcPr>
                <w:p w14:paraId="2D9402BD">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53.82</w:t>
                  </w:r>
                </w:p>
              </w:tc>
              <w:tc>
                <w:tcPr>
                  <w:tcW w:w="1331" w:type="dxa"/>
                  <w:tcBorders>
                    <w:tl2br w:val="nil"/>
                    <w:tr2bl w:val="nil"/>
                  </w:tcBorders>
                  <w:shd w:val="clear" w:color="auto" w:fill="auto"/>
                  <w:noWrap w:val="0"/>
                  <w:vAlign w:val="center"/>
                </w:tcPr>
                <w:p w14:paraId="6B171B0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63.45</w:t>
                  </w:r>
                </w:p>
              </w:tc>
              <w:tc>
                <w:tcPr>
                  <w:tcW w:w="1331" w:type="dxa"/>
                  <w:tcBorders>
                    <w:tl2br w:val="nil"/>
                    <w:tr2bl w:val="nil"/>
                  </w:tcBorders>
                  <w:shd w:val="clear" w:color="auto" w:fill="auto"/>
                  <w:noWrap w:val="0"/>
                  <w:vAlign w:val="center"/>
                </w:tcPr>
                <w:p w14:paraId="1EB3CA9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39.42</w:t>
                  </w:r>
                </w:p>
              </w:tc>
              <w:tc>
                <w:tcPr>
                  <w:tcW w:w="1331" w:type="dxa"/>
                  <w:tcBorders>
                    <w:tl2br w:val="nil"/>
                    <w:tr2bl w:val="nil"/>
                  </w:tcBorders>
                  <w:shd w:val="clear" w:color="auto" w:fill="auto"/>
                  <w:noWrap w:val="0"/>
                  <w:vAlign w:val="center"/>
                </w:tcPr>
                <w:p w14:paraId="6ED52458">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50.47</w:t>
                  </w:r>
                </w:p>
              </w:tc>
              <w:tc>
                <w:tcPr>
                  <w:tcW w:w="1421" w:type="dxa"/>
                  <w:tcBorders>
                    <w:tl2br w:val="nil"/>
                    <w:tr2bl w:val="nil"/>
                  </w:tcBorders>
                  <w:noWrap w:val="0"/>
                  <w:vAlign w:val="center"/>
                </w:tcPr>
                <w:p w14:paraId="49E96C2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12</w:t>
                  </w:r>
                </w:p>
              </w:tc>
              <w:tc>
                <w:tcPr>
                  <w:tcW w:w="1302" w:type="dxa"/>
                  <w:tcBorders>
                    <w:tl2br w:val="nil"/>
                    <w:tr2bl w:val="nil"/>
                  </w:tcBorders>
                  <w:noWrap w:val="0"/>
                  <w:vAlign w:val="center"/>
                </w:tcPr>
                <w:p w14:paraId="0B9F48E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44</w:t>
                  </w:r>
                </w:p>
              </w:tc>
              <w:tc>
                <w:tcPr>
                  <w:tcW w:w="1331" w:type="dxa"/>
                  <w:tcBorders>
                    <w:tl2br w:val="nil"/>
                    <w:tr2bl w:val="nil"/>
                  </w:tcBorders>
                  <w:noWrap w:val="0"/>
                  <w:vAlign w:val="center"/>
                </w:tcPr>
                <w:p w14:paraId="08B3F93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9</w:t>
                  </w:r>
                </w:p>
              </w:tc>
              <w:tc>
                <w:tcPr>
                  <w:tcW w:w="1332" w:type="dxa"/>
                  <w:tcBorders>
                    <w:tl2br w:val="nil"/>
                    <w:tr2bl w:val="nil"/>
                  </w:tcBorders>
                  <w:noWrap w:val="0"/>
                  <w:vAlign w:val="center"/>
                </w:tcPr>
                <w:p w14:paraId="49DA705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24</w:t>
                  </w:r>
                </w:p>
              </w:tc>
            </w:tr>
            <w:tr w14:paraId="2B5256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tcBorders>
                    <w:tl2br w:val="nil"/>
                    <w:tr2bl w:val="nil"/>
                  </w:tcBorders>
                  <w:noWrap w:val="0"/>
                  <w:vAlign w:val="center"/>
                </w:tcPr>
                <w:p w14:paraId="51888E8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p>
              </w:tc>
              <w:tc>
                <w:tcPr>
                  <w:tcW w:w="1528" w:type="dxa"/>
                  <w:tcBorders>
                    <w:tl2br w:val="nil"/>
                    <w:tr2bl w:val="nil"/>
                  </w:tcBorders>
                  <w:noWrap w:val="0"/>
                  <w:vAlign w:val="center"/>
                </w:tcPr>
                <w:p w14:paraId="1473867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清理</w:t>
                  </w:r>
                  <w:r>
                    <w:rPr>
                      <w:rFonts w:hint="default" w:ascii="Times New Roman" w:hAnsi="Times New Roman" w:eastAsia="宋体" w:cs="Times New Roman"/>
                      <w:color w:val="auto"/>
                      <w:sz w:val="21"/>
                      <w:szCs w:val="21"/>
                      <w:highlight w:val="none"/>
                      <w:lang w:val="en-US" w:eastAsia="zh-CN"/>
                    </w:rPr>
                    <w:t>车间</w:t>
                  </w:r>
                </w:p>
              </w:tc>
              <w:tc>
                <w:tcPr>
                  <w:tcW w:w="1330" w:type="dxa"/>
                  <w:tcBorders>
                    <w:tl2br w:val="nil"/>
                    <w:tr2bl w:val="nil"/>
                  </w:tcBorders>
                  <w:shd w:val="clear" w:color="auto" w:fill="auto"/>
                  <w:noWrap w:val="0"/>
                  <w:vAlign w:val="center"/>
                </w:tcPr>
                <w:p w14:paraId="0BE3B26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45.44</w:t>
                  </w:r>
                </w:p>
              </w:tc>
              <w:tc>
                <w:tcPr>
                  <w:tcW w:w="1331" w:type="dxa"/>
                  <w:tcBorders>
                    <w:tl2br w:val="nil"/>
                    <w:tr2bl w:val="nil"/>
                  </w:tcBorders>
                  <w:shd w:val="clear" w:color="auto" w:fill="auto"/>
                  <w:noWrap w:val="0"/>
                  <w:vAlign w:val="center"/>
                </w:tcPr>
                <w:p w14:paraId="685A132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62.34</w:t>
                  </w:r>
                </w:p>
              </w:tc>
              <w:tc>
                <w:tcPr>
                  <w:tcW w:w="1331" w:type="dxa"/>
                  <w:tcBorders>
                    <w:tl2br w:val="nil"/>
                    <w:tr2bl w:val="nil"/>
                  </w:tcBorders>
                  <w:shd w:val="clear" w:color="auto" w:fill="auto"/>
                  <w:noWrap w:val="0"/>
                  <w:vAlign w:val="center"/>
                </w:tcPr>
                <w:p w14:paraId="38C5E58D">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51.78</w:t>
                  </w:r>
                </w:p>
              </w:tc>
              <w:tc>
                <w:tcPr>
                  <w:tcW w:w="1331" w:type="dxa"/>
                  <w:tcBorders>
                    <w:tl2br w:val="nil"/>
                    <w:tr2bl w:val="nil"/>
                  </w:tcBorders>
                  <w:shd w:val="clear" w:color="auto" w:fill="auto"/>
                  <w:noWrap w:val="0"/>
                  <w:vAlign w:val="center"/>
                </w:tcPr>
                <w:p w14:paraId="0D056BCD">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56.5</w:t>
                  </w:r>
                </w:p>
              </w:tc>
              <w:tc>
                <w:tcPr>
                  <w:tcW w:w="1421" w:type="dxa"/>
                  <w:tcBorders>
                    <w:tl2br w:val="nil"/>
                    <w:tr2bl w:val="nil"/>
                  </w:tcBorders>
                  <w:noWrap w:val="0"/>
                  <w:vAlign w:val="center"/>
                </w:tcPr>
                <w:p w14:paraId="2C20AF7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13</w:t>
                  </w:r>
                </w:p>
              </w:tc>
              <w:tc>
                <w:tcPr>
                  <w:tcW w:w="1302" w:type="dxa"/>
                  <w:tcBorders>
                    <w:tl2br w:val="nil"/>
                    <w:tr2bl w:val="nil"/>
                  </w:tcBorders>
                  <w:noWrap w:val="0"/>
                  <w:vAlign w:val="center"/>
                </w:tcPr>
                <w:p w14:paraId="2C2D45A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33</w:t>
                  </w:r>
                </w:p>
              </w:tc>
              <w:tc>
                <w:tcPr>
                  <w:tcW w:w="1331" w:type="dxa"/>
                  <w:tcBorders>
                    <w:tl2br w:val="nil"/>
                    <w:tr2bl w:val="nil"/>
                  </w:tcBorders>
                  <w:noWrap w:val="0"/>
                  <w:vAlign w:val="center"/>
                </w:tcPr>
                <w:p w14:paraId="283E3A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w:t>
                  </w:r>
                </w:p>
              </w:tc>
              <w:tc>
                <w:tcPr>
                  <w:tcW w:w="1332" w:type="dxa"/>
                  <w:tcBorders>
                    <w:tl2br w:val="nil"/>
                    <w:tr2bl w:val="nil"/>
                  </w:tcBorders>
                  <w:noWrap w:val="0"/>
                  <w:vAlign w:val="center"/>
                </w:tcPr>
                <w:p w14:paraId="0754604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34</w:t>
                  </w:r>
                </w:p>
              </w:tc>
            </w:tr>
            <w:tr w14:paraId="19751E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tcBorders>
                    <w:tl2br w:val="nil"/>
                    <w:tr2bl w:val="nil"/>
                  </w:tcBorders>
                  <w:noWrap w:val="0"/>
                  <w:vAlign w:val="center"/>
                </w:tcPr>
                <w:p w14:paraId="0211321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c>
                <w:tcPr>
                  <w:tcW w:w="1528" w:type="dxa"/>
                  <w:tcBorders>
                    <w:tl2br w:val="nil"/>
                    <w:tr2bl w:val="nil"/>
                  </w:tcBorders>
                  <w:noWrap w:val="0"/>
                  <w:vAlign w:val="center"/>
                </w:tcPr>
                <w:p w14:paraId="722B9F1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混砂车间</w:t>
                  </w:r>
                </w:p>
              </w:tc>
              <w:tc>
                <w:tcPr>
                  <w:tcW w:w="1330" w:type="dxa"/>
                  <w:tcBorders>
                    <w:tl2br w:val="nil"/>
                    <w:tr2bl w:val="nil"/>
                  </w:tcBorders>
                  <w:shd w:val="clear" w:color="auto" w:fill="auto"/>
                  <w:noWrap w:val="0"/>
                  <w:vAlign w:val="center"/>
                </w:tcPr>
                <w:p w14:paraId="6DF4FC0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48.98</w:t>
                  </w:r>
                </w:p>
              </w:tc>
              <w:tc>
                <w:tcPr>
                  <w:tcW w:w="1331" w:type="dxa"/>
                  <w:tcBorders>
                    <w:tl2br w:val="nil"/>
                    <w:tr2bl w:val="nil"/>
                  </w:tcBorders>
                  <w:shd w:val="clear" w:color="auto" w:fill="auto"/>
                  <w:noWrap w:val="0"/>
                  <w:vAlign w:val="center"/>
                </w:tcPr>
                <w:p w14:paraId="27084C8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38.7</w:t>
                  </w:r>
                </w:p>
              </w:tc>
              <w:tc>
                <w:tcPr>
                  <w:tcW w:w="1331" w:type="dxa"/>
                  <w:tcBorders>
                    <w:tl2br w:val="nil"/>
                    <w:tr2bl w:val="nil"/>
                  </w:tcBorders>
                  <w:shd w:val="clear" w:color="auto" w:fill="auto"/>
                  <w:noWrap w:val="0"/>
                  <w:vAlign w:val="center"/>
                </w:tcPr>
                <w:p w14:paraId="40F154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26.75</w:t>
                  </w:r>
                </w:p>
              </w:tc>
              <w:tc>
                <w:tcPr>
                  <w:tcW w:w="1331" w:type="dxa"/>
                  <w:tcBorders>
                    <w:tl2br w:val="nil"/>
                    <w:tr2bl w:val="nil"/>
                  </w:tcBorders>
                  <w:shd w:val="clear" w:color="auto" w:fill="auto"/>
                  <w:noWrap w:val="0"/>
                  <w:vAlign w:val="center"/>
                </w:tcPr>
                <w:p w14:paraId="6FBA179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55.01</w:t>
                  </w:r>
                </w:p>
              </w:tc>
              <w:tc>
                <w:tcPr>
                  <w:tcW w:w="1421" w:type="dxa"/>
                  <w:tcBorders>
                    <w:tl2br w:val="nil"/>
                    <w:tr2bl w:val="nil"/>
                  </w:tcBorders>
                  <w:noWrap w:val="0"/>
                  <w:vAlign w:val="center"/>
                </w:tcPr>
                <w:p w14:paraId="01341A3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w:t>
                  </w:r>
                </w:p>
              </w:tc>
              <w:tc>
                <w:tcPr>
                  <w:tcW w:w="1302" w:type="dxa"/>
                  <w:tcBorders>
                    <w:tl2br w:val="nil"/>
                    <w:tr2bl w:val="nil"/>
                  </w:tcBorders>
                  <w:noWrap w:val="0"/>
                  <w:vAlign w:val="center"/>
                </w:tcPr>
                <w:p w14:paraId="0D374CB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w:t>
                  </w:r>
                </w:p>
              </w:tc>
              <w:tc>
                <w:tcPr>
                  <w:tcW w:w="1331" w:type="dxa"/>
                  <w:tcBorders>
                    <w:tl2br w:val="nil"/>
                    <w:tr2bl w:val="nil"/>
                  </w:tcBorders>
                  <w:noWrap w:val="0"/>
                  <w:vAlign w:val="center"/>
                </w:tcPr>
                <w:p w14:paraId="32D12D5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22</w:t>
                  </w:r>
                </w:p>
              </w:tc>
              <w:tc>
                <w:tcPr>
                  <w:tcW w:w="1332" w:type="dxa"/>
                  <w:tcBorders>
                    <w:tl2br w:val="nil"/>
                    <w:tr2bl w:val="nil"/>
                  </w:tcBorders>
                  <w:noWrap w:val="0"/>
                  <w:vAlign w:val="center"/>
                </w:tcPr>
                <w:p w14:paraId="5A9E82F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65</w:t>
                  </w:r>
                </w:p>
              </w:tc>
            </w:tr>
            <w:tr w14:paraId="184E0E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tcBorders>
                    <w:tl2br w:val="nil"/>
                    <w:tr2bl w:val="nil"/>
                  </w:tcBorders>
                  <w:noWrap w:val="0"/>
                  <w:vAlign w:val="center"/>
                </w:tcPr>
                <w:p w14:paraId="2E9E40C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p>
              </w:tc>
              <w:tc>
                <w:tcPr>
                  <w:tcW w:w="1528" w:type="dxa"/>
                  <w:tcBorders>
                    <w:tl2br w:val="nil"/>
                    <w:tr2bl w:val="nil"/>
                  </w:tcBorders>
                  <w:noWrap w:val="0"/>
                  <w:vAlign w:val="center"/>
                </w:tcPr>
                <w:p w14:paraId="3C197EC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浇注车间</w:t>
                  </w:r>
                </w:p>
              </w:tc>
              <w:tc>
                <w:tcPr>
                  <w:tcW w:w="1330" w:type="dxa"/>
                  <w:tcBorders>
                    <w:tl2br w:val="nil"/>
                    <w:tr2bl w:val="nil"/>
                  </w:tcBorders>
                  <w:shd w:val="clear" w:color="auto" w:fill="auto"/>
                  <w:noWrap w:val="0"/>
                  <w:vAlign w:val="center"/>
                </w:tcPr>
                <w:p w14:paraId="157F1838">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29.42</w:t>
                  </w:r>
                </w:p>
              </w:tc>
              <w:tc>
                <w:tcPr>
                  <w:tcW w:w="1331" w:type="dxa"/>
                  <w:tcBorders>
                    <w:tl2br w:val="nil"/>
                    <w:tr2bl w:val="nil"/>
                  </w:tcBorders>
                  <w:shd w:val="clear" w:color="auto" w:fill="auto"/>
                  <w:noWrap w:val="0"/>
                  <w:vAlign w:val="center"/>
                </w:tcPr>
                <w:p w14:paraId="331B94E9">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39.43</w:t>
                  </w:r>
                </w:p>
              </w:tc>
              <w:tc>
                <w:tcPr>
                  <w:tcW w:w="1331" w:type="dxa"/>
                  <w:tcBorders>
                    <w:tl2br w:val="nil"/>
                    <w:tr2bl w:val="nil"/>
                  </w:tcBorders>
                  <w:shd w:val="clear" w:color="auto" w:fill="auto"/>
                  <w:noWrap w:val="0"/>
                  <w:vAlign w:val="center"/>
                </w:tcPr>
                <w:p w14:paraId="64F6A7FF">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48.97</w:t>
                  </w:r>
                </w:p>
              </w:tc>
              <w:tc>
                <w:tcPr>
                  <w:tcW w:w="1331" w:type="dxa"/>
                  <w:tcBorders>
                    <w:tl2br w:val="nil"/>
                    <w:tr2bl w:val="nil"/>
                  </w:tcBorders>
                  <w:shd w:val="clear" w:color="auto" w:fill="auto"/>
                  <w:noWrap w:val="0"/>
                  <w:vAlign w:val="center"/>
                </w:tcPr>
                <w:p w14:paraId="32EFA4B8">
                  <w:pPr>
                    <w:keepNext w:val="0"/>
                    <w:keepLines w:val="0"/>
                    <w:widowControl/>
                    <w:suppressLineNumbers w:val="0"/>
                    <w:spacing w:line="240" w:lineRule="auto"/>
                    <w:jc w:val="center"/>
                    <w:textAlignment w:val="center"/>
                    <w:rPr>
                      <w:rFonts w:hint="eastAsia"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snapToGrid w:val="0"/>
                      <w:color w:val="auto"/>
                      <w:kern w:val="0"/>
                      <w:sz w:val="21"/>
                      <w:szCs w:val="21"/>
                      <w:highlight w:val="none"/>
                      <w:u w:val="none"/>
                      <w:lang w:val="en-US" w:eastAsia="zh-CN" w:bidi="ar-SA"/>
                    </w:rPr>
                    <w:t>36.93</w:t>
                  </w:r>
                </w:p>
              </w:tc>
              <w:tc>
                <w:tcPr>
                  <w:tcW w:w="1421" w:type="dxa"/>
                  <w:tcBorders>
                    <w:tl2br w:val="nil"/>
                    <w:tr2bl w:val="nil"/>
                  </w:tcBorders>
                  <w:noWrap w:val="0"/>
                  <w:vAlign w:val="center"/>
                </w:tcPr>
                <w:p w14:paraId="4D121D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33</w:t>
                  </w:r>
                </w:p>
              </w:tc>
              <w:tc>
                <w:tcPr>
                  <w:tcW w:w="1302" w:type="dxa"/>
                  <w:tcBorders>
                    <w:tl2br w:val="nil"/>
                    <w:tr2bl w:val="nil"/>
                  </w:tcBorders>
                  <w:noWrap w:val="0"/>
                  <w:vAlign w:val="center"/>
                </w:tcPr>
                <w:p w14:paraId="1DEBE81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w:t>
                  </w:r>
                </w:p>
              </w:tc>
              <w:tc>
                <w:tcPr>
                  <w:tcW w:w="1331" w:type="dxa"/>
                  <w:tcBorders>
                    <w:tl2br w:val="nil"/>
                    <w:tr2bl w:val="nil"/>
                  </w:tcBorders>
                  <w:noWrap w:val="0"/>
                  <w:vAlign w:val="center"/>
                </w:tcPr>
                <w:p w14:paraId="17DE0A6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w:t>
                  </w:r>
                </w:p>
              </w:tc>
              <w:tc>
                <w:tcPr>
                  <w:tcW w:w="1332" w:type="dxa"/>
                  <w:tcBorders>
                    <w:tl2br w:val="nil"/>
                    <w:tr2bl w:val="nil"/>
                  </w:tcBorders>
                  <w:noWrap w:val="0"/>
                  <w:vAlign w:val="center"/>
                </w:tcPr>
                <w:p w14:paraId="5DEB8FC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65</w:t>
                  </w:r>
                </w:p>
              </w:tc>
            </w:tr>
            <w:tr w14:paraId="4903AE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3" w:type="dxa"/>
                  <w:gridSpan w:val="6"/>
                  <w:tcBorders>
                    <w:tl2br w:val="nil"/>
                    <w:tr2bl w:val="nil"/>
                  </w:tcBorders>
                  <w:shd w:val="clear" w:color="auto" w:fill="auto"/>
                  <w:noWrap w:val="0"/>
                  <w:vAlign w:val="center"/>
                </w:tcPr>
                <w:p w14:paraId="634F61C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室内声源厂界贡献值（dB（A））</w:t>
                  </w:r>
                </w:p>
              </w:tc>
              <w:tc>
                <w:tcPr>
                  <w:tcW w:w="1421" w:type="dxa"/>
                  <w:tcBorders>
                    <w:tl2br w:val="nil"/>
                    <w:tr2bl w:val="nil"/>
                  </w:tcBorders>
                  <w:shd w:val="clear" w:color="auto" w:fill="auto"/>
                  <w:noWrap w:val="0"/>
                  <w:vAlign w:val="center"/>
                </w:tcPr>
                <w:p w14:paraId="3DEE5B9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40.27</w:t>
                  </w:r>
                </w:p>
              </w:tc>
              <w:tc>
                <w:tcPr>
                  <w:tcW w:w="1302" w:type="dxa"/>
                  <w:tcBorders>
                    <w:tl2br w:val="nil"/>
                    <w:tr2bl w:val="nil"/>
                  </w:tcBorders>
                  <w:shd w:val="clear" w:color="auto" w:fill="auto"/>
                  <w:noWrap w:val="0"/>
                  <w:vAlign w:val="center"/>
                </w:tcPr>
                <w:p w14:paraId="6662CA0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38.29</w:t>
                  </w:r>
                </w:p>
              </w:tc>
              <w:tc>
                <w:tcPr>
                  <w:tcW w:w="1331" w:type="dxa"/>
                  <w:tcBorders>
                    <w:tl2br w:val="nil"/>
                    <w:tr2bl w:val="nil"/>
                  </w:tcBorders>
                  <w:shd w:val="clear" w:color="auto" w:fill="auto"/>
                  <w:noWrap w:val="0"/>
                  <w:vAlign w:val="center"/>
                </w:tcPr>
                <w:p w14:paraId="5121DE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47.59</w:t>
                  </w:r>
                </w:p>
              </w:tc>
              <w:tc>
                <w:tcPr>
                  <w:tcW w:w="1332" w:type="dxa"/>
                  <w:tcBorders>
                    <w:tl2br w:val="nil"/>
                    <w:tr2bl w:val="nil"/>
                  </w:tcBorders>
                  <w:shd w:val="clear" w:color="auto" w:fill="auto"/>
                  <w:noWrap w:val="0"/>
                  <w:vAlign w:val="center"/>
                </w:tcPr>
                <w:p w14:paraId="64E273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28.17</w:t>
                  </w:r>
                </w:p>
              </w:tc>
            </w:tr>
            <w:tr w14:paraId="3BE020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3" w:type="dxa"/>
                  <w:gridSpan w:val="6"/>
                  <w:tcBorders>
                    <w:tl2br w:val="nil"/>
                    <w:tr2bl w:val="nil"/>
                  </w:tcBorders>
                  <w:shd w:val="clear" w:color="auto" w:fill="auto"/>
                  <w:noWrap w:val="0"/>
                  <w:vAlign w:val="center"/>
                </w:tcPr>
                <w:p w14:paraId="7FDBC89E">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昼间现状值</w:t>
                  </w:r>
                  <w:r>
                    <w:rPr>
                      <w:rFonts w:hint="default" w:ascii="Times New Roman" w:hAnsi="Times New Roman" w:eastAsia="宋体" w:cs="Times New Roman"/>
                      <w:i w:val="0"/>
                      <w:color w:val="auto"/>
                      <w:sz w:val="21"/>
                      <w:szCs w:val="21"/>
                      <w:highlight w:val="none"/>
                      <w:u w:val="none"/>
                      <w:lang w:val="en-US" w:eastAsia="zh-CN"/>
                    </w:rPr>
                    <w:t>（dB（A））</w:t>
                  </w:r>
                </w:p>
              </w:tc>
              <w:tc>
                <w:tcPr>
                  <w:tcW w:w="1421" w:type="dxa"/>
                  <w:tcBorders>
                    <w:tl2br w:val="nil"/>
                    <w:tr2bl w:val="nil"/>
                  </w:tcBorders>
                  <w:shd w:val="clear" w:color="auto" w:fill="auto"/>
                  <w:noWrap w:val="0"/>
                  <w:vAlign w:val="center"/>
                </w:tcPr>
                <w:p w14:paraId="2980E1FB">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55.8</w:t>
                  </w:r>
                </w:p>
              </w:tc>
              <w:tc>
                <w:tcPr>
                  <w:tcW w:w="1302" w:type="dxa"/>
                  <w:tcBorders>
                    <w:tl2br w:val="nil"/>
                    <w:tr2bl w:val="nil"/>
                  </w:tcBorders>
                  <w:shd w:val="clear" w:color="auto" w:fill="auto"/>
                  <w:noWrap w:val="0"/>
                  <w:vAlign w:val="center"/>
                </w:tcPr>
                <w:p w14:paraId="13798ECE">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w:t>
                  </w:r>
                </w:p>
              </w:tc>
              <w:tc>
                <w:tcPr>
                  <w:tcW w:w="1331" w:type="dxa"/>
                  <w:tcBorders>
                    <w:tl2br w:val="nil"/>
                    <w:tr2bl w:val="nil"/>
                  </w:tcBorders>
                  <w:shd w:val="clear" w:color="auto" w:fill="auto"/>
                  <w:noWrap w:val="0"/>
                  <w:vAlign w:val="center"/>
                </w:tcPr>
                <w:p w14:paraId="1579AB2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56.9</w:t>
                  </w:r>
                </w:p>
              </w:tc>
              <w:tc>
                <w:tcPr>
                  <w:tcW w:w="1332" w:type="dxa"/>
                  <w:tcBorders>
                    <w:tl2br w:val="nil"/>
                    <w:tr2bl w:val="nil"/>
                  </w:tcBorders>
                  <w:shd w:val="clear" w:color="auto" w:fill="auto"/>
                  <w:noWrap w:val="0"/>
                  <w:vAlign w:val="center"/>
                </w:tcPr>
                <w:p w14:paraId="24D3C89D">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cs="Times New Roman"/>
                      <w:i w:val="0"/>
                      <w:color w:val="auto"/>
                      <w:sz w:val="21"/>
                      <w:szCs w:val="21"/>
                      <w:highlight w:val="none"/>
                      <w:u w:val="none"/>
                      <w:lang w:val="en-US" w:eastAsia="zh-CN"/>
                    </w:rPr>
                    <w:t>56.3</w:t>
                  </w:r>
                </w:p>
              </w:tc>
            </w:tr>
            <w:tr w14:paraId="4E28A7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3" w:type="dxa"/>
                  <w:gridSpan w:val="6"/>
                  <w:tcBorders>
                    <w:tl2br w:val="nil"/>
                    <w:tr2bl w:val="nil"/>
                  </w:tcBorders>
                  <w:shd w:val="clear" w:color="auto" w:fill="auto"/>
                  <w:noWrap w:val="0"/>
                  <w:vAlign w:val="center"/>
                </w:tcPr>
                <w:p w14:paraId="579FFAA0">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叠加昼间现状值后预测值</w:t>
                  </w:r>
                  <w:r>
                    <w:rPr>
                      <w:rFonts w:hint="default" w:ascii="Times New Roman" w:hAnsi="Times New Roman" w:eastAsia="宋体" w:cs="Times New Roman"/>
                      <w:i w:val="0"/>
                      <w:color w:val="auto"/>
                      <w:sz w:val="21"/>
                      <w:szCs w:val="21"/>
                      <w:highlight w:val="none"/>
                      <w:u w:val="none"/>
                      <w:lang w:val="en-US" w:eastAsia="zh-CN"/>
                    </w:rPr>
                    <w:t>（dB（A））</w:t>
                  </w:r>
                </w:p>
              </w:tc>
              <w:tc>
                <w:tcPr>
                  <w:tcW w:w="1421" w:type="dxa"/>
                  <w:tcBorders>
                    <w:tl2br w:val="nil"/>
                    <w:tr2bl w:val="nil"/>
                  </w:tcBorders>
                  <w:shd w:val="clear" w:color="auto" w:fill="auto"/>
                  <w:noWrap w:val="0"/>
                  <w:vAlign w:val="center"/>
                </w:tcPr>
                <w:p w14:paraId="71C78FA1">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55.92</w:t>
                  </w:r>
                </w:p>
              </w:tc>
              <w:tc>
                <w:tcPr>
                  <w:tcW w:w="1302" w:type="dxa"/>
                  <w:tcBorders>
                    <w:tl2br w:val="nil"/>
                    <w:tr2bl w:val="nil"/>
                  </w:tcBorders>
                  <w:shd w:val="clear" w:color="auto" w:fill="auto"/>
                  <w:noWrap w:val="0"/>
                  <w:vAlign w:val="center"/>
                </w:tcPr>
                <w:p w14:paraId="38A956BF">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38.29</w:t>
                  </w:r>
                </w:p>
              </w:tc>
              <w:tc>
                <w:tcPr>
                  <w:tcW w:w="1331" w:type="dxa"/>
                  <w:tcBorders>
                    <w:tl2br w:val="nil"/>
                    <w:tr2bl w:val="nil"/>
                  </w:tcBorders>
                  <w:shd w:val="clear" w:color="auto" w:fill="auto"/>
                  <w:noWrap w:val="0"/>
                  <w:vAlign w:val="center"/>
                </w:tcPr>
                <w:p w14:paraId="2168EA4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57.38</w:t>
                  </w:r>
                </w:p>
              </w:tc>
              <w:tc>
                <w:tcPr>
                  <w:tcW w:w="1332" w:type="dxa"/>
                  <w:tcBorders>
                    <w:tl2br w:val="nil"/>
                    <w:tr2bl w:val="nil"/>
                  </w:tcBorders>
                  <w:shd w:val="clear" w:color="auto" w:fill="auto"/>
                  <w:noWrap w:val="0"/>
                  <w:vAlign w:val="center"/>
                </w:tcPr>
                <w:p w14:paraId="428E7784">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default" w:ascii="Times New Roman" w:hAnsi="Times New Roman" w:eastAsia="宋体" w:cs="Times New Roman"/>
                      <w:i w:val="0"/>
                      <w:color w:val="auto"/>
                      <w:sz w:val="21"/>
                      <w:szCs w:val="21"/>
                      <w:highlight w:val="none"/>
                      <w:u w:val="none"/>
                      <w:lang w:val="en-US" w:eastAsia="zh-CN"/>
                    </w:rPr>
                    <w:t>56.31</w:t>
                  </w:r>
                </w:p>
              </w:tc>
            </w:tr>
          </w:tbl>
          <w:p w14:paraId="2D00845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经预测，各厂界噪声值见下表：</w:t>
            </w:r>
          </w:p>
          <w:p w14:paraId="7EF27FA0">
            <w:pPr>
              <w:pStyle w:val="23"/>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表4-1</w:t>
            </w:r>
            <w:r>
              <w:rPr>
                <w:rFonts w:hint="eastAsia" w:ascii="Times New Roman" w:hAnsi="Times New Roman" w:cs="Times New Roman"/>
                <w:b/>
                <w:bCs w:val="0"/>
                <w:color w:val="auto"/>
                <w:sz w:val="24"/>
                <w:szCs w:val="24"/>
                <w:highlight w:val="none"/>
                <w:lang w:val="en-US" w:eastAsia="zh-CN"/>
              </w:rPr>
              <w:t>1</w:t>
            </w:r>
            <w:r>
              <w:rPr>
                <w:rFonts w:hint="default" w:ascii="Times New Roman" w:hAnsi="Times New Roman" w:eastAsia="宋体" w:cs="Times New Roman"/>
                <w:b/>
                <w:bCs w:val="0"/>
                <w:color w:val="auto"/>
                <w:sz w:val="24"/>
                <w:szCs w:val="24"/>
                <w:highlight w:val="none"/>
                <w:lang w:val="en-US" w:eastAsia="zh-CN"/>
              </w:rPr>
              <w:t>噪声设备对预测点位贡献值及评价结果</w:t>
            </w:r>
          </w:p>
          <w:tbl>
            <w:tblPr>
              <w:tblStyle w:val="15"/>
              <w:tblW w:w="13039"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720"/>
              <w:gridCol w:w="2658"/>
              <w:gridCol w:w="2661"/>
            </w:tblGrid>
            <w:tr w14:paraId="1B0B26C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60" w:type="pct"/>
                  <w:vMerge w:val="restart"/>
                  <w:tcBorders>
                    <w:tl2br w:val="nil"/>
                    <w:tr2bl w:val="nil"/>
                  </w:tcBorders>
                  <w:noWrap w:val="0"/>
                  <w:vAlign w:val="center"/>
                </w:tcPr>
                <w:p w14:paraId="4705E7F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预测点位</w:t>
                  </w:r>
                </w:p>
              </w:tc>
              <w:tc>
                <w:tcPr>
                  <w:tcW w:w="2039" w:type="pct"/>
                  <w:gridSpan w:val="2"/>
                  <w:tcBorders>
                    <w:tl2br w:val="nil"/>
                    <w:tr2bl w:val="nil"/>
                  </w:tcBorders>
                  <w:noWrap w:val="0"/>
                  <w:vAlign w:val="center"/>
                </w:tcPr>
                <w:p w14:paraId="00D1E48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昼间dB（A）</w:t>
                  </w:r>
                </w:p>
              </w:tc>
            </w:tr>
            <w:tr w14:paraId="244B506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60" w:type="pct"/>
                  <w:vMerge w:val="continue"/>
                  <w:tcBorders>
                    <w:tl2br w:val="nil"/>
                    <w:tr2bl w:val="nil"/>
                  </w:tcBorders>
                  <w:noWrap w:val="0"/>
                  <w:vAlign w:val="center"/>
                </w:tcPr>
                <w:p w14:paraId="6BB1A7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p>
              </w:tc>
              <w:tc>
                <w:tcPr>
                  <w:tcW w:w="1019" w:type="pct"/>
                  <w:tcBorders>
                    <w:tl2br w:val="nil"/>
                    <w:tr2bl w:val="nil"/>
                  </w:tcBorders>
                  <w:noWrap w:val="0"/>
                  <w:vAlign w:val="center"/>
                </w:tcPr>
                <w:p w14:paraId="02981A2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贡献值</w:t>
                  </w:r>
                </w:p>
              </w:tc>
              <w:tc>
                <w:tcPr>
                  <w:tcW w:w="1020" w:type="pct"/>
                  <w:tcBorders>
                    <w:tl2br w:val="nil"/>
                    <w:tr2bl w:val="nil"/>
                  </w:tcBorders>
                  <w:noWrap w:val="0"/>
                  <w:vAlign w:val="center"/>
                </w:tcPr>
                <w:p w14:paraId="78A936E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超标值</w:t>
                  </w:r>
                </w:p>
              </w:tc>
            </w:tr>
            <w:tr w14:paraId="08B1BED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60" w:type="pct"/>
                  <w:tcBorders>
                    <w:tl2br w:val="nil"/>
                    <w:tr2bl w:val="nil"/>
                  </w:tcBorders>
                  <w:noWrap w:val="0"/>
                  <w:vAlign w:val="center"/>
                </w:tcPr>
                <w:p w14:paraId="0C956A4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#东厂界</w:t>
                  </w:r>
                </w:p>
              </w:tc>
              <w:tc>
                <w:tcPr>
                  <w:tcW w:w="1019" w:type="pct"/>
                  <w:tcBorders>
                    <w:tl2br w:val="nil"/>
                    <w:tr2bl w:val="nil"/>
                  </w:tcBorders>
                  <w:noWrap w:val="0"/>
                  <w:vAlign w:val="center"/>
                </w:tcPr>
                <w:p w14:paraId="52793A23">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cs="Times New Roman"/>
                      <w:i w:val="0"/>
                      <w:color w:val="auto"/>
                      <w:sz w:val="21"/>
                      <w:szCs w:val="21"/>
                      <w:highlight w:val="none"/>
                      <w:u w:val="none"/>
                      <w:lang w:val="en-US" w:eastAsia="zh-CN"/>
                    </w:rPr>
                    <w:t>55.92</w:t>
                  </w:r>
                </w:p>
              </w:tc>
              <w:tc>
                <w:tcPr>
                  <w:tcW w:w="2661" w:type="dxa"/>
                  <w:tcBorders>
                    <w:tl2br w:val="nil"/>
                    <w:tr2bl w:val="nil"/>
                  </w:tcBorders>
                  <w:noWrap w:val="0"/>
                  <w:vAlign w:val="center"/>
                </w:tcPr>
                <w:p w14:paraId="6AF34BD1">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-4.08</w:t>
                  </w:r>
                </w:p>
              </w:tc>
            </w:tr>
            <w:tr w14:paraId="34B32AA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60" w:type="pct"/>
                  <w:tcBorders>
                    <w:tl2br w:val="nil"/>
                    <w:tr2bl w:val="nil"/>
                  </w:tcBorders>
                  <w:noWrap w:val="0"/>
                  <w:vAlign w:val="center"/>
                </w:tcPr>
                <w:p w14:paraId="11F33E6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北</w:t>
                  </w:r>
                  <w:r>
                    <w:rPr>
                      <w:rFonts w:hint="default" w:ascii="Times New Roman" w:hAnsi="Times New Roman" w:eastAsia="宋体" w:cs="Times New Roman"/>
                      <w:color w:val="auto"/>
                      <w:sz w:val="21"/>
                      <w:szCs w:val="21"/>
                      <w:highlight w:val="none"/>
                    </w:rPr>
                    <w:t>厂界</w:t>
                  </w:r>
                </w:p>
              </w:tc>
              <w:tc>
                <w:tcPr>
                  <w:tcW w:w="1019" w:type="pct"/>
                  <w:tcBorders>
                    <w:tl2br w:val="nil"/>
                    <w:tr2bl w:val="nil"/>
                  </w:tcBorders>
                  <w:noWrap w:val="0"/>
                  <w:vAlign w:val="center"/>
                </w:tcPr>
                <w:p w14:paraId="77FE19A7">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cs="Times New Roman"/>
                      <w:i w:val="0"/>
                      <w:color w:val="auto"/>
                      <w:sz w:val="21"/>
                      <w:szCs w:val="21"/>
                      <w:highlight w:val="none"/>
                      <w:u w:val="none"/>
                      <w:lang w:val="en-US" w:eastAsia="zh-CN"/>
                    </w:rPr>
                    <w:t>38.29</w:t>
                  </w:r>
                </w:p>
              </w:tc>
              <w:tc>
                <w:tcPr>
                  <w:tcW w:w="2661" w:type="dxa"/>
                  <w:tcBorders>
                    <w:tl2br w:val="nil"/>
                    <w:tr2bl w:val="nil"/>
                  </w:tcBorders>
                  <w:noWrap w:val="0"/>
                  <w:vAlign w:val="center"/>
                </w:tcPr>
                <w:p w14:paraId="09E392A5">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-21.71</w:t>
                  </w:r>
                </w:p>
              </w:tc>
            </w:tr>
            <w:tr w14:paraId="45AB704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60" w:type="pct"/>
                  <w:tcBorders>
                    <w:tl2br w:val="nil"/>
                    <w:tr2bl w:val="nil"/>
                  </w:tcBorders>
                  <w:noWrap w:val="0"/>
                  <w:vAlign w:val="center"/>
                </w:tcPr>
                <w:p w14:paraId="1EC7288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#西厂界</w:t>
                  </w:r>
                </w:p>
              </w:tc>
              <w:tc>
                <w:tcPr>
                  <w:tcW w:w="1019" w:type="pct"/>
                  <w:tcBorders>
                    <w:tl2br w:val="nil"/>
                    <w:tr2bl w:val="nil"/>
                  </w:tcBorders>
                  <w:noWrap w:val="0"/>
                  <w:vAlign w:val="center"/>
                </w:tcPr>
                <w:p w14:paraId="17FF870A">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cs="Times New Roman"/>
                      <w:i w:val="0"/>
                      <w:color w:val="auto"/>
                      <w:sz w:val="21"/>
                      <w:szCs w:val="21"/>
                      <w:highlight w:val="none"/>
                      <w:u w:val="none"/>
                      <w:lang w:val="en-US" w:eastAsia="zh-CN"/>
                    </w:rPr>
                    <w:t>57.38</w:t>
                  </w:r>
                </w:p>
              </w:tc>
              <w:tc>
                <w:tcPr>
                  <w:tcW w:w="2661" w:type="dxa"/>
                  <w:tcBorders>
                    <w:tl2br w:val="nil"/>
                    <w:tr2bl w:val="nil"/>
                  </w:tcBorders>
                  <w:noWrap w:val="0"/>
                  <w:vAlign w:val="center"/>
                </w:tcPr>
                <w:p w14:paraId="0A046BD2">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-2.62</w:t>
                  </w:r>
                </w:p>
              </w:tc>
            </w:tr>
            <w:tr w14:paraId="69B7D8D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60" w:type="pct"/>
                  <w:tcBorders>
                    <w:tl2br w:val="nil"/>
                    <w:tr2bl w:val="nil"/>
                  </w:tcBorders>
                  <w:noWrap w:val="0"/>
                  <w:vAlign w:val="center"/>
                </w:tcPr>
                <w:p w14:paraId="41436F8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南</w:t>
                  </w:r>
                  <w:r>
                    <w:rPr>
                      <w:rFonts w:hint="default" w:ascii="Times New Roman" w:hAnsi="Times New Roman" w:eastAsia="宋体" w:cs="Times New Roman"/>
                      <w:color w:val="auto"/>
                      <w:sz w:val="21"/>
                      <w:szCs w:val="21"/>
                      <w:highlight w:val="none"/>
                    </w:rPr>
                    <w:t>厂界</w:t>
                  </w:r>
                </w:p>
              </w:tc>
              <w:tc>
                <w:tcPr>
                  <w:tcW w:w="1019" w:type="pct"/>
                  <w:tcBorders>
                    <w:tl2br w:val="nil"/>
                    <w:tr2bl w:val="nil"/>
                  </w:tcBorders>
                  <w:noWrap w:val="0"/>
                  <w:vAlign w:val="center"/>
                </w:tcPr>
                <w:p w14:paraId="2682D85D">
                  <w:pPr>
                    <w:keepNext w:val="0"/>
                    <w:keepLines w:val="0"/>
                    <w:widowControl/>
                    <w:suppressLineNumbers w:val="0"/>
                    <w:spacing w:line="240" w:lineRule="auto"/>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cs="Times New Roman"/>
                      <w:i w:val="0"/>
                      <w:color w:val="auto"/>
                      <w:sz w:val="21"/>
                      <w:szCs w:val="21"/>
                      <w:highlight w:val="none"/>
                      <w:u w:val="none"/>
                      <w:lang w:val="en-US" w:eastAsia="zh-CN"/>
                    </w:rPr>
                    <w:t>56.31</w:t>
                  </w:r>
                </w:p>
              </w:tc>
              <w:tc>
                <w:tcPr>
                  <w:tcW w:w="2661" w:type="dxa"/>
                  <w:tcBorders>
                    <w:tl2br w:val="nil"/>
                    <w:tr2bl w:val="nil"/>
                  </w:tcBorders>
                  <w:noWrap w:val="0"/>
                  <w:vAlign w:val="center"/>
                </w:tcPr>
                <w:p w14:paraId="2A1AD0F9">
                  <w:pPr>
                    <w:keepNext w:val="0"/>
                    <w:keepLines w:val="0"/>
                    <w:widowControl/>
                    <w:suppressLineNumbers w:val="0"/>
                    <w:spacing w:line="240" w:lineRule="auto"/>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SA"/>
                    </w:rPr>
                  </w:pPr>
                  <w:r>
                    <w:rPr>
                      <w:rFonts w:hint="eastAsia" w:ascii="Times New Roman" w:hAnsi="Times New Roman" w:eastAsia="宋体" w:cs="Times New Roman"/>
                      <w:i w:val="0"/>
                      <w:snapToGrid w:val="0"/>
                      <w:color w:val="auto"/>
                      <w:kern w:val="0"/>
                      <w:sz w:val="21"/>
                      <w:szCs w:val="21"/>
                      <w:highlight w:val="none"/>
                      <w:u w:val="none"/>
                      <w:lang w:val="en-US" w:eastAsia="zh-CN" w:bidi="ar-SA"/>
                    </w:rPr>
                    <w:t>-3.69</w:t>
                  </w:r>
                </w:p>
              </w:tc>
            </w:tr>
          </w:tbl>
          <w:p w14:paraId="6CC3DE1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依据预测结果，项目采取有效噪声防治措施后，厂界噪声排放满足《工业企业厂界环境噪声排放标准》(GB12348</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2008)</w:t>
            </w:r>
            <w:r>
              <w:rPr>
                <w:rFonts w:hint="eastAsia" w:ascii="Times New Roman" w:hAnsi="Times New Roman" w:cs="Times New Roman"/>
                <w:color w:val="auto"/>
                <w:lang w:val="en-US" w:eastAsia="zh-CN"/>
              </w:rPr>
              <w:t>2</w:t>
            </w:r>
            <w:r>
              <w:rPr>
                <w:rFonts w:hint="default" w:ascii="Times New Roman" w:hAnsi="Times New Roman" w:eastAsia="宋体" w:cs="Times New Roman"/>
                <w:color w:val="auto"/>
                <w:lang w:eastAsia="zh-CN"/>
              </w:rPr>
              <w:t>类标准要求。</w:t>
            </w:r>
          </w:p>
          <w:p w14:paraId="07FE243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（6）监测方案</w:t>
            </w:r>
          </w:p>
          <w:p w14:paraId="6BE11D2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w:t>
            </w:r>
            <w:r>
              <w:rPr>
                <w:rFonts w:hint="eastAsia" w:ascii="Times New Roman" w:hAnsi="Times New Roman" w:cs="Times New Roman"/>
                <w:color w:val="auto"/>
                <w:lang w:eastAsia="zh-CN"/>
              </w:rPr>
              <w:t>《排污许可证申请与核发技术规范 总则》（HJ942－2018）、</w:t>
            </w:r>
            <w:r>
              <w:rPr>
                <w:rFonts w:hint="default" w:ascii="Times New Roman" w:hAnsi="Times New Roman" w:cs="Times New Roman"/>
                <w:color w:val="auto"/>
                <w:szCs w:val="21"/>
              </w:rPr>
              <w:t>《排污许可证申请与核发技术规范</w:t>
            </w:r>
            <w:r>
              <w:rPr>
                <w:rFonts w:hint="default" w:ascii="Times New Roman" w:hAnsi="Times New Roman" w:cs="Times New Roman"/>
                <w:color w:val="auto"/>
                <w:szCs w:val="21"/>
                <w:lang w:val="en-US" w:eastAsia="zh-CN"/>
              </w:rPr>
              <w:t xml:space="preserve"> 金属铸造工业</w:t>
            </w:r>
            <w:r>
              <w:rPr>
                <w:rFonts w:hint="default" w:ascii="Times New Roman" w:hAnsi="Times New Roman" w:cs="Times New Roman"/>
                <w:color w:val="auto"/>
                <w:szCs w:val="21"/>
              </w:rPr>
              <w:t>》（HJ 11</w:t>
            </w:r>
            <w:r>
              <w:rPr>
                <w:rFonts w:hint="default" w:ascii="Times New Roman" w:hAnsi="Times New Roman" w:cs="Times New Roman"/>
                <w:color w:val="auto"/>
                <w:szCs w:val="21"/>
                <w:lang w:val="en-US" w:eastAsia="zh-CN"/>
              </w:rPr>
              <w:t>15</w:t>
            </w:r>
            <w:r>
              <w:rPr>
                <w:rFonts w:hint="default" w:ascii="Times New Roman" w:hAnsi="Times New Roman" w:cs="Times New Roman"/>
                <w:color w:val="auto"/>
                <w:szCs w:val="21"/>
              </w:rPr>
              <w:t>—2020）</w:t>
            </w:r>
            <w:r>
              <w:rPr>
                <w:rFonts w:hint="eastAsia" w:ascii="Times New Roman" w:hAnsi="Times New Roman" w:cs="Times New Roman"/>
                <w:color w:val="auto"/>
                <w:szCs w:val="21"/>
                <w:lang w:eastAsia="zh-CN"/>
              </w:rPr>
              <w:t>、《排污许可证申请与核发技术规范 工业噪声》（HJ1301-2023）</w:t>
            </w:r>
            <w:r>
              <w:rPr>
                <w:rFonts w:hint="default" w:ascii="Times New Roman" w:hAnsi="Times New Roman" w:eastAsia="宋体" w:cs="Times New Roman"/>
                <w:color w:val="auto"/>
                <w:lang w:val="en-US" w:eastAsia="zh-CN"/>
              </w:rPr>
              <w:t>要求及本项目实际情况，制定监测计划，项目四周厂界各布设一个监测点位，每季度监测一次，具体见下表。</w:t>
            </w:r>
          </w:p>
          <w:p w14:paraId="0927FFBF">
            <w:pPr>
              <w:pStyle w:val="23"/>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表4-1</w:t>
            </w:r>
            <w:r>
              <w:rPr>
                <w:rFonts w:hint="eastAsia" w:ascii="Times New Roman" w:hAnsi="Times New Roman" w:cs="Times New Roman"/>
                <w:b/>
                <w:bCs w:val="0"/>
                <w:color w:val="auto"/>
                <w:sz w:val="24"/>
                <w:szCs w:val="24"/>
                <w:highlight w:val="none"/>
                <w:lang w:val="en-US" w:eastAsia="zh-CN"/>
              </w:rPr>
              <w:t>2</w:t>
            </w:r>
            <w:r>
              <w:rPr>
                <w:rFonts w:hint="default" w:ascii="Times New Roman" w:hAnsi="Times New Roman" w:eastAsia="宋体" w:cs="Times New Roman"/>
                <w:b/>
                <w:bCs w:val="0"/>
                <w:color w:val="auto"/>
                <w:sz w:val="24"/>
                <w:szCs w:val="24"/>
                <w:highlight w:val="none"/>
                <w:lang w:val="en-US" w:eastAsia="zh-CN"/>
              </w:rPr>
              <w:t>项目噪声监测方案</w:t>
            </w:r>
          </w:p>
          <w:tbl>
            <w:tblPr>
              <w:tblStyle w:val="16"/>
              <w:tblW w:w="13039"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3477"/>
              <w:gridCol w:w="4168"/>
              <w:gridCol w:w="5394"/>
            </w:tblGrid>
            <w:tr w14:paraId="060A1E6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33" w:type="pct"/>
                  <w:tcBorders>
                    <w:tl2br w:val="nil"/>
                    <w:tr2bl w:val="nil"/>
                  </w:tcBorders>
                  <w:noWrap w:val="0"/>
                  <w:vAlign w:val="center"/>
                </w:tcPr>
                <w:p w14:paraId="502CF7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监测点位</w:t>
                  </w:r>
                </w:p>
              </w:tc>
              <w:tc>
                <w:tcPr>
                  <w:tcW w:w="1598" w:type="pct"/>
                  <w:tcBorders>
                    <w:tl2br w:val="nil"/>
                    <w:tr2bl w:val="nil"/>
                  </w:tcBorders>
                  <w:noWrap w:val="0"/>
                  <w:vAlign w:val="center"/>
                </w:tcPr>
                <w:p w14:paraId="393989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监测因子</w:t>
                  </w:r>
                </w:p>
              </w:tc>
              <w:tc>
                <w:tcPr>
                  <w:tcW w:w="2068" w:type="pct"/>
                  <w:tcBorders>
                    <w:tl2br w:val="nil"/>
                    <w:tr2bl w:val="nil"/>
                  </w:tcBorders>
                  <w:noWrap w:val="0"/>
                  <w:vAlign w:val="center"/>
                </w:tcPr>
                <w:p w14:paraId="6C7311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监测频次</w:t>
                  </w:r>
                </w:p>
              </w:tc>
            </w:tr>
            <w:tr w14:paraId="5689DC8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33" w:type="pct"/>
                  <w:tcBorders>
                    <w:tl2br w:val="nil"/>
                    <w:tr2bl w:val="nil"/>
                  </w:tcBorders>
                  <w:noWrap w:val="0"/>
                  <w:vAlign w:val="center"/>
                </w:tcPr>
                <w:p w14:paraId="44F7C3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w:t>
                  </w:r>
                </w:p>
              </w:tc>
              <w:tc>
                <w:tcPr>
                  <w:tcW w:w="1598" w:type="pct"/>
                  <w:tcBorders>
                    <w:tl2br w:val="nil"/>
                    <w:tr2bl w:val="nil"/>
                  </w:tcBorders>
                  <w:noWrap w:val="0"/>
                  <w:vAlign w:val="center"/>
                </w:tcPr>
                <w:p w14:paraId="5FC7B2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Leq</w:t>
                  </w:r>
                </w:p>
              </w:tc>
              <w:tc>
                <w:tcPr>
                  <w:tcW w:w="2068" w:type="pct"/>
                  <w:tcBorders>
                    <w:tl2br w:val="nil"/>
                    <w:tr2bl w:val="nil"/>
                  </w:tcBorders>
                  <w:noWrap w:val="0"/>
                  <w:vAlign w:val="center"/>
                </w:tcPr>
                <w:p w14:paraId="4D5D70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运行期间每季度一次昼间噪声监测</w:t>
                  </w:r>
                </w:p>
              </w:tc>
            </w:tr>
          </w:tbl>
          <w:p w14:paraId="548B879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四、固体废物</w:t>
            </w:r>
          </w:p>
          <w:p w14:paraId="7A56774E">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1、固废产生、排放情况简述</w:t>
            </w:r>
          </w:p>
          <w:p w14:paraId="1E51CE49">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由前文可知，</w:t>
            </w:r>
            <w:r>
              <w:rPr>
                <w:rFonts w:hint="default" w:ascii="Times New Roman" w:hAnsi="Times New Roman" w:cs="Times New Roman"/>
                <w:color w:val="auto"/>
                <w:highlight w:val="none"/>
              </w:rPr>
              <w:t>本项目固体废物主要包含废包装物</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废覆膜砂</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废浇冒口</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除尘器收尘</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废活性炭</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废机油</w:t>
            </w:r>
            <w:r>
              <w:rPr>
                <w:rFonts w:hint="eastAsia" w:ascii="Times New Roman" w:hAnsi="Times New Roman" w:cs="Times New Roman"/>
                <w:color w:val="auto"/>
                <w:highlight w:val="none"/>
                <w:lang w:val="en-US" w:eastAsia="zh-CN"/>
              </w:rPr>
              <w:t>及</w:t>
            </w:r>
            <w:r>
              <w:rPr>
                <w:rFonts w:hint="default" w:ascii="Times New Roman" w:hAnsi="Times New Roman" w:cs="Times New Roman"/>
                <w:color w:val="auto"/>
                <w:highlight w:val="none"/>
              </w:rPr>
              <w:t>废机油桶。</w:t>
            </w:r>
          </w:p>
          <w:p w14:paraId="49AD7A9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（1）一般固废：</w:t>
            </w:r>
          </w:p>
          <w:p w14:paraId="449D561C">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①除尘器收尘</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根据工程分析，</w:t>
            </w:r>
            <w:r>
              <w:rPr>
                <w:rFonts w:hint="eastAsia" w:ascii="Times New Roman" w:hAnsi="Times New Roman" w:eastAsia="宋体" w:cs="Times New Roman"/>
                <w:b w:val="0"/>
                <w:bCs/>
                <w:color w:val="auto"/>
                <w:kern w:val="2"/>
                <w:sz w:val="24"/>
                <w:szCs w:val="24"/>
                <w:highlight w:val="none"/>
                <w:lang w:val="en-US" w:eastAsia="zh-CN" w:bidi="ar-SA"/>
              </w:rPr>
              <w:t>布袋</w:t>
            </w:r>
            <w:r>
              <w:rPr>
                <w:rFonts w:hint="default" w:ascii="Times New Roman" w:hAnsi="Times New Roman" w:eastAsia="宋体" w:cs="Times New Roman"/>
                <w:b w:val="0"/>
                <w:bCs/>
                <w:color w:val="auto"/>
                <w:kern w:val="2"/>
                <w:sz w:val="24"/>
                <w:szCs w:val="24"/>
                <w:highlight w:val="none"/>
                <w:lang w:val="en-US" w:eastAsia="zh-CN" w:bidi="ar-SA"/>
              </w:rPr>
              <w:t>除尘器收尘</w:t>
            </w:r>
            <w:r>
              <w:rPr>
                <w:rFonts w:hint="eastAsia" w:ascii="Times New Roman" w:hAnsi="Times New Roman" w:eastAsia="宋体" w:cs="Times New Roman"/>
                <w:color w:val="auto"/>
                <w:kern w:val="2"/>
                <w:sz w:val="24"/>
                <w:szCs w:val="24"/>
                <w:highlight w:val="none"/>
                <w:lang w:val="en-US" w:eastAsia="zh-CN" w:bidi="ar-SA"/>
              </w:rPr>
              <w:t>收集量</w:t>
            </w:r>
            <w:r>
              <w:rPr>
                <w:rFonts w:hint="default" w:ascii="Times New Roman" w:hAnsi="Times New Roman" w:eastAsia="宋体" w:cs="Times New Roman"/>
                <w:color w:val="auto"/>
                <w:kern w:val="2"/>
                <w:sz w:val="24"/>
                <w:szCs w:val="24"/>
                <w:highlight w:val="none"/>
                <w:lang w:val="en-US" w:eastAsia="zh-CN" w:bidi="ar-SA"/>
              </w:rPr>
              <w:t>约为</w:t>
            </w:r>
            <w:r>
              <w:rPr>
                <w:rFonts w:hint="eastAsia" w:ascii="Times New Roman" w:hAnsi="Times New Roman" w:cs="Times New Roman"/>
                <w:color w:val="auto"/>
                <w:kern w:val="2"/>
                <w:sz w:val="24"/>
                <w:szCs w:val="24"/>
                <w:highlight w:val="none"/>
                <w:lang w:val="en-US" w:eastAsia="zh-CN" w:bidi="ar-SA"/>
              </w:rPr>
              <w:t>68.9t</w:t>
            </w:r>
            <w:r>
              <w:rPr>
                <w:rFonts w:hint="default" w:ascii="Times New Roman" w:hAnsi="Times New Roman" w:cs="Times New Roman"/>
                <w:color w:val="auto"/>
                <w:sz w:val="24"/>
                <w:szCs w:val="24"/>
                <w:highlight w:val="none"/>
                <w:lang w:val="en-US" w:eastAsia="zh-CN"/>
              </w:rPr>
              <w:t>/a，</w:t>
            </w:r>
            <w:r>
              <w:rPr>
                <w:rFonts w:hint="eastAsia" w:ascii="Times New Roman" w:hAnsi="Times New Roman" w:eastAsia="宋体" w:cs="Times New Roman"/>
                <w:b w:val="0"/>
                <w:bCs w:val="0"/>
                <w:color w:val="auto"/>
                <w:kern w:val="2"/>
                <w:sz w:val="24"/>
                <w:szCs w:val="24"/>
                <w:highlight w:val="none"/>
                <w:lang w:val="en-US" w:eastAsia="zh-CN" w:bidi="ar-SA"/>
              </w:rPr>
              <w:t>属于</w:t>
            </w:r>
            <w:r>
              <w:rPr>
                <w:rFonts w:hint="default" w:ascii="Times New Roman" w:hAnsi="Times New Roman" w:eastAsia="宋体" w:cs="Times New Roman"/>
                <w:color w:val="auto"/>
                <w:kern w:val="2"/>
                <w:sz w:val="24"/>
                <w:szCs w:val="24"/>
                <w:highlight w:val="none"/>
                <w:lang w:val="en-US" w:eastAsia="zh-CN" w:bidi="ar-SA"/>
              </w:rPr>
              <w:t>SW59其他工业固体废物代码为 900-099-S</w:t>
            </w:r>
            <w:r>
              <w:rPr>
                <w:rFonts w:hint="eastAsia" w:ascii="Times New Roman" w:hAnsi="Times New Roman" w:eastAsia="宋体" w:cs="Times New Roman"/>
                <w:color w:val="auto"/>
                <w:kern w:val="2"/>
                <w:sz w:val="24"/>
                <w:szCs w:val="24"/>
                <w:highlight w:val="none"/>
                <w:lang w:val="en-US" w:eastAsia="zh-CN" w:bidi="ar-SA"/>
              </w:rPr>
              <w:t>5</w:t>
            </w:r>
            <w:r>
              <w:rPr>
                <w:rFonts w:hint="eastAsia"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b w:val="0"/>
                <w:bCs w:val="0"/>
                <w:color w:val="auto"/>
                <w:kern w:val="2"/>
                <w:sz w:val="24"/>
                <w:szCs w:val="24"/>
                <w:highlight w:val="none"/>
                <w:lang w:val="en-US" w:eastAsia="zh-CN" w:bidi="ar-SA"/>
              </w:rPr>
              <w:t>集中收集后外售资源利用单位。</w:t>
            </w:r>
          </w:p>
          <w:p w14:paraId="32B33A26">
            <w:pPr>
              <w:pStyle w:val="7"/>
              <w:numPr>
                <w:ilvl w:val="0"/>
                <w:numId w:val="0"/>
              </w:numPr>
              <w:bidi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highlight w:val="none"/>
              </w:rPr>
              <w:t>②废包装</w:t>
            </w:r>
            <w:r>
              <w:rPr>
                <w:rFonts w:hint="eastAsia" w:ascii="Times New Roman" w:hAnsi="Times New Roman" w:cs="Times New Roman"/>
                <w:color w:val="auto"/>
                <w:highlight w:val="none"/>
                <w:lang w:val="en-US" w:eastAsia="zh-CN"/>
              </w:rPr>
              <w:t>物</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根据建设单位提供资料，项目</w:t>
            </w:r>
            <w:r>
              <w:rPr>
                <w:rFonts w:hint="default" w:ascii="Times New Roman" w:hAnsi="Times New Roman" w:eastAsia="宋体" w:cs="Times New Roman"/>
                <w:b w:val="0"/>
                <w:bCs/>
                <w:color w:val="auto"/>
                <w:sz w:val="24"/>
                <w:szCs w:val="24"/>
                <w:highlight w:val="none"/>
                <w:lang w:val="en-US" w:eastAsia="zh-CN"/>
              </w:rPr>
              <w:t>原材料废包装物</w:t>
            </w:r>
            <w:r>
              <w:rPr>
                <w:rFonts w:hint="default" w:ascii="Times New Roman" w:hAnsi="Times New Roman" w:eastAsia="宋体" w:cs="Times New Roman"/>
                <w:color w:val="auto"/>
                <w:kern w:val="2"/>
                <w:sz w:val="24"/>
                <w:szCs w:val="24"/>
                <w:highlight w:val="none"/>
                <w:lang w:val="en-US" w:eastAsia="zh-CN" w:bidi="ar-SA"/>
              </w:rPr>
              <w:t>产生量约为</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t/a，废包装袋为一般固体废物，</w:t>
            </w:r>
            <w:r>
              <w:rPr>
                <w:rFonts w:hint="eastAsia" w:ascii="Times New Roman" w:hAnsi="Times New Roman" w:eastAsia="宋体" w:cs="Times New Roman"/>
                <w:b w:val="0"/>
                <w:bCs w:val="0"/>
                <w:color w:val="auto"/>
                <w:kern w:val="2"/>
                <w:sz w:val="24"/>
                <w:szCs w:val="24"/>
                <w:highlight w:val="none"/>
                <w:lang w:val="en-US" w:eastAsia="zh-CN" w:bidi="ar-SA"/>
              </w:rPr>
              <w:t>属于</w:t>
            </w:r>
            <w:r>
              <w:rPr>
                <w:rFonts w:hint="default" w:ascii="Times New Roman" w:hAnsi="Times New Roman" w:eastAsia="宋体" w:cs="Times New Roman"/>
                <w:color w:val="auto"/>
                <w:kern w:val="2"/>
                <w:sz w:val="24"/>
                <w:szCs w:val="24"/>
                <w:highlight w:val="none"/>
                <w:lang w:val="en-US" w:eastAsia="zh-CN" w:bidi="ar-SA"/>
              </w:rPr>
              <w:t>SW59其他工业固体废物代码为 900-099-S</w:t>
            </w:r>
            <w:r>
              <w:rPr>
                <w:rFonts w:hint="eastAsia" w:ascii="Times New Roman" w:hAnsi="Times New Roman" w:eastAsia="宋体" w:cs="Times New Roman"/>
                <w:color w:val="auto"/>
                <w:kern w:val="2"/>
                <w:sz w:val="24"/>
                <w:szCs w:val="24"/>
                <w:highlight w:val="none"/>
                <w:lang w:val="en-US" w:eastAsia="zh-CN" w:bidi="ar-SA"/>
              </w:rPr>
              <w:t>5</w:t>
            </w:r>
            <w:r>
              <w:rPr>
                <w:rFonts w:hint="eastAsia"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b w:val="0"/>
                <w:bCs w:val="0"/>
                <w:color w:val="auto"/>
                <w:kern w:val="2"/>
                <w:sz w:val="24"/>
                <w:szCs w:val="24"/>
                <w:highlight w:val="none"/>
                <w:lang w:val="en-US" w:eastAsia="zh-CN" w:bidi="ar-SA"/>
              </w:rPr>
              <w:t>集中收集后外售资源利用单位</w:t>
            </w:r>
            <w:r>
              <w:rPr>
                <w:rFonts w:hint="default" w:ascii="Times New Roman" w:hAnsi="Times New Roman" w:eastAsia="宋体" w:cs="Times New Roman"/>
                <w:color w:val="auto"/>
                <w:kern w:val="2"/>
                <w:sz w:val="24"/>
                <w:szCs w:val="24"/>
                <w:highlight w:val="none"/>
                <w:lang w:val="en-US" w:eastAsia="zh-CN" w:bidi="ar-SA"/>
              </w:rPr>
              <w:t>。</w:t>
            </w:r>
          </w:p>
          <w:p w14:paraId="329E3717">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rPr>
              <w:t>③废覆膜砂</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根据建设单位提供资料，项</w:t>
            </w:r>
            <w:r>
              <w:rPr>
                <w:rFonts w:hint="default" w:ascii="Times New Roman" w:hAnsi="Times New Roman" w:eastAsia="宋体" w:cs="Times New Roman"/>
                <w:snapToGrid w:val="0"/>
                <w:color w:val="auto"/>
                <w:kern w:val="2"/>
                <w:sz w:val="24"/>
                <w:szCs w:val="24"/>
                <w:highlight w:val="none"/>
                <w:lang w:val="en-US" w:eastAsia="zh-CN" w:bidi="ar-SA"/>
              </w:rPr>
              <w:t>目</w:t>
            </w:r>
            <w:r>
              <w:rPr>
                <w:rFonts w:hint="eastAsia" w:ascii="Times New Roman" w:hAnsi="Times New Roman" w:eastAsia="宋体" w:cs="Times New Roman"/>
                <w:snapToGrid w:val="0"/>
                <w:color w:val="auto"/>
                <w:kern w:val="2"/>
                <w:sz w:val="24"/>
                <w:szCs w:val="24"/>
                <w:highlight w:val="none"/>
                <w:lang w:val="en-US" w:eastAsia="zh-CN" w:bidi="ar-SA"/>
              </w:rPr>
              <w:t>清模</w:t>
            </w:r>
            <w:r>
              <w:rPr>
                <w:rFonts w:hint="eastAsia" w:ascii="Times New Roman" w:hAnsi="Times New Roman" w:cs="Times New Roman"/>
                <w:snapToGrid w:val="0"/>
                <w:color w:val="auto"/>
                <w:kern w:val="2"/>
                <w:sz w:val="24"/>
                <w:szCs w:val="24"/>
                <w:highlight w:val="none"/>
                <w:lang w:val="en-US" w:eastAsia="zh-CN" w:bidi="ar-SA"/>
              </w:rPr>
              <w:t>过程废</w:t>
            </w:r>
            <w:r>
              <w:rPr>
                <w:rFonts w:hint="default" w:ascii="Times New Roman" w:hAnsi="Times New Roman" w:cs="Times New Roman"/>
                <w:color w:val="auto"/>
                <w:highlight w:val="none"/>
              </w:rPr>
              <w:t>覆膜砂</w:t>
            </w:r>
            <w:r>
              <w:rPr>
                <w:rFonts w:hint="default" w:ascii="Times New Roman" w:hAnsi="Times New Roman" w:eastAsia="宋体" w:cs="Times New Roman"/>
                <w:color w:val="auto"/>
                <w:kern w:val="2"/>
                <w:sz w:val="24"/>
                <w:szCs w:val="24"/>
                <w:highlight w:val="none"/>
                <w:lang w:val="en-US" w:eastAsia="zh-CN" w:bidi="ar-SA"/>
              </w:rPr>
              <w:t>产生量约为</w:t>
            </w:r>
            <w:r>
              <w:rPr>
                <w:rFonts w:hint="eastAsia" w:ascii="Times New Roman" w:hAnsi="Times New Roman"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一般固体废物，</w:t>
            </w:r>
            <w:r>
              <w:rPr>
                <w:rFonts w:hint="eastAsia" w:ascii="Times New Roman" w:hAnsi="Times New Roman" w:eastAsia="宋体" w:cs="Times New Roman"/>
                <w:b w:val="0"/>
                <w:bCs w:val="0"/>
                <w:color w:val="auto"/>
                <w:kern w:val="2"/>
                <w:sz w:val="24"/>
                <w:szCs w:val="24"/>
                <w:highlight w:val="none"/>
                <w:lang w:val="en-US" w:eastAsia="zh-CN" w:bidi="ar-SA"/>
              </w:rPr>
              <w:t>属于</w:t>
            </w:r>
            <w:r>
              <w:rPr>
                <w:rFonts w:hint="default" w:ascii="Times New Roman" w:hAnsi="Times New Roman" w:eastAsia="宋体" w:cs="Times New Roman"/>
                <w:color w:val="auto"/>
                <w:kern w:val="2"/>
                <w:sz w:val="24"/>
                <w:szCs w:val="24"/>
                <w:highlight w:val="none"/>
                <w:lang w:val="en-US" w:eastAsia="zh-CN" w:bidi="ar-SA"/>
              </w:rPr>
              <w:t>SW59其他工业固体废物代码为 900-099-S</w:t>
            </w:r>
            <w:r>
              <w:rPr>
                <w:rFonts w:hint="eastAsia" w:ascii="Times New Roman" w:hAnsi="Times New Roman" w:eastAsia="宋体" w:cs="Times New Roman"/>
                <w:color w:val="auto"/>
                <w:kern w:val="2"/>
                <w:sz w:val="24"/>
                <w:szCs w:val="24"/>
                <w:highlight w:val="none"/>
                <w:lang w:val="en-US" w:eastAsia="zh-CN" w:bidi="ar-SA"/>
              </w:rPr>
              <w:t>5</w:t>
            </w:r>
            <w:r>
              <w:rPr>
                <w:rFonts w:hint="eastAsia"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b w:val="0"/>
                <w:bCs w:val="0"/>
                <w:color w:val="auto"/>
                <w:kern w:val="2"/>
                <w:sz w:val="24"/>
                <w:szCs w:val="24"/>
                <w:highlight w:val="none"/>
                <w:lang w:val="en-US" w:eastAsia="zh-CN" w:bidi="ar-SA"/>
              </w:rPr>
              <w:t>集中收集后外售资源利用单位</w:t>
            </w:r>
            <w:r>
              <w:rPr>
                <w:rFonts w:hint="default" w:ascii="Times New Roman" w:hAnsi="Times New Roman" w:eastAsia="宋体" w:cs="Times New Roman"/>
                <w:snapToGrid w:val="0"/>
                <w:color w:val="auto"/>
                <w:kern w:val="2"/>
                <w:sz w:val="24"/>
                <w:szCs w:val="24"/>
                <w:highlight w:val="none"/>
                <w:lang w:val="en-US" w:eastAsia="zh-CN" w:bidi="ar-SA"/>
              </w:rPr>
              <w:t>。</w:t>
            </w:r>
          </w:p>
          <w:p w14:paraId="3F6FB6BA">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rPr>
              <w:t>④废浇冒口</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根据建设单位提供资料，</w:t>
            </w:r>
            <w:r>
              <w:rPr>
                <w:rFonts w:hint="eastAsia" w:ascii="Times New Roman" w:hAnsi="Times New Roman" w:cs="Times New Roman"/>
                <w:color w:val="auto"/>
                <w:kern w:val="2"/>
                <w:sz w:val="24"/>
                <w:szCs w:val="24"/>
                <w:highlight w:val="none"/>
                <w:lang w:val="en-US" w:eastAsia="zh-CN" w:bidi="ar-SA"/>
              </w:rPr>
              <w:t>项目去冒口阶段</w:t>
            </w:r>
            <w:r>
              <w:rPr>
                <w:rFonts w:hint="default" w:ascii="Times New Roman" w:hAnsi="Times New Roman" w:cs="Times New Roman"/>
                <w:color w:val="auto"/>
                <w:highlight w:val="none"/>
              </w:rPr>
              <w:t>废浇冒口</w:t>
            </w:r>
            <w:r>
              <w:rPr>
                <w:rFonts w:hint="eastAsia" w:ascii="Times New Roman" w:hAnsi="Times New Roman" w:cs="Times New Roman"/>
                <w:color w:val="auto"/>
                <w:highlight w:val="none"/>
                <w:lang w:val="en-US" w:eastAsia="zh-CN"/>
              </w:rPr>
              <w:t>产生量约</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t/a，一般固体废物，</w:t>
            </w:r>
            <w:r>
              <w:rPr>
                <w:rFonts w:hint="eastAsia" w:ascii="Times New Roman" w:hAnsi="Times New Roman" w:eastAsia="宋体" w:cs="Times New Roman"/>
                <w:b w:val="0"/>
                <w:bCs w:val="0"/>
                <w:color w:val="auto"/>
                <w:kern w:val="2"/>
                <w:sz w:val="24"/>
                <w:szCs w:val="24"/>
                <w:highlight w:val="none"/>
                <w:lang w:val="en-US" w:eastAsia="zh-CN" w:bidi="ar-SA"/>
              </w:rPr>
              <w:t>属于</w:t>
            </w:r>
            <w:r>
              <w:rPr>
                <w:rFonts w:hint="default" w:ascii="Times New Roman" w:hAnsi="Times New Roman" w:eastAsia="宋体" w:cs="Times New Roman"/>
                <w:color w:val="auto"/>
                <w:kern w:val="2"/>
                <w:sz w:val="24"/>
                <w:szCs w:val="24"/>
                <w:highlight w:val="none"/>
                <w:lang w:val="en-US" w:eastAsia="zh-CN" w:bidi="ar-SA"/>
              </w:rPr>
              <w:t>SW</w:t>
            </w:r>
            <w:r>
              <w:rPr>
                <w:rFonts w:hint="eastAsia" w:ascii="Times New Roman" w:hAnsi="Times New Roman" w:cs="Times New Roman"/>
                <w:color w:val="auto"/>
                <w:kern w:val="2"/>
                <w:sz w:val="24"/>
                <w:szCs w:val="24"/>
                <w:highlight w:val="none"/>
                <w:lang w:val="en-US" w:eastAsia="zh-CN" w:bidi="ar-SA"/>
              </w:rPr>
              <w:t>17可再生类废物，</w:t>
            </w:r>
            <w:r>
              <w:rPr>
                <w:rFonts w:hint="default" w:ascii="Times New Roman" w:hAnsi="Times New Roman" w:eastAsia="宋体" w:cs="Times New Roman"/>
                <w:color w:val="auto"/>
                <w:kern w:val="2"/>
                <w:sz w:val="24"/>
                <w:szCs w:val="24"/>
                <w:highlight w:val="none"/>
                <w:lang w:val="en-US" w:eastAsia="zh-CN" w:bidi="ar-SA"/>
              </w:rPr>
              <w:t>代码为 900-001-S17</w:t>
            </w:r>
            <w:r>
              <w:rPr>
                <w:rFonts w:hint="eastAsia" w:ascii="Times New Roman" w:hAnsi="Times New Roman" w:cs="Times New Roman"/>
                <w:color w:val="auto"/>
                <w:kern w:val="2"/>
                <w:sz w:val="24"/>
                <w:szCs w:val="24"/>
                <w:highlight w:val="none"/>
                <w:lang w:val="en-US" w:eastAsia="zh-CN" w:bidi="ar-SA"/>
              </w:rPr>
              <w:t>收集后回用于生产</w:t>
            </w:r>
            <w:r>
              <w:rPr>
                <w:rFonts w:hint="default" w:ascii="Times New Roman" w:hAnsi="Times New Roman" w:eastAsia="宋体" w:cs="Times New Roman"/>
                <w:color w:val="auto"/>
                <w:sz w:val="24"/>
                <w:szCs w:val="24"/>
                <w:highlight w:val="none"/>
                <w:lang w:val="en-US" w:eastAsia="zh-CN"/>
              </w:rPr>
              <w:t>。</w:t>
            </w:r>
          </w:p>
          <w:p w14:paraId="6E7DA5EE">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（2）危险废物：</w:t>
            </w:r>
          </w:p>
          <w:p w14:paraId="701E1068">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①废活性炭</w:t>
            </w:r>
          </w:p>
          <w:p w14:paraId="71CD7BF0">
            <w:pPr>
              <w:keepNext w:val="0"/>
              <w:keepLines w:val="0"/>
              <w:pageBreakBefore w:val="0"/>
              <w:widowControl/>
              <w:kinsoku/>
              <w:wordWrap/>
              <w:overflowPunct/>
              <w:topLinePunct/>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rPr>
            </w:pPr>
            <w:r>
              <w:rPr>
                <w:rFonts w:hint="eastAsia" w:ascii="Times New Roman" w:hAnsi="Times New Roman" w:cs="Times New Roman"/>
                <w:color w:val="auto"/>
                <w:kern w:val="2"/>
                <w:sz w:val="24"/>
                <w:szCs w:val="24"/>
                <w:highlight w:val="none"/>
                <w:lang w:val="en-US" w:eastAsia="zh-CN" w:bidi="ar-SA"/>
              </w:rPr>
              <w:t>本项目活性炭需定期更换，参照江苏省生态环境厅《涉活性炭吸附排污单位的排污许可管理要求》，</w:t>
            </w:r>
            <w:r>
              <w:rPr>
                <w:rFonts w:hint="default" w:ascii="Times New Roman" w:hAnsi="Times New Roman" w:eastAsia="宋体" w:cs="Times New Roman"/>
                <w:color w:val="auto"/>
                <w:kern w:val="2"/>
                <w:sz w:val="24"/>
                <w:szCs w:val="24"/>
                <w:highlight w:val="none"/>
                <w:lang w:val="en-US" w:eastAsia="zh-CN" w:bidi="ar-SA"/>
              </w:rPr>
              <w:t>活性炭动态吸附量</w:t>
            </w:r>
            <w:r>
              <w:rPr>
                <w:rFonts w:hint="eastAsia" w:ascii="Times New Roman" w:hAnsi="Times New Roman" w:cs="Times New Roman"/>
                <w:color w:val="auto"/>
                <w:kern w:val="2"/>
                <w:sz w:val="24"/>
                <w:szCs w:val="24"/>
                <w:highlight w:val="none"/>
                <w:lang w:val="en-US" w:eastAsia="zh-CN" w:bidi="ar-SA"/>
              </w:rPr>
              <w:t>为10%，</w:t>
            </w:r>
            <w:r>
              <w:rPr>
                <w:rFonts w:hint="default" w:ascii="Times New Roman" w:hAnsi="Times New Roman" w:eastAsia="宋体" w:cs="Times New Roman"/>
                <w:color w:val="auto"/>
                <w:kern w:val="2"/>
                <w:sz w:val="24"/>
                <w:szCs w:val="24"/>
                <w:highlight w:val="none"/>
                <w:lang w:val="en-US" w:eastAsia="zh-CN" w:bidi="ar-SA"/>
              </w:rPr>
              <w:t>本项目吸附的有机废气量为</w:t>
            </w:r>
            <w:r>
              <w:rPr>
                <w:rFonts w:hint="eastAsia" w:ascii="Times New Roman" w:hAnsi="Times New Roman" w:cs="Times New Roman"/>
                <w:color w:val="auto"/>
                <w:kern w:val="2"/>
                <w:sz w:val="24"/>
                <w:szCs w:val="24"/>
                <w:highlight w:val="none"/>
                <w:lang w:val="en-US" w:eastAsia="zh-CN" w:bidi="ar-SA"/>
              </w:rPr>
              <w:t>1.153</w:t>
            </w:r>
            <w:r>
              <w:rPr>
                <w:rFonts w:hint="default" w:ascii="Times New Roman" w:hAnsi="Times New Roman" w:eastAsia="宋体" w:cs="Times New Roman"/>
                <w:color w:val="auto"/>
                <w:kern w:val="2"/>
                <w:sz w:val="24"/>
                <w:szCs w:val="24"/>
                <w:highlight w:val="none"/>
                <w:lang w:val="en-US" w:eastAsia="zh-CN" w:bidi="ar-SA"/>
              </w:rPr>
              <w:t>t/a，经计算新活性炭使用量为</w:t>
            </w:r>
            <w:r>
              <w:rPr>
                <w:rFonts w:hint="eastAsia" w:ascii="Times New Roman" w:hAnsi="Times New Roman" w:cs="Times New Roman"/>
                <w:color w:val="auto"/>
                <w:kern w:val="2"/>
                <w:sz w:val="24"/>
                <w:szCs w:val="24"/>
                <w:highlight w:val="none"/>
                <w:lang w:val="en-US" w:eastAsia="zh-CN" w:bidi="ar-SA"/>
              </w:rPr>
              <w:t>11.54</w:t>
            </w:r>
            <w:r>
              <w:rPr>
                <w:rFonts w:hint="default" w:ascii="Times New Roman" w:hAnsi="Times New Roman" w:eastAsia="宋体" w:cs="Times New Roman"/>
                <w:color w:val="auto"/>
                <w:kern w:val="2"/>
                <w:sz w:val="24"/>
                <w:szCs w:val="24"/>
                <w:highlight w:val="none"/>
                <w:lang w:val="en-US" w:eastAsia="zh-CN" w:bidi="ar-SA"/>
              </w:rPr>
              <w:t>t/a。颗粒状活性炭堆积密度约为0.45-0.65t/m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，取中间值0.55t/m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，配备容积</w:t>
            </w:r>
            <w:r>
              <w:rPr>
                <w:rFonts w:hint="eastAsia" w:ascii="Times New Roman" w:hAnsi="Times New Roman" w:cs="Times New Roman"/>
                <w:color w:val="auto"/>
                <w:kern w:val="2"/>
                <w:sz w:val="24"/>
                <w:szCs w:val="24"/>
                <w:highlight w:val="none"/>
                <w:lang w:val="en-US" w:eastAsia="zh-CN" w:bidi="ar-SA"/>
              </w:rPr>
              <w:t>1.1</w:t>
            </w:r>
            <w:r>
              <w:rPr>
                <w:rFonts w:hint="default" w:ascii="Times New Roman" w:hAnsi="Times New Roman" w:eastAsia="宋体" w:cs="Times New Roman"/>
                <w:color w:val="auto"/>
                <w:kern w:val="2"/>
                <w:sz w:val="24"/>
                <w:szCs w:val="24"/>
                <w:highlight w:val="none"/>
                <w:lang w:val="en-US" w:eastAsia="zh-CN" w:bidi="ar-SA"/>
              </w:rPr>
              <w: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vertAlign w:val="baseline"/>
                <w:lang w:val="en-US" w:eastAsia="zh-CN" w:bidi="ar-SA"/>
              </w:rPr>
              <w:t>*2的活性炭吸附</w:t>
            </w:r>
            <w:r>
              <w:rPr>
                <w:rFonts w:hint="default" w:ascii="Times New Roman" w:hAnsi="Times New Roman" w:eastAsia="宋体" w:cs="Times New Roman"/>
                <w:color w:val="auto"/>
                <w:kern w:val="2"/>
                <w:sz w:val="24"/>
                <w:szCs w:val="24"/>
                <w:highlight w:val="none"/>
                <w:lang w:val="en-US" w:eastAsia="zh-CN" w:bidi="ar-SA"/>
              </w:rPr>
              <w:t>箱1套，活性炭装填量为</w:t>
            </w:r>
            <w:r>
              <w:rPr>
                <w:rFonts w:hint="eastAsia" w:ascii="Times New Roman" w:hAnsi="Times New Roman" w:cs="Times New Roman"/>
                <w:color w:val="auto"/>
                <w:kern w:val="2"/>
                <w:sz w:val="24"/>
                <w:szCs w:val="24"/>
                <w:highlight w:val="none"/>
                <w:lang w:val="en-US" w:eastAsia="zh-CN" w:bidi="ar-SA"/>
              </w:rPr>
              <w:t>1.21</w:t>
            </w:r>
            <w:r>
              <w:rPr>
                <w:rFonts w:hint="default" w:ascii="Times New Roman" w:hAnsi="Times New Roman" w:eastAsia="宋体" w:cs="Times New Roman"/>
                <w:color w:val="auto"/>
                <w:kern w:val="2"/>
                <w:sz w:val="24"/>
                <w:szCs w:val="24"/>
                <w:highlight w:val="none"/>
                <w:lang w:val="en-US" w:eastAsia="zh-CN" w:bidi="ar-SA"/>
              </w:rPr>
              <w:t>t/次，</w:t>
            </w:r>
            <w:r>
              <w:rPr>
                <w:rFonts w:hint="eastAsia" w:ascii="Times New Roman" w:hAnsi="Times New Roman" w:cs="Times New Roman"/>
                <w:color w:val="auto"/>
                <w:kern w:val="2"/>
                <w:sz w:val="24"/>
                <w:szCs w:val="24"/>
                <w:highlight w:val="none"/>
                <w:lang w:val="en-US" w:eastAsia="zh-CN" w:bidi="ar-SA"/>
              </w:rPr>
              <w:t>DA001与DA002活性炭箱</w:t>
            </w:r>
            <w:r>
              <w:rPr>
                <w:rFonts w:hint="default" w:ascii="Times New Roman" w:hAnsi="Times New Roman" w:eastAsia="宋体" w:cs="Times New Roman"/>
                <w:color w:val="auto"/>
                <w:kern w:val="2"/>
                <w:sz w:val="24"/>
                <w:szCs w:val="24"/>
                <w:highlight w:val="none"/>
                <w:lang w:val="en-US" w:eastAsia="zh-CN" w:bidi="ar-SA"/>
              </w:rPr>
              <w:t>年更换次数为</w:t>
            </w:r>
            <w:r>
              <w:rPr>
                <w:rFonts w:hint="eastAsia" w:ascii="Times New Roman" w:hAnsi="Times New Roman"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次，</w:t>
            </w:r>
            <w:r>
              <w:rPr>
                <w:rFonts w:hint="eastAsia" w:ascii="Times New Roman" w:hAnsi="Times New Roman" w:cs="Times New Roman"/>
                <w:color w:val="auto"/>
                <w:kern w:val="2"/>
                <w:sz w:val="24"/>
                <w:szCs w:val="24"/>
                <w:highlight w:val="none"/>
                <w:lang w:val="en-US" w:eastAsia="zh-CN" w:bidi="ar-SA"/>
              </w:rPr>
              <w:t>DA003活性炭箱</w:t>
            </w:r>
            <w:r>
              <w:rPr>
                <w:rFonts w:hint="default" w:ascii="Times New Roman" w:hAnsi="Times New Roman" w:eastAsia="宋体" w:cs="Times New Roman"/>
                <w:color w:val="auto"/>
                <w:kern w:val="2"/>
                <w:sz w:val="24"/>
                <w:szCs w:val="24"/>
                <w:highlight w:val="none"/>
                <w:lang w:val="en-US" w:eastAsia="zh-CN" w:bidi="ar-SA"/>
              </w:rPr>
              <w:t>年更换次数为</w:t>
            </w:r>
            <w:r>
              <w:rPr>
                <w:rFonts w:hint="eastAsia" w:ascii="Times New Roman" w:hAnsi="Times New Roman"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次</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吸附有机废气后的废活性炭产生量为</w:t>
            </w:r>
            <w:r>
              <w:rPr>
                <w:rFonts w:hint="eastAsia" w:ascii="Times New Roman" w:hAnsi="Times New Roman" w:cs="Times New Roman"/>
                <w:color w:val="auto"/>
                <w:kern w:val="2"/>
                <w:sz w:val="24"/>
                <w:szCs w:val="24"/>
                <w:highlight w:val="none"/>
                <w:lang w:val="en-US" w:eastAsia="zh-CN" w:bidi="ar-SA"/>
              </w:rPr>
              <w:t>13.25</w:t>
            </w:r>
            <w:r>
              <w:rPr>
                <w:rFonts w:hint="default" w:ascii="Times New Roman" w:hAnsi="Times New Roman" w:eastAsia="宋体" w:cs="Times New Roman"/>
                <w:color w:val="auto"/>
                <w:kern w:val="2"/>
                <w:sz w:val="24"/>
                <w:szCs w:val="24"/>
                <w:highlight w:val="none"/>
                <w:lang w:val="en-US" w:eastAsia="zh-CN" w:bidi="ar-SA"/>
              </w:rPr>
              <w:t>t/a，</w:t>
            </w:r>
            <w:r>
              <w:rPr>
                <w:rFonts w:ascii="Times New Roman" w:hAnsi="Times New Roman" w:eastAsia="宋体" w:cs="Times New Roman"/>
                <w:color w:val="auto"/>
                <w:spacing w:val="6"/>
                <w:sz w:val="24"/>
                <w:szCs w:val="24"/>
                <w:highlight w:val="none"/>
              </w:rPr>
              <w:t>危废类别</w:t>
            </w:r>
            <w:r>
              <w:rPr>
                <w:rFonts w:hint="default" w:ascii="Times New Roman" w:hAnsi="Times New Roman" w:cs="Times New Roman"/>
                <w:color w:val="auto"/>
                <w:sz w:val="24"/>
                <w:szCs w:val="24"/>
                <w:highlight w:val="none"/>
                <w:lang w:val="en-US" w:eastAsia="zh-CN"/>
              </w:rPr>
              <w:t>HW49其他废物，危废代码900-039-49（烟气、VOCs治理过程（不包括餐饮行业油烟治理过程）产生的废活性炭）</w:t>
            </w:r>
            <w:r>
              <w:rPr>
                <w:rFonts w:hint="default" w:ascii="Times New Roman" w:hAnsi="Times New Roman" w:eastAsia="宋体" w:cs="Times New Roman"/>
                <w:color w:val="auto"/>
                <w:kern w:val="2"/>
                <w:sz w:val="24"/>
                <w:szCs w:val="24"/>
                <w:highlight w:val="none"/>
                <w:lang w:val="en-US" w:eastAsia="zh-CN" w:bidi="ar-SA"/>
              </w:rPr>
              <w:t>委托有资质单位处理</w:t>
            </w:r>
            <w:r>
              <w:rPr>
                <w:rFonts w:hint="default" w:ascii="Times New Roman" w:hAnsi="Times New Roman" w:cs="Times New Roman"/>
                <w:color w:val="auto"/>
                <w:highlight w:val="none"/>
              </w:rPr>
              <w:t>。</w:t>
            </w:r>
          </w:p>
          <w:p w14:paraId="4D7F84FA">
            <w:pPr>
              <w:pStyle w:val="7"/>
              <w:bidi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highlight w:val="none"/>
                <w:lang w:eastAsia="zh-CN"/>
              </w:rPr>
              <w:t>②</w:t>
            </w:r>
            <w:r>
              <w:rPr>
                <w:rFonts w:hint="default" w:ascii="Times New Roman" w:hAnsi="Times New Roman" w:cs="Times New Roman"/>
                <w:color w:val="auto"/>
                <w:highlight w:val="none"/>
              </w:rPr>
              <w:t>废机油</w:t>
            </w:r>
            <w:r>
              <w:rPr>
                <w:rFonts w:hint="eastAsia" w:ascii="Times New Roman" w:hAnsi="Times New Roman" w:cs="Times New Roman"/>
                <w:color w:val="auto"/>
                <w:highlight w:val="none"/>
                <w:lang w:eastAsia="zh-CN"/>
              </w:rPr>
              <w:t>：</w:t>
            </w:r>
            <w:r>
              <w:rPr>
                <w:rFonts w:hint="default" w:ascii="Times New Roman" w:hAnsi="Times New Roman" w:eastAsia="宋体" w:cs="Times New Roman"/>
                <w:b w:val="0"/>
                <w:bCs/>
                <w:color w:val="auto"/>
                <w:sz w:val="24"/>
                <w:szCs w:val="24"/>
                <w:highlight w:val="none"/>
                <w:lang w:val="en-US" w:eastAsia="zh-CN"/>
              </w:rPr>
              <w:t>设备维修保养产生的废矿物油</w:t>
            </w:r>
            <w:r>
              <w:rPr>
                <w:rFonts w:hint="default" w:ascii="Times New Roman" w:hAnsi="Times New Roman" w:cs="Times New Roman"/>
                <w:color w:val="auto"/>
                <w:sz w:val="24"/>
                <w:szCs w:val="24"/>
                <w:highlight w:val="none"/>
                <w:lang w:val="en-US" w:eastAsia="zh-CN"/>
              </w:rPr>
              <w:t>产生量0.</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t/a，</w:t>
            </w:r>
            <w:r>
              <w:rPr>
                <w:rFonts w:hint="default" w:ascii="Times New Roman" w:hAnsi="Times New Roman" w:cs="Times New Roman"/>
                <w:color w:val="auto"/>
                <w:highlight w:val="none"/>
              </w:rPr>
              <w:t>根据《国家危险废物名录》（202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年版），</w:t>
            </w:r>
            <w:r>
              <w:rPr>
                <w:rFonts w:hint="default" w:ascii="Times New Roman" w:hAnsi="Times New Roman" w:cs="Times New Roman"/>
                <w:color w:val="auto"/>
                <w:sz w:val="24"/>
                <w:szCs w:val="24"/>
                <w:highlight w:val="none"/>
                <w:lang w:val="en-US" w:eastAsia="zh-CN"/>
              </w:rPr>
              <w:t>属于HW08废矿物油与含矿物油废物，危废代码900-214-08（车辆、轮船及其它机械维修过程中产生的废发动机油、制动器油、自动变速器油、齿轮油等废润滑油），</w:t>
            </w:r>
            <w:r>
              <w:rPr>
                <w:rFonts w:hint="default" w:ascii="Times New Roman" w:hAnsi="Times New Roman" w:eastAsia="宋体" w:cs="Times New Roman"/>
                <w:color w:val="auto"/>
                <w:spacing w:val="0"/>
                <w:w w:val="100"/>
                <w:position w:val="0"/>
                <w:sz w:val="24"/>
                <w:szCs w:val="24"/>
                <w:highlight w:val="none"/>
              </w:rPr>
              <w:t>暂存</w:t>
            </w:r>
            <w:r>
              <w:rPr>
                <w:rFonts w:hint="eastAsia" w:ascii="Times New Roman" w:hAnsi="Times New Roman" w:eastAsia="宋体" w:cs="Times New Roman"/>
                <w:color w:val="auto"/>
                <w:spacing w:val="0"/>
                <w:w w:val="100"/>
                <w:position w:val="0"/>
                <w:sz w:val="24"/>
                <w:szCs w:val="24"/>
                <w:highlight w:val="none"/>
                <w:lang w:eastAsia="zh-CN"/>
              </w:rPr>
              <w:t>于危废暂存间</w:t>
            </w:r>
            <w:r>
              <w:rPr>
                <w:rFonts w:hint="default" w:ascii="Times New Roman" w:hAnsi="Times New Roman" w:eastAsia="宋体" w:cs="Times New Roman"/>
                <w:color w:val="auto"/>
                <w:spacing w:val="0"/>
                <w:w w:val="100"/>
                <w:position w:val="0"/>
                <w:sz w:val="24"/>
                <w:szCs w:val="24"/>
                <w:highlight w:val="none"/>
              </w:rPr>
              <w:t>，委托有资质单位处置</w:t>
            </w:r>
            <w:r>
              <w:rPr>
                <w:rFonts w:hint="default" w:ascii="Times New Roman" w:hAnsi="Times New Roman" w:cs="Times New Roman"/>
                <w:color w:val="auto"/>
                <w:sz w:val="24"/>
                <w:szCs w:val="24"/>
                <w:highlight w:val="none"/>
                <w:lang w:val="en-US" w:eastAsia="zh-CN"/>
              </w:rPr>
              <w:t>。</w:t>
            </w:r>
          </w:p>
          <w:p w14:paraId="53C6FDF4">
            <w:pPr>
              <w:pStyle w:val="7"/>
              <w:bidi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highlight w:val="none"/>
              </w:rPr>
              <w:t>③废机油桶</w:t>
            </w:r>
            <w:r>
              <w:rPr>
                <w:rFonts w:hint="eastAsia" w:ascii="Times New Roman" w:hAnsi="Times New Roman" w:cs="Times New Roman"/>
                <w:color w:val="auto"/>
                <w:highlight w:val="none"/>
                <w:lang w:eastAsia="zh-CN"/>
              </w:rPr>
              <w:t>：</w:t>
            </w:r>
            <w:r>
              <w:rPr>
                <w:rFonts w:hint="default" w:ascii="Times New Roman" w:hAnsi="Times New Roman" w:cs="Times New Roman"/>
                <w:color w:val="auto"/>
                <w:sz w:val="24"/>
                <w:szCs w:val="24"/>
                <w:highlight w:val="none"/>
                <w:lang w:val="en-US" w:eastAsia="zh-CN"/>
              </w:rPr>
              <w:t>产生量0.01t/a，</w:t>
            </w:r>
            <w:r>
              <w:rPr>
                <w:rFonts w:hint="default" w:ascii="Times New Roman" w:hAnsi="Times New Roman" w:cs="Times New Roman"/>
                <w:color w:val="auto"/>
                <w:highlight w:val="none"/>
              </w:rPr>
              <w:t>根据《国家危险废物名录》（202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年版），</w:t>
            </w:r>
            <w:r>
              <w:rPr>
                <w:rFonts w:hint="default" w:ascii="Times New Roman" w:hAnsi="Times New Roman" w:cs="Times New Roman"/>
                <w:color w:val="auto"/>
                <w:sz w:val="24"/>
                <w:szCs w:val="24"/>
                <w:highlight w:val="none"/>
                <w:lang w:val="en-US" w:eastAsia="zh-CN"/>
              </w:rPr>
              <w:t>属于HW08废矿物油与含矿物油废物，危废代码900-249-08（其他生产、销售、使用过程中产生的废矿物油及沾染矿物油的废弃包装物），</w:t>
            </w:r>
            <w:r>
              <w:rPr>
                <w:rFonts w:hint="default" w:ascii="Times New Roman" w:hAnsi="Times New Roman" w:eastAsia="宋体" w:cs="Times New Roman"/>
                <w:color w:val="auto"/>
                <w:spacing w:val="0"/>
                <w:w w:val="100"/>
                <w:position w:val="0"/>
                <w:sz w:val="24"/>
                <w:szCs w:val="24"/>
                <w:highlight w:val="none"/>
              </w:rPr>
              <w:t>暂存</w:t>
            </w:r>
            <w:r>
              <w:rPr>
                <w:rFonts w:hint="eastAsia" w:ascii="Times New Roman" w:hAnsi="Times New Roman" w:eastAsia="宋体" w:cs="Times New Roman"/>
                <w:color w:val="auto"/>
                <w:spacing w:val="0"/>
                <w:w w:val="100"/>
                <w:position w:val="0"/>
                <w:sz w:val="24"/>
                <w:szCs w:val="24"/>
                <w:highlight w:val="none"/>
                <w:lang w:eastAsia="zh-CN"/>
              </w:rPr>
              <w:t>于危废暂存间</w:t>
            </w:r>
            <w:r>
              <w:rPr>
                <w:rFonts w:hint="default" w:ascii="Times New Roman" w:hAnsi="Times New Roman" w:eastAsia="宋体" w:cs="Times New Roman"/>
                <w:color w:val="auto"/>
                <w:spacing w:val="0"/>
                <w:w w:val="100"/>
                <w:position w:val="0"/>
                <w:sz w:val="24"/>
                <w:szCs w:val="24"/>
                <w:highlight w:val="none"/>
              </w:rPr>
              <w:t>，委托有资质单位处置</w:t>
            </w:r>
            <w:r>
              <w:rPr>
                <w:rFonts w:hint="default" w:ascii="Times New Roman" w:hAnsi="Times New Roman" w:cs="Times New Roman"/>
                <w:color w:val="auto"/>
                <w:sz w:val="24"/>
                <w:szCs w:val="24"/>
                <w:highlight w:val="none"/>
                <w:lang w:val="en-US" w:eastAsia="zh-CN"/>
              </w:rPr>
              <w:t>。</w:t>
            </w:r>
          </w:p>
          <w:p w14:paraId="2B8E60D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2、排放源信息表</w:t>
            </w:r>
          </w:p>
          <w:p w14:paraId="26CDEEF9">
            <w:pPr>
              <w:pStyle w:val="23"/>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表4-1</w:t>
            </w:r>
            <w:r>
              <w:rPr>
                <w:rFonts w:hint="eastAsia" w:ascii="Times New Roman" w:hAnsi="Times New Roman" w:cs="Times New Roman"/>
                <w:b/>
                <w:bCs w:val="0"/>
                <w:color w:val="auto"/>
                <w:sz w:val="24"/>
                <w:szCs w:val="24"/>
                <w:highlight w:val="none"/>
                <w:lang w:val="en-US" w:eastAsia="zh-CN"/>
              </w:rPr>
              <w:t>3</w:t>
            </w:r>
            <w:r>
              <w:rPr>
                <w:rFonts w:hint="default" w:ascii="Times New Roman" w:hAnsi="Times New Roman" w:eastAsia="宋体" w:cs="Times New Roman"/>
                <w:b/>
                <w:bCs w:val="0"/>
                <w:color w:val="auto"/>
                <w:sz w:val="24"/>
                <w:szCs w:val="24"/>
                <w:highlight w:val="none"/>
                <w:lang w:val="en-US" w:eastAsia="zh-CN"/>
              </w:rPr>
              <w:t>项目固废污染物排放源信息表</w:t>
            </w:r>
          </w:p>
          <w:p w14:paraId="777C4E84">
            <w:pPr>
              <w:spacing w:line="148" w:lineRule="exact"/>
              <w:rPr>
                <w:rFonts w:hint="default" w:ascii="Times New Roman" w:hAnsi="Times New Roman" w:cs="Times New Roman"/>
                <w:color w:val="auto"/>
              </w:rPr>
            </w:pPr>
          </w:p>
          <w:tbl>
            <w:tblPr>
              <w:tblStyle w:val="21"/>
              <w:tblW w:w="13039"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383"/>
              <w:gridCol w:w="1108"/>
              <w:gridCol w:w="1514"/>
              <w:gridCol w:w="943"/>
              <w:gridCol w:w="1057"/>
              <w:gridCol w:w="1218"/>
              <w:gridCol w:w="660"/>
              <w:gridCol w:w="806"/>
              <w:gridCol w:w="1004"/>
              <w:gridCol w:w="1191"/>
              <w:gridCol w:w="1178"/>
              <w:gridCol w:w="975"/>
              <w:gridCol w:w="1002"/>
            </w:tblGrid>
            <w:tr w14:paraId="65AA2F8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63" w:hRule="atLeast"/>
                <w:jc w:val="center"/>
              </w:trPr>
              <w:tc>
                <w:tcPr>
                  <w:tcW w:w="383" w:type="dxa"/>
                  <w:vMerge w:val="restart"/>
                  <w:tcBorders>
                    <w:tl2br w:val="nil"/>
                    <w:tr2bl w:val="nil"/>
                  </w:tcBorders>
                  <w:vAlign w:val="center"/>
                </w:tcPr>
                <w:p w14:paraId="02B0E55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1"/>
                      <w:sz w:val="21"/>
                      <w:szCs w:val="21"/>
                    </w:rPr>
                    <w:t>序号</w:t>
                  </w:r>
                </w:p>
              </w:tc>
              <w:tc>
                <w:tcPr>
                  <w:tcW w:w="1108" w:type="dxa"/>
                  <w:vMerge w:val="restart"/>
                  <w:tcBorders>
                    <w:tl2br w:val="nil"/>
                    <w:tr2bl w:val="nil"/>
                  </w:tcBorders>
                  <w:vAlign w:val="center"/>
                </w:tcPr>
                <w:p w14:paraId="732733B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装置/生产线/工序</w:t>
                  </w:r>
                </w:p>
              </w:tc>
              <w:tc>
                <w:tcPr>
                  <w:tcW w:w="1514" w:type="dxa"/>
                  <w:vMerge w:val="restart"/>
                  <w:tcBorders>
                    <w:tl2br w:val="nil"/>
                    <w:tr2bl w:val="nil"/>
                  </w:tcBorders>
                  <w:vAlign w:val="center"/>
                </w:tcPr>
                <w:p w14:paraId="3A30F79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固体废物名称</w:t>
                  </w:r>
                </w:p>
              </w:tc>
              <w:tc>
                <w:tcPr>
                  <w:tcW w:w="943" w:type="dxa"/>
                  <w:vMerge w:val="restart"/>
                  <w:tcBorders>
                    <w:tl2br w:val="nil"/>
                    <w:tr2bl w:val="nil"/>
                  </w:tcBorders>
                  <w:vAlign w:val="center"/>
                </w:tcPr>
                <w:p w14:paraId="193B831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固废属性</w:t>
                  </w:r>
                </w:p>
              </w:tc>
              <w:tc>
                <w:tcPr>
                  <w:tcW w:w="1057" w:type="dxa"/>
                  <w:vMerge w:val="restart"/>
                  <w:tcBorders>
                    <w:tl2br w:val="nil"/>
                    <w:tr2bl w:val="nil"/>
                  </w:tcBorders>
                  <w:vAlign w:val="center"/>
                </w:tcPr>
                <w:p w14:paraId="0C1DC4C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废物</w:t>
                  </w:r>
                  <w:r>
                    <w:rPr>
                      <w:rFonts w:hint="default" w:ascii="Times New Roman" w:hAnsi="Times New Roman" w:eastAsia="宋体" w:cs="Times New Roman"/>
                      <w:b/>
                      <w:bCs/>
                      <w:color w:val="auto"/>
                      <w:spacing w:val="-2"/>
                      <w:sz w:val="21"/>
                      <w:szCs w:val="21"/>
                    </w:rPr>
                    <w:t>代码</w:t>
                  </w:r>
                </w:p>
              </w:tc>
              <w:tc>
                <w:tcPr>
                  <w:tcW w:w="3688" w:type="dxa"/>
                  <w:gridSpan w:val="4"/>
                  <w:tcBorders>
                    <w:tl2br w:val="nil"/>
                    <w:tr2bl w:val="nil"/>
                  </w:tcBorders>
                  <w:vAlign w:val="center"/>
                </w:tcPr>
                <w:p w14:paraId="4CC5423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产生量</w:t>
                  </w:r>
                </w:p>
              </w:tc>
              <w:tc>
                <w:tcPr>
                  <w:tcW w:w="1191" w:type="dxa"/>
                  <w:vMerge w:val="restart"/>
                  <w:tcBorders>
                    <w:tl2br w:val="nil"/>
                    <w:tr2bl w:val="nil"/>
                  </w:tcBorders>
                  <w:vAlign w:val="center"/>
                </w:tcPr>
                <w:p w14:paraId="7FCEB2B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贮存方式</w:t>
                  </w:r>
                </w:p>
              </w:tc>
              <w:tc>
                <w:tcPr>
                  <w:tcW w:w="2153" w:type="dxa"/>
                  <w:gridSpan w:val="2"/>
                  <w:tcBorders>
                    <w:tl2br w:val="nil"/>
                    <w:tr2bl w:val="nil"/>
                  </w:tcBorders>
                  <w:vAlign w:val="center"/>
                </w:tcPr>
                <w:p w14:paraId="534C35B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利用或处置</w:t>
                  </w:r>
                </w:p>
              </w:tc>
              <w:tc>
                <w:tcPr>
                  <w:tcW w:w="1002" w:type="dxa"/>
                  <w:vMerge w:val="restart"/>
                  <w:tcBorders>
                    <w:tl2br w:val="nil"/>
                    <w:tr2bl w:val="nil"/>
                  </w:tcBorders>
                  <w:vAlign w:val="center"/>
                </w:tcPr>
                <w:p w14:paraId="338A838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处置去向</w:t>
                  </w:r>
                </w:p>
              </w:tc>
            </w:tr>
            <w:tr w14:paraId="772237A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383" w:type="dxa"/>
                  <w:vMerge w:val="continue"/>
                  <w:tcBorders>
                    <w:tl2br w:val="nil"/>
                    <w:tr2bl w:val="nil"/>
                  </w:tcBorders>
                  <w:textDirection w:val="tbRlV"/>
                  <w:vAlign w:val="center"/>
                </w:tcPr>
                <w:p w14:paraId="5396FA3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rPr>
                  </w:pPr>
                </w:p>
              </w:tc>
              <w:tc>
                <w:tcPr>
                  <w:tcW w:w="1108" w:type="dxa"/>
                  <w:vMerge w:val="continue"/>
                  <w:tcBorders>
                    <w:tl2br w:val="nil"/>
                    <w:tr2bl w:val="nil"/>
                  </w:tcBorders>
                  <w:vAlign w:val="center"/>
                </w:tcPr>
                <w:p w14:paraId="759E2D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rPr>
                  </w:pPr>
                </w:p>
              </w:tc>
              <w:tc>
                <w:tcPr>
                  <w:tcW w:w="1514" w:type="dxa"/>
                  <w:vMerge w:val="continue"/>
                  <w:tcBorders>
                    <w:tl2br w:val="nil"/>
                    <w:tr2bl w:val="nil"/>
                  </w:tcBorders>
                  <w:vAlign w:val="center"/>
                </w:tcPr>
                <w:p w14:paraId="181F39E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rPr>
                  </w:pPr>
                </w:p>
              </w:tc>
              <w:tc>
                <w:tcPr>
                  <w:tcW w:w="943" w:type="dxa"/>
                  <w:vMerge w:val="continue"/>
                  <w:tcBorders>
                    <w:tl2br w:val="nil"/>
                    <w:tr2bl w:val="nil"/>
                  </w:tcBorders>
                  <w:vAlign w:val="center"/>
                </w:tcPr>
                <w:p w14:paraId="688A90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rPr>
                  </w:pPr>
                </w:p>
              </w:tc>
              <w:tc>
                <w:tcPr>
                  <w:tcW w:w="1057" w:type="dxa"/>
                  <w:vMerge w:val="continue"/>
                  <w:tcBorders>
                    <w:tl2br w:val="nil"/>
                    <w:tr2bl w:val="nil"/>
                  </w:tcBorders>
                  <w:vAlign w:val="center"/>
                </w:tcPr>
                <w:p w14:paraId="353847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rPr>
                  </w:pPr>
                </w:p>
              </w:tc>
              <w:tc>
                <w:tcPr>
                  <w:tcW w:w="1218" w:type="dxa"/>
                  <w:tcBorders>
                    <w:tl2br w:val="nil"/>
                    <w:tr2bl w:val="nil"/>
                  </w:tcBorders>
                  <w:vAlign w:val="center"/>
                </w:tcPr>
                <w:p w14:paraId="1A42128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主要有毒有害物质名称</w:t>
                  </w:r>
                </w:p>
              </w:tc>
              <w:tc>
                <w:tcPr>
                  <w:tcW w:w="660" w:type="dxa"/>
                  <w:tcBorders>
                    <w:tl2br w:val="nil"/>
                    <w:tr2bl w:val="nil"/>
                  </w:tcBorders>
                  <w:vAlign w:val="center"/>
                </w:tcPr>
                <w:p w14:paraId="3F39DD1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物理</w:t>
                  </w:r>
                </w:p>
                <w:p w14:paraId="65E02B1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性状</w:t>
                  </w:r>
                </w:p>
              </w:tc>
              <w:tc>
                <w:tcPr>
                  <w:tcW w:w="806" w:type="dxa"/>
                  <w:tcBorders>
                    <w:tl2br w:val="nil"/>
                    <w:tr2bl w:val="nil"/>
                  </w:tcBorders>
                  <w:vAlign w:val="center"/>
                </w:tcPr>
                <w:p w14:paraId="381975A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环境危</w:t>
                  </w:r>
                  <w:r>
                    <w:rPr>
                      <w:rFonts w:hint="default" w:ascii="Times New Roman" w:hAnsi="Times New Roman" w:eastAsia="宋体" w:cs="Times New Roman"/>
                      <w:b/>
                      <w:bCs/>
                      <w:color w:val="auto"/>
                      <w:spacing w:val="-6"/>
                      <w:sz w:val="21"/>
                      <w:szCs w:val="21"/>
                    </w:rPr>
                    <w:t>险特性</w:t>
                  </w:r>
                </w:p>
              </w:tc>
              <w:tc>
                <w:tcPr>
                  <w:tcW w:w="1004" w:type="dxa"/>
                  <w:tcBorders>
                    <w:tl2br w:val="nil"/>
                    <w:tr2bl w:val="nil"/>
                  </w:tcBorders>
                  <w:vAlign w:val="center"/>
                </w:tcPr>
                <w:p w14:paraId="06C49B6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年度产生量（t/a）</w:t>
                  </w:r>
                </w:p>
              </w:tc>
              <w:tc>
                <w:tcPr>
                  <w:tcW w:w="1191" w:type="dxa"/>
                  <w:vMerge w:val="continue"/>
                  <w:tcBorders>
                    <w:tl2br w:val="nil"/>
                    <w:tr2bl w:val="nil"/>
                  </w:tcBorders>
                  <w:vAlign w:val="center"/>
                </w:tcPr>
                <w:p w14:paraId="133E13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rPr>
                  </w:pPr>
                </w:p>
              </w:tc>
              <w:tc>
                <w:tcPr>
                  <w:tcW w:w="1178" w:type="dxa"/>
                  <w:tcBorders>
                    <w:tl2br w:val="nil"/>
                    <w:tr2bl w:val="nil"/>
                  </w:tcBorders>
                  <w:vAlign w:val="center"/>
                </w:tcPr>
                <w:p w14:paraId="5FBCE87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方式</w:t>
                  </w:r>
                </w:p>
              </w:tc>
              <w:tc>
                <w:tcPr>
                  <w:tcW w:w="975" w:type="dxa"/>
                  <w:tcBorders>
                    <w:tl2br w:val="nil"/>
                    <w:tr2bl w:val="nil"/>
                  </w:tcBorders>
                  <w:vAlign w:val="center"/>
                </w:tcPr>
                <w:p w14:paraId="2044721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2"/>
                      <w:sz w:val="21"/>
                      <w:szCs w:val="21"/>
                    </w:rPr>
                    <w:t>数量（t/a）</w:t>
                  </w:r>
                </w:p>
              </w:tc>
              <w:tc>
                <w:tcPr>
                  <w:tcW w:w="1002" w:type="dxa"/>
                  <w:vMerge w:val="continue"/>
                  <w:tcBorders>
                    <w:tl2br w:val="nil"/>
                    <w:tr2bl w:val="nil"/>
                  </w:tcBorders>
                  <w:vAlign w:val="center"/>
                </w:tcPr>
                <w:p w14:paraId="79DD86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rPr>
                  </w:pPr>
                </w:p>
              </w:tc>
            </w:tr>
            <w:tr w14:paraId="6E359D5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383" w:type="dxa"/>
                  <w:tcBorders>
                    <w:tl2br w:val="nil"/>
                    <w:tr2bl w:val="nil"/>
                  </w:tcBorders>
                  <w:vAlign w:val="center"/>
                </w:tcPr>
                <w:p w14:paraId="0AF1D4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08" w:type="dxa"/>
                  <w:tcBorders>
                    <w:tl2br w:val="nil"/>
                    <w:tr2bl w:val="nil"/>
                  </w:tcBorders>
                  <w:shd w:val="clear" w:color="auto" w:fill="auto"/>
                  <w:vAlign w:val="center"/>
                </w:tcPr>
                <w:p w14:paraId="157E2C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包装过程</w:t>
                  </w:r>
                </w:p>
              </w:tc>
              <w:tc>
                <w:tcPr>
                  <w:tcW w:w="1514" w:type="dxa"/>
                  <w:tcBorders>
                    <w:tl2br w:val="nil"/>
                    <w:tr2bl w:val="nil"/>
                  </w:tcBorders>
                  <w:shd w:val="clear" w:color="auto" w:fill="auto"/>
                  <w:vAlign w:val="center"/>
                </w:tcPr>
                <w:p w14:paraId="34BB119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废包装材料</w:t>
                  </w:r>
                </w:p>
              </w:tc>
              <w:tc>
                <w:tcPr>
                  <w:tcW w:w="943" w:type="dxa"/>
                  <w:tcBorders>
                    <w:tl2br w:val="nil"/>
                    <w:tr2bl w:val="nil"/>
                  </w:tcBorders>
                  <w:shd w:val="clear" w:color="auto" w:fill="auto"/>
                  <w:vAlign w:val="center"/>
                </w:tcPr>
                <w:p w14:paraId="3C47FE0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一般固废</w:t>
                  </w:r>
                </w:p>
              </w:tc>
              <w:tc>
                <w:tcPr>
                  <w:tcW w:w="1057" w:type="dxa"/>
                  <w:tcBorders>
                    <w:tl2br w:val="nil"/>
                    <w:tr2bl w:val="nil"/>
                  </w:tcBorders>
                  <w:shd w:val="clear" w:color="auto" w:fill="auto"/>
                  <w:vAlign w:val="center"/>
                </w:tcPr>
                <w:p w14:paraId="6698C17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900-099-S</w:t>
                  </w:r>
                  <w:r>
                    <w:rPr>
                      <w:rFonts w:hint="eastAsia" w:ascii="Times New Roman" w:hAnsi="Times New Roman" w:eastAsia="宋体" w:cs="Times New Roman"/>
                      <w:color w:val="auto"/>
                      <w:sz w:val="21"/>
                      <w:szCs w:val="21"/>
                      <w:lang w:val="en-US" w:eastAsia="zh-CN"/>
                    </w:rPr>
                    <w:t>5</w:t>
                  </w:r>
                  <w:r>
                    <w:rPr>
                      <w:rFonts w:hint="eastAsia" w:ascii="Times New Roman" w:hAnsi="Times New Roman" w:cs="Times New Roman"/>
                      <w:color w:val="auto"/>
                      <w:sz w:val="21"/>
                      <w:szCs w:val="21"/>
                      <w:lang w:val="en-US" w:eastAsia="zh-CN"/>
                    </w:rPr>
                    <w:t>9</w:t>
                  </w:r>
                </w:p>
              </w:tc>
              <w:tc>
                <w:tcPr>
                  <w:tcW w:w="1218" w:type="dxa"/>
                  <w:tcBorders>
                    <w:tl2br w:val="nil"/>
                    <w:tr2bl w:val="nil"/>
                  </w:tcBorders>
                  <w:shd w:val="clear" w:color="auto" w:fill="auto"/>
                  <w:vAlign w:val="center"/>
                </w:tcPr>
                <w:p w14:paraId="2DE50D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w:t>
                  </w:r>
                </w:p>
              </w:tc>
              <w:tc>
                <w:tcPr>
                  <w:tcW w:w="660" w:type="dxa"/>
                  <w:tcBorders>
                    <w:tl2br w:val="nil"/>
                    <w:tr2bl w:val="nil"/>
                  </w:tcBorders>
                  <w:shd w:val="clear" w:color="auto" w:fill="auto"/>
                  <w:vAlign w:val="center"/>
                </w:tcPr>
                <w:p w14:paraId="2182D6C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7"/>
                      <w:sz w:val="21"/>
                      <w:szCs w:val="21"/>
                    </w:rPr>
                    <w:t>固态</w:t>
                  </w:r>
                </w:p>
              </w:tc>
              <w:tc>
                <w:tcPr>
                  <w:tcW w:w="806" w:type="dxa"/>
                  <w:tcBorders>
                    <w:tl2br w:val="nil"/>
                    <w:tr2bl w:val="nil"/>
                  </w:tcBorders>
                  <w:shd w:val="clear" w:color="auto" w:fill="auto"/>
                  <w:vAlign w:val="center"/>
                </w:tcPr>
                <w:p w14:paraId="2F84723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w:t>
                  </w:r>
                </w:p>
              </w:tc>
              <w:tc>
                <w:tcPr>
                  <w:tcW w:w="1004" w:type="dxa"/>
                  <w:tcBorders>
                    <w:tl2br w:val="nil"/>
                    <w:tr2bl w:val="nil"/>
                  </w:tcBorders>
                  <w:shd w:val="clear" w:color="auto" w:fill="auto"/>
                  <w:vAlign w:val="center"/>
                </w:tcPr>
                <w:p w14:paraId="480E9A9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1.0</w:t>
                  </w:r>
                </w:p>
              </w:tc>
              <w:tc>
                <w:tcPr>
                  <w:tcW w:w="1191" w:type="dxa"/>
                  <w:tcBorders>
                    <w:tl2br w:val="nil"/>
                    <w:tr2bl w:val="nil"/>
                  </w:tcBorders>
                  <w:shd w:val="clear" w:color="auto" w:fill="auto"/>
                  <w:vAlign w:val="center"/>
                </w:tcPr>
                <w:p w14:paraId="4DAB79C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4"/>
                      <w:lang w:val="en-US" w:eastAsia="en-US" w:bidi="ar-SA"/>
                    </w:rPr>
                  </w:pPr>
                  <w:r>
                    <w:rPr>
                      <w:rFonts w:hint="default" w:ascii="Times New Roman" w:hAnsi="Times New Roman" w:eastAsia="宋体" w:cs="Times New Roman"/>
                      <w:color w:val="auto"/>
                      <w:spacing w:val="-24"/>
                      <w:sz w:val="21"/>
                      <w:szCs w:val="21"/>
                    </w:rPr>
                    <w:t>袋装；一般</w:t>
                  </w:r>
                  <w:r>
                    <w:rPr>
                      <w:rFonts w:hint="default" w:ascii="Times New Roman" w:hAnsi="Times New Roman" w:eastAsia="宋体" w:cs="Times New Roman"/>
                      <w:color w:val="auto"/>
                      <w:spacing w:val="-5"/>
                      <w:sz w:val="21"/>
                      <w:szCs w:val="21"/>
                    </w:rPr>
                    <w:t>固废暂存间</w:t>
                  </w:r>
                </w:p>
              </w:tc>
              <w:tc>
                <w:tcPr>
                  <w:tcW w:w="1178" w:type="dxa"/>
                  <w:tcBorders>
                    <w:tl2br w:val="nil"/>
                    <w:tr2bl w:val="nil"/>
                  </w:tcBorders>
                  <w:shd w:val="clear" w:color="auto" w:fill="auto"/>
                  <w:vAlign w:val="center"/>
                </w:tcPr>
                <w:p w14:paraId="65F225D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4"/>
                      <w:lang w:val="en-US" w:eastAsia="en-US" w:bidi="ar-SA"/>
                    </w:rPr>
                  </w:pPr>
                  <w:r>
                    <w:rPr>
                      <w:rFonts w:hint="default" w:ascii="Times New Roman" w:hAnsi="Times New Roman" w:eastAsia="宋体" w:cs="Times New Roman"/>
                      <w:color w:val="auto"/>
                      <w:spacing w:val="-3"/>
                      <w:sz w:val="21"/>
                      <w:szCs w:val="21"/>
                    </w:rPr>
                    <w:t>资源化利用</w:t>
                  </w:r>
                </w:p>
              </w:tc>
              <w:tc>
                <w:tcPr>
                  <w:tcW w:w="975" w:type="dxa"/>
                  <w:tcBorders>
                    <w:tl2br w:val="nil"/>
                    <w:tr2bl w:val="nil"/>
                  </w:tcBorders>
                  <w:shd w:val="clear" w:color="auto" w:fill="auto"/>
                  <w:vAlign w:val="center"/>
                </w:tcPr>
                <w:p w14:paraId="7BE66DC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1.0</w:t>
                  </w:r>
                </w:p>
              </w:tc>
              <w:tc>
                <w:tcPr>
                  <w:tcW w:w="1002" w:type="dxa"/>
                  <w:vMerge w:val="restart"/>
                  <w:tcBorders>
                    <w:tl2br w:val="nil"/>
                    <w:tr2bl w:val="nil"/>
                  </w:tcBorders>
                  <w:vAlign w:val="center"/>
                </w:tcPr>
                <w:p w14:paraId="7F61544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资源化利用</w:t>
                  </w:r>
                </w:p>
              </w:tc>
            </w:tr>
            <w:tr w14:paraId="011C41E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383" w:type="dxa"/>
                  <w:tcBorders>
                    <w:tl2br w:val="nil"/>
                    <w:tr2bl w:val="nil"/>
                  </w:tcBorders>
                  <w:vAlign w:val="center"/>
                </w:tcPr>
                <w:p w14:paraId="3DF515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108" w:type="dxa"/>
                  <w:tcBorders>
                    <w:tl2br w:val="nil"/>
                    <w:tr2bl w:val="nil"/>
                  </w:tcBorders>
                  <w:shd w:val="clear" w:color="auto" w:fill="auto"/>
                  <w:vAlign w:val="center"/>
                </w:tcPr>
                <w:p w14:paraId="4C4D8EF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环保设施</w:t>
                  </w:r>
                </w:p>
              </w:tc>
              <w:tc>
                <w:tcPr>
                  <w:tcW w:w="1514" w:type="dxa"/>
                  <w:tcBorders>
                    <w:tl2br w:val="nil"/>
                    <w:tr2bl w:val="nil"/>
                  </w:tcBorders>
                  <w:shd w:val="clear" w:color="auto" w:fill="auto"/>
                  <w:vAlign w:val="center"/>
                </w:tcPr>
                <w:p w14:paraId="1175DA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除尘器收尘</w:t>
                  </w:r>
                </w:p>
              </w:tc>
              <w:tc>
                <w:tcPr>
                  <w:tcW w:w="943" w:type="dxa"/>
                  <w:tcBorders>
                    <w:tl2br w:val="nil"/>
                    <w:tr2bl w:val="nil"/>
                  </w:tcBorders>
                  <w:shd w:val="clear" w:color="auto" w:fill="auto"/>
                  <w:vAlign w:val="center"/>
                </w:tcPr>
                <w:p w14:paraId="73F20A3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一般固废</w:t>
                  </w:r>
                </w:p>
              </w:tc>
              <w:tc>
                <w:tcPr>
                  <w:tcW w:w="1057" w:type="dxa"/>
                  <w:tcBorders>
                    <w:tl2br w:val="nil"/>
                    <w:tr2bl w:val="nil"/>
                  </w:tcBorders>
                  <w:shd w:val="clear" w:color="auto" w:fill="auto"/>
                  <w:vAlign w:val="center"/>
                </w:tcPr>
                <w:p w14:paraId="1C1EC8B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900-099-S</w:t>
                  </w:r>
                  <w:r>
                    <w:rPr>
                      <w:rFonts w:hint="eastAsia" w:ascii="Times New Roman" w:hAnsi="Times New Roman" w:eastAsia="宋体" w:cs="Times New Roman"/>
                      <w:color w:val="auto"/>
                      <w:sz w:val="21"/>
                      <w:szCs w:val="21"/>
                      <w:lang w:val="en-US" w:eastAsia="zh-CN"/>
                    </w:rPr>
                    <w:t>5</w:t>
                  </w:r>
                  <w:r>
                    <w:rPr>
                      <w:rFonts w:hint="eastAsia" w:ascii="Times New Roman" w:hAnsi="Times New Roman" w:cs="Times New Roman"/>
                      <w:color w:val="auto"/>
                      <w:sz w:val="21"/>
                      <w:szCs w:val="21"/>
                      <w:lang w:val="en-US" w:eastAsia="zh-CN"/>
                    </w:rPr>
                    <w:t>9</w:t>
                  </w:r>
                </w:p>
              </w:tc>
              <w:tc>
                <w:tcPr>
                  <w:tcW w:w="1218" w:type="dxa"/>
                  <w:tcBorders>
                    <w:tl2br w:val="nil"/>
                    <w:tr2bl w:val="nil"/>
                  </w:tcBorders>
                  <w:shd w:val="clear" w:color="auto" w:fill="auto"/>
                  <w:vAlign w:val="center"/>
                </w:tcPr>
                <w:p w14:paraId="1667563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w:t>
                  </w:r>
                </w:p>
              </w:tc>
              <w:tc>
                <w:tcPr>
                  <w:tcW w:w="660" w:type="dxa"/>
                  <w:tcBorders>
                    <w:tl2br w:val="nil"/>
                    <w:tr2bl w:val="nil"/>
                  </w:tcBorders>
                  <w:shd w:val="clear" w:color="auto" w:fill="auto"/>
                  <w:vAlign w:val="center"/>
                </w:tcPr>
                <w:p w14:paraId="74CABBD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7"/>
                      <w:sz w:val="21"/>
                      <w:szCs w:val="21"/>
                    </w:rPr>
                    <w:t>固态</w:t>
                  </w:r>
                </w:p>
              </w:tc>
              <w:tc>
                <w:tcPr>
                  <w:tcW w:w="806" w:type="dxa"/>
                  <w:tcBorders>
                    <w:tl2br w:val="nil"/>
                    <w:tr2bl w:val="nil"/>
                  </w:tcBorders>
                  <w:shd w:val="clear" w:color="auto" w:fill="auto"/>
                  <w:vAlign w:val="center"/>
                </w:tcPr>
                <w:p w14:paraId="4737169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w:t>
                  </w:r>
                </w:p>
              </w:tc>
              <w:tc>
                <w:tcPr>
                  <w:tcW w:w="1004" w:type="dxa"/>
                  <w:tcBorders>
                    <w:tl2br w:val="nil"/>
                    <w:tr2bl w:val="nil"/>
                  </w:tcBorders>
                  <w:shd w:val="clear" w:color="auto" w:fill="auto"/>
                  <w:vAlign w:val="center"/>
                </w:tcPr>
                <w:p w14:paraId="07BD002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68.9</w:t>
                  </w:r>
                </w:p>
              </w:tc>
              <w:tc>
                <w:tcPr>
                  <w:tcW w:w="1191" w:type="dxa"/>
                  <w:tcBorders>
                    <w:tl2br w:val="nil"/>
                    <w:tr2bl w:val="nil"/>
                  </w:tcBorders>
                  <w:shd w:val="clear" w:color="auto" w:fill="auto"/>
                  <w:vAlign w:val="center"/>
                </w:tcPr>
                <w:p w14:paraId="59DB0F5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4"/>
                      <w:lang w:val="en-US" w:eastAsia="en-US" w:bidi="ar-SA"/>
                    </w:rPr>
                  </w:pPr>
                  <w:r>
                    <w:rPr>
                      <w:rFonts w:hint="default" w:ascii="Times New Roman" w:hAnsi="Times New Roman" w:eastAsia="宋体" w:cs="Times New Roman"/>
                      <w:color w:val="auto"/>
                      <w:spacing w:val="-24"/>
                      <w:sz w:val="21"/>
                      <w:szCs w:val="21"/>
                    </w:rPr>
                    <w:t>袋装；一般</w:t>
                  </w:r>
                  <w:r>
                    <w:rPr>
                      <w:rFonts w:hint="default" w:ascii="Times New Roman" w:hAnsi="Times New Roman" w:eastAsia="宋体" w:cs="Times New Roman"/>
                      <w:color w:val="auto"/>
                      <w:spacing w:val="-5"/>
                      <w:sz w:val="21"/>
                      <w:szCs w:val="21"/>
                    </w:rPr>
                    <w:t>固废暂存间</w:t>
                  </w:r>
                </w:p>
              </w:tc>
              <w:tc>
                <w:tcPr>
                  <w:tcW w:w="1178" w:type="dxa"/>
                  <w:tcBorders>
                    <w:tl2br w:val="nil"/>
                    <w:tr2bl w:val="nil"/>
                  </w:tcBorders>
                  <w:shd w:val="clear" w:color="auto" w:fill="auto"/>
                  <w:vAlign w:val="center"/>
                </w:tcPr>
                <w:p w14:paraId="59AD65D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4"/>
                      <w:lang w:val="en-US" w:eastAsia="en-US" w:bidi="ar-SA"/>
                    </w:rPr>
                  </w:pPr>
                  <w:r>
                    <w:rPr>
                      <w:rFonts w:hint="default" w:ascii="Times New Roman" w:hAnsi="Times New Roman" w:eastAsia="宋体" w:cs="Times New Roman"/>
                      <w:color w:val="auto"/>
                      <w:spacing w:val="-3"/>
                      <w:sz w:val="21"/>
                      <w:szCs w:val="21"/>
                    </w:rPr>
                    <w:t>资源化利用</w:t>
                  </w:r>
                </w:p>
              </w:tc>
              <w:tc>
                <w:tcPr>
                  <w:tcW w:w="975" w:type="dxa"/>
                  <w:tcBorders>
                    <w:tl2br w:val="nil"/>
                    <w:tr2bl w:val="nil"/>
                  </w:tcBorders>
                  <w:shd w:val="clear" w:color="auto" w:fill="auto"/>
                  <w:vAlign w:val="center"/>
                </w:tcPr>
                <w:p w14:paraId="2A2CF07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68.9</w:t>
                  </w:r>
                </w:p>
              </w:tc>
              <w:tc>
                <w:tcPr>
                  <w:tcW w:w="1002" w:type="dxa"/>
                  <w:vMerge w:val="continue"/>
                  <w:tcBorders>
                    <w:tl2br w:val="nil"/>
                    <w:tr2bl w:val="nil"/>
                  </w:tcBorders>
                  <w:vAlign w:val="center"/>
                </w:tcPr>
                <w:p w14:paraId="613988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rPr>
                  </w:pPr>
                </w:p>
              </w:tc>
            </w:tr>
            <w:tr w14:paraId="7A34E3F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83" w:type="dxa"/>
                  <w:tcBorders>
                    <w:tl2br w:val="nil"/>
                    <w:tr2bl w:val="nil"/>
                  </w:tcBorders>
                  <w:vAlign w:val="center"/>
                </w:tcPr>
                <w:p w14:paraId="103F1B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1108" w:type="dxa"/>
                  <w:tcBorders>
                    <w:tl2br w:val="nil"/>
                    <w:tr2bl w:val="nil"/>
                  </w:tcBorders>
                  <w:shd w:val="clear" w:color="auto" w:fill="auto"/>
                  <w:vAlign w:val="center"/>
                </w:tcPr>
                <w:p w14:paraId="1BC2E14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清模过程</w:t>
                  </w:r>
                </w:p>
              </w:tc>
              <w:tc>
                <w:tcPr>
                  <w:tcW w:w="1514" w:type="dxa"/>
                  <w:tcBorders>
                    <w:tl2br w:val="nil"/>
                    <w:tr2bl w:val="nil"/>
                  </w:tcBorders>
                  <w:shd w:val="clear" w:color="auto" w:fill="auto"/>
                  <w:vAlign w:val="center"/>
                </w:tcPr>
                <w:p w14:paraId="43F0626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废覆膜砂</w:t>
                  </w:r>
                </w:p>
              </w:tc>
              <w:tc>
                <w:tcPr>
                  <w:tcW w:w="943" w:type="dxa"/>
                  <w:tcBorders>
                    <w:tl2br w:val="nil"/>
                    <w:tr2bl w:val="nil"/>
                  </w:tcBorders>
                  <w:shd w:val="clear" w:color="auto" w:fill="auto"/>
                  <w:vAlign w:val="center"/>
                </w:tcPr>
                <w:p w14:paraId="25AEDBF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一般固废</w:t>
                  </w:r>
                </w:p>
              </w:tc>
              <w:tc>
                <w:tcPr>
                  <w:tcW w:w="1057" w:type="dxa"/>
                  <w:tcBorders>
                    <w:tl2br w:val="nil"/>
                    <w:tr2bl w:val="nil"/>
                  </w:tcBorders>
                  <w:shd w:val="clear" w:color="auto" w:fill="auto"/>
                  <w:vAlign w:val="center"/>
                </w:tcPr>
                <w:p w14:paraId="5A3432E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900-099-S</w:t>
                  </w:r>
                  <w:r>
                    <w:rPr>
                      <w:rFonts w:hint="eastAsia" w:ascii="Times New Roman" w:hAnsi="Times New Roman" w:eastAsia="宋体" w:cs="Times New Roman"/>
                      <w:color w:val="auto"/>
                      <w:sz w:val="21"/>
                      <w:szCs w:val="21"/>
                      <w:lang w:val="en-US" w:eastAsia="zh-CN"/>
                    </w:rPr>
                    <w:t>5</w:t>
                  </w:r>
                  <w:r>
                    <w:rPr>
                      <w:rFonts w:hint="eastAsia" w:ascii="Times New Roman" w:hAnsi="Times New Roman" w:cs="Times New Roman"/>
                      <w:color w:val="auto"/>
                      <w:sz w:val="21"/>
                      <w:szCs w:val="21"/>
                      <w:lang w:val="en-US" w:eastAsia="zh-CN"/>
                    </w:rPr>
                    <w:t>9</w:t>
                  </w:r>
                </w:p>
              </w:tc>
              <w:tc>
                <w:tcPr>
                  <w:tcW w:w="1218" w:type="dxa"/>
                  <w:tcBorders>
                    <w:tl2br w:val="nil"/>
                    <w:tr2bl w:val="nil"/>
                  </w:tcBorders>
                  <w:shd w:val="clear" w:color="auto" w:fill="auto"/>
                  <w:vAlign w:val="center"/>
                </w:tcPr>
                <w:p w14:paraId="10964EA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w:t>
                  </w:r>
                </w:p>
              </w:tc>
              <w:tc>
                <w:tcPr>
                  <w:tcW w:w="660" w:type="dxa"/>
                  <w:tcBorders>
                    <w:tl2br w:val="nil"/>
                    <w:tr2bl w:val="nil"/>
                  </w:tcBorders>
                  <w:shd w:val="clear" w:color="auto" w:fill="auto"/>
                  <w:vAlign w:val="center"/>
                </w:tcPr>
                <w:p w14:paraId="6996E41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7"/>
                      <w:sz w:val="21"/>
                      <w:szCs w:val="21"/>
                    </w:rPr>
                    <w:t>固态</w:t>
                  </w:r>
                </w:p>
              </w:tc>
              <w:tc>
                <w:tcPr>
                  <w:tcW w:w="806" w:type="dxa"/>
                  <w:tcBorders>
                    <w:tl2br w:val="nil"/>
                    <w:tr2bl w:val="nil"/>
                  </w:tcBorders>
                  <w:shd w:val="clear" w:color="auto" w:fill="auto"/>
                  <w:vAlign w:val="center"/>
                </w:tcPr>
                <w:p w14:paraId="11AFC40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w:t>
                  </w:r>
                </w:p>
              </w:tc>
              <w:tc>
                <w:tcPr>
                  <w:tcW w:w="1004" w:type="dxa"/>
                  <w:tcBorders>
                    <w:tl2br w:val="nil"/>
                    <w:tr2bl w:val="nil"/>
                  </w:tcBorders>
                  <w:shd w:val="clear" w:color="auto" w:fill="auto"/>
                  <w:vAlign w:val="center"/>
                </w:tcPr>
                <w:p w14:paraId="2E45AF7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2.0</w:t>
                  </w:r>
                </w:p>
              </w:tc>
              <w:tc>
                <w:tcPr>
                  <w:tcW w:w="1191" w:type="dxa"/>
                  <w:tcBorders>
                    <w:tl2br w:val="nil"/>
                    <w:tr2bl w:val="nil"/>
                  </w:tcBorders>
                  <w:shd w:val="clear" w:color="auto" w:fill="auto"/>
                  <w:vAlign w:val="center"/>
                </w:tcPr>
                <w:p w14:paraId="35F3006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4"/>
                      <w:lang w:val="en-US" w:eastAsia="en-US" w:bidi="ar-SA"/>
                    </w:rPr>
                  </w:pPr>
                  <w:r>
                    <w:rPr>
                      <w:rFonts w:hint="default" w:ascii="Times New Roman" w:hAnsi="Times New Roman" w:eastAsia="宋体" w:cs="Times New Roman"/>
                      <w:color w:val="auto"/>
                      <w:spacing w:val="-24"/>
                      <w:sz w:val="21"/>
                      <w:szCs w:val="21"/>
                    </w:rPr>
                    <w:t>袋装；一般</w:t>
                  </w:r>
                  <w:r>
                    <w:rPr>
                      <w:rFonts w:hint="default" w:ascii="Times New Roman" w:hAnsi="Times New Roman" w:eastAsia="宋体" w:cs="Times New Roman"/>
                      <w:color w:val="auto"/>
                      <w:spacing w:val="-5"/>
                      <w:sz w:val="21"/>
                      <w:szCs w:val="21"/>
                    </w:rPr>
                    <w:t>固废暂存间</w:t>
                  </w:r>
                </w:p>
              </w:tc>
              <w:tc>
                <w:tcPr>
                  <w:tcW w:w="1178" w:type="dxa"/>
                  <w:tcBorders>
                    <w:tl2br w:val="nil"/>
                    <w:tr2bl w:val="nil"/>
                  </w:tcBorders>
                  <w:shd w:val="clear" w:color="auto" w:fill="auto"/>
                  <w:vAlign w:val="center"/>
                </w:tcPr>
                <w:p w14:paraId="4771751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4"/>
                      <w:lang w:val="en-US" w:eastAsia="zh-CN" w:bidi="ar-SA"/>
                    </w:rPr>
                  </w:pPr>
                  <w:r>
                    <w:rPr>
                      <w:rFonts w:hint="default" w:ascii="Times New Roman" w:hAnsi="Times New Roman" w:eastAsia="宋体" w:cs="Times New Roman"/>
                      <w:color w:val="auto"/>
                      <w:spacing w:val="-3"/>
                      <w:sz w:val="21"/>
                      <w:szCs w:val="21"/>
                    </w:rPr>
                    <w:t>资源化利用</w:t>
                  </w:r>
                </w:p>
              </w:tc>
              <w:tc>
                <w:tcPr>
                  <w:tcW w:w="975" w:type="dxa"/>
                  <w:tcBorders>
                    <w:tl2br w:val="nil"/>
                    <w:tr2bl w:val="nil"/>
                  </w:tcBorders>
                  <w:shd w:val="clear" w:color="auto" w:fill="auto"/>
                  <w:vAlign w:val="center"/>
                </w:tcPr>
                <w:p w14:paraId="7D6275B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2.0</w:t>
                  </w:r>
                </w:p>
              </w:tc>
              <w:tc>
                <w:tcPr>
                  <w:tcW w:w="1002" w:type="dxa"/>
                  <w:vMerge w:val="continue"/>
                  <w:tcBorders>
                    <w:tl2br w:val="nil"/>
                    <w:tr2bl w:val="nil"/>
                  </w:tcBorders>
                  <w:vAlign w:val="center"/>
                </w:tcPr>
                <w:p w14:paraId="755A233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r w14:paraId="476BBD1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383" w:type="dxa"/>
                  <w:tcBorders>
                    <w:tl2br w:val="nil"/>
                    <w:tr2bl w:val="nil"/>
                  </w:tcBorders>
                  <w:shd w:val="clear" w:color="auto" w:fill="auto"/>
                  <w:vAlign w:val="center"/>
                </w:tcPr>
                <w:p w14:paraId="29F6ADC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4</w:t>
                  </w:r>
                </w:p>
              </w:tc>
              <w:tc>
                <w:tcPr>
                  <w:tcW w:w="1108" w:type="dxa"/>
                  <w:tcBorders>
                    <w:tl2br w:val="nil"/>
                    <w:tr2bl w:val="nil"/>
                  </w:tcBorders>
                  <w:shd w:val="clear" w:color="auto" w:fill="auto"/>
                  <w:vAlign w:val="center"/>
                </w:tcPr>
                <w:p w14:paraId="3A20ECD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去冒口</w:t>
                  </w:r>
                </w:p>
              </w:tc>
              <w:tc>
                <w:tcPr>
                  <w:tcW w:w="1514" w:type="dxa"/>
                  <w:tcBorders>
                    <w:tl2br w:val="nil"/>
                    <w:tr2bl w:val="nil"/>
                  </w:tcBorders>
                  <w:shd w:val="clear" w:color="auto" w:fill="auto"/>
                  <w:vAlign w:val="center"/>
                </w:tcPr>
                <w:p w14:paraId="05C9EBB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废浇冒口</w:t>
                  </w:r>
                </w:p>
              </w:tc>
              <w:tc>
                <w:tcPr>
                  <w:tcW w:w="943" w:type="dxa"/>
                  <w:tcBorders>
                    <w:tl2br w:val="nil"/>
                    <w:tr2bl w:val="nil"/>
                  </w:tcBorders>
                  <w:shd w:val="clear" w:color="auto" w:fill="auto"/>
                  <w:vAlign w:val="center"/>
                </w:tcPr>
                <w:p w14:paraId="04E8101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一般固废</w:t>
                  </w:r>
                </w:p>
              </w:tc>
              <w:tc>
                <w:tcPr>
                  <w:tcW w:w="1057" w:type="dxa"/>
                  <w:tcBorders>
                    <w:tl2br w:val="nil"/>
                    <w:tr2bl w:val="nil"/>
                  </w:tcBorders>
                  <w:shd w:val="clear" w:color="auto" w:fill="auto"/>
                  <w:vAlign w:val="center"/>
                </w:tcPr>
                <w:p w14:paraId="2FFFBB8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900-0</w:t>
                  </w:r>
                  <w:r>
                    <w:rPr>
                      <w:rFonts w:hint="eastAsia" w:ascii="Times New Roman" w:hAnsi="Times New Roman" w:cs="Times New Roman"/>
                      <w:color w:val="auto"/>
                      <w:sz w:val="21"/>
                      <w:szCs w:val="21"/>
                      <w:lang w:val="en-US" w:eastAsia="zh-CN"/>
                    </w:rPr>
                    <w:t>01</w:t>
                  </w:r>
                  <w:r>
                    <w:rPr>
                      <w:rFonts w:hint="default" w:ascii="Times New Roman" w:hAnsi="Times New Roman" w:eastAsia="宋体" w:cs="Times New Roman"/>
                      <w:color w:val="auto"/>
                      <w:sz w:val="21"/>
                      <w:szCs w:val="21"/>
                      <w:lang w:val="en-US" w:eastAsia="zh-CN"/>
                    </w:rPr>
                    <w:t>-S</w:t>
                  </w:r>
                  <w:r>
                    <w:rPr>
                      <w:rFonts w:hint="eastAsia" w:ascii="Times New Roman" w:hAnsi="Times New Roman" w:cs="Times New Roman"/>
                      <w:color w:val="auto"/>
                      <w:sz w:val="21"/>
                      <w:szCs w:val="21"/>
                      <w:lang w:val="en-US" w:eastAsia="zh-CN"/>
                    </w:rPr>
                    <w:t>17</w:t>
                  </w:r>
                </w:p>
              </w:tc>
              <w:tc>
                <w:tcPr>
                  <w:tcW w:w="1218" w:type="dxa"/>
                  <w:tcBorders>
                    <w:tl2br w:val="nil"/>
                    <w:tr2bl w:val="nil"/>
                  </w:tcBorders>
                  <w:shd w:val="clear" w:color="auto" w:fill="auto"/>
                  <w:vAlign w:val="center"/>
                </w:tcPr>
                <w:p w14:paraId="79D98DD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w:t>
                  </w:r>
                </w:p>
              </w:tc>
              <w:tc>
                <w:tcPr>
                  <w:tcW w:w="660" w:type="dxa"/>
                  <w:tcBorders>
                    <w:tl2br w:val="nil"/>
                    <w:tr2bl w:val="nil"/>
                  </w:tcBorders>
                  <w:shd w:val="clear" w:color="auto" w:fill="auto"/>
                  <w:vAlign w:val="center"/>
                </w:tcPr>
                <w:p w14:paraId="4B76242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7"/>
                      <w:sz w:val="21"/>
                      <w:szCs w:val="21"/>
                    </w:rPr>
                    <w:t>固态</w:t>
                  </w:r>
                </w:p>
              </w:tc>
              <w:tc>
                <w:tcPr>
                  <w:tcW w:w="806" w:type="dxa"/>
                  <w:tcBorders>
                    <w:tl2br w:val="nil"/>
                    <w:tr2bl w:val="nil"/>
                  </w:tcBorders>
                  <w:shd w:val="clear" w:color="auto" w:fill="auto"/>
                  <w:vAlign w:val="center"/>
                </w:tcPr>
                <w:p w14:paraId="02F7781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w:t>
                  </w:r>
                </w:p>
              </w:tc>
              <w:tc>
                <w:tcPr>
                  <w:tcW w:w="1004" w:type="dxa"/>
                  <w:tcBorders>
                    <w:tl2br w:val="nil"/>
                    <w:tr2bl w:val="nil"/>
                  </w:tcBorders>
                  <w:shd w:val="clear" w:color="auto" w:fill="auto"/>
                  <w:vAlign w:val="center"/>
                </w:tcPr>
                <w:p w14:paraId="1573966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1.0</w:t>
                  </w:r>
                </w:p>
              </w:tc>
              <w:tc>
                <w:tcPr>
                  <w:tcW w:w="1191" w:type="dxa"/>
                  <w:tcBorders>
                    <w:tl2br w:val="nil"/>
                    <w:tr2bl w:val="nil"/>
                  </w:tcBorders>
                  <w:shd w:val="clear" w:color="auto" w:fill="auto"/>
                  <w:vAlign w:val="center"/>
                </w:tcPr>
                <w:p w14:paraId="7B1CE6D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4"/>
                      <w:lang w:val="en-US" w:eastAsia="en-US" w:bidi="ar-SA"/>
                    </w:rPr>
                  </w:pPr>
                  <w:r>
                    <w:rPr>
                      <w:rFonts w:hint="default" w:ascii="Times New Roman" w:hAnsi="Times New Roman" w:eastAsia="宋体" w:cs="Times New Roman"/>
                      <w:color w:val="auto"/>
                      <w:spacing w:val="-24"/>
                      <w:sz w:val="21"/>
                      <w:szCs w:val="21"/>
                    </w:rPr>
                    <w:t>袋装；一般</w:t>
                  </w:r>
                  <w:r>
                    <w:rPr>
                      <w:rFonts w:hint="default" w:ascii="Times New Roman" w:hAnsi="Times New Roman" w:eastAsia="宋体" w:cs="Times New Roman"/>
                      <w:color w:val="auto"/>
                      <w:spacing w:val="-5"/>
                      <w:sz w:val="21"/>
                      <w:szCs w:val="21"/>
                    </w:rPr>
                    <w:t>固废暂存间</w:t>
                  </w:r>
                </w:p>
              </w:tc>
              <w:tc>
                <w:tcPr>
                  <w:tcW w:w="1178" w:type="dxa"/>
                  <w:tcBorders>
                    <w:tl2br w:val="nil"/>
                    <w:tr2bl w:val="nil"/>
                  </w:tcBorders>
                  <w:shd w:val="clear" w:color="auto" w:fill="auto"/>
                  <w:vAlign w:val="center"/>
                </w:tcPr>
                <w:p w14:paraId="6A6092E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4"/>
                      <w:lang w:val="en-US" w:eastAsia="zh-CN" w:bidi="ar-SA"/>
                    </w:rPr>
                  </w:pPr>
                  <w:r>
                    <w:rPr>
                      <w:rFonts w:hint="eastAsia" w:ascii="Times New Roman" w:hAnsi="Times New Roman" w:cs="Times New Roman"/>
                      <w:color w:val="auto"/>
                      <w:spacing w:val="-3"/>
                      <w:sz w:val="21"/>
                      <w:szCs w:val="21"/>
                      <w:lang w:val="en-US" w:eastAsia="zh-CN"/>
                    </w:rPr>
                    <w:t>回用于生产</w:t>
                  </w:r>
                </w:p>
              </w:tc>
              <w:tc>
                <w:tcPr>
                  <w:tcW w:w="975" w:type="dxa"/>
                  <w:tcBorders>
                    <w:tl2br w:val="nil"/>
                    <w:tr2bl w:val="nil"/>
                  </w:tcBorders>
                  <w:shd w:val="clear" w:color="auto" w:fill="auto"/>
                  <w:vAlign w:val="center"/>
                </w:tcPr>
                <w:p w14:paraId="45FC0AE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1.0</w:t>
                  </w:r>
                </w:p>
              </w:tc>
              <w:tc>
                <w:tcPr>
                  <w:tcW w:w="1002" w:type="dxa"/>
                  <w:vMerge w:val="continue"/>
                  <w:tcBorders>
                    <w:tl2br w:val="nil"/>
                    <w:tr2bl w:val="nil"/>
                  </w:tcBorders>
                  <w:vAlign w:val="center"/>
                </w:tcPr>
                <w:p w14:paraId="5A65E2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lang w:val="en-US" w:eastAsia="zh-CN"/>
                    </w:rPr>
                  </w:pPr>
                </w:p>
              </w:tc>
            </w:tr>
            <w:tr w14:paraId="607FE3C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383" w:type="dxa"/>
                  <w:tcBorders>
                    <w:tl2br w:val="nil"/>
                    <w:tr2bl w:val="nil"/>
                  </w:tcBorders>
                  <w:shd w:val="clear" w:color="auto" w:fill="auto"/>
                  <w:vAlign w:val="center"/>
                </w:tcPr>
                <w:p w14:paraId="60E9D0F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5</w:t>
                  </w:r>
                </w:p>
              </w:tc>
              <w:tc>
                <w:tcPr>
                  <w:tcW w:w="1108" w:type="dxa"/>
                  <w:tcBorders>
                    <w:tl2br w:val="nil"/>
                    <w:tr2bl w:val="nil"/>
                  </w:tcBorders>
                  <w:shd w:val="clear" w:color="auto" w:fill="auto"/>
                  <w:vAlign w:val="center"/>
                </w:tcPr>
                <w:p w14:paraId="3441CA9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环保设施</w:t>
                  </w:r>
                </w:p>
              </w:tc>
              <w:tc>
                <w:tcPr>
                  <w:tcW w:w="1514" w:type="dxa"/>
                  <w:tcBorders>
                    <w:tl2br w:val="nil"/>
                    <w:tr2bl w:val="nil"/>
                  </w:tcBorders>
                  <w:shd w:val="clear" w:color="auto" w:fill="auto"/>
                  <w:vAlign w:val="center"/>
                </w:tcPr>
                <w:p w14:paraId="601469D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废活性炭</w:t>
                  </w:r>
                </w:p>
              </w:tc>
              <w:tc>
                <w:tcPr>
                  <w:tcW w:w="943" w:type="dxa"/>
                  <w:tcBorders>
                    <w:tl2br w:val="nil"/>
                    <w:tr2bl w:val="nil"/>
                  </w:tcBorders>
                  <w:shd w:val="clear" w:color="auto" w:fill="auto"/>
                  <w:vAlign w:val="center"/>
                </w:tcPr>
                <w:p w14:paraId="0AEC1DE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z w:val="21"/>
                      <w:szCs w:val="21"/>
                      <w:lang w:val="en-US" w:eastAsia="zh-CN"/>
                    </w:rPr>
                    <w:t>危险废物</w:t>
                  </w:r>
                </w:p>
              </w:tc>
              <w:tc>
                <w:tcPr>
                  <w:tcW w:w="1057" w:type="dxa"/>
                  <w:tcBorders>
                    <w:tl2br w:val="nil"/>
                    <w:tr2bl w:val="nil"/>
                  </w:tcBorders>
                  <w:shd w:val="clear" w:color="auto" w:fill="auto"/>
                  <w:vAlign w:val="center"/>
                </w:tcPr>
                <w:p w14:paraId="683C65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HW49</w:t>
                  </w:r>
                </w:p>
                <w:p w14:paraId="57F1CA9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900-039-49</w:t>
                  </w:r>
                </w:p>
              </w:tc>
              <w:tc>
                <w:tcPr>
                  <w:tcW w:w="1218" w:type="dxa"/>
                  <w:tcBorders>
                    <w:tl2br w:val="nil"/>
                    <w:tr2bl w:val="nil"/>
                  </w:tcBorders>
                  <w:shd w:val="clear" w:color="auto" w:fill="auto"/>
                  <w:vAlign w:val="center"/>
                </w:tcPr>
                <w:p w14:paraId="0D7EFFC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VOC</w:t>
                  </w:r>
                </w:p>
              </w:tc>
              <w:tc>
                <w:tcPr>
                  <w:tcW w:w="660" w:type="dxa"/>
                  <w:tcBorders>
                    <w:tl2br w:val="nil"/>
                    <w:tr2bl w:val="nil"/>
                  </w:tcBorders>
                  <w:shd w:val="clear" w:color="auto" w:fill="auto"/>
                  <w:vAlign w:val="center"/>
                </w:tcPr>
                <w:p w14:paraId="61998AE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7"/>
                      <w:sz w:val="21"/>
                      <w:szCs w:val="21"/>
                    </w:rPr>
                    <w:t>固态</w:t>
                  </w:r>
                </w:p>
              </w:tc>
              <w:tc>
                <w:tcPr>
                  <w:tcW w:w="806" w:type="dxa"/>
                  <w:tcBorders>
                    <w:tl2br w:val="nil"/>
                    <w:tr2bl w:val="nil"/>
                  </w:tcBorders>
                  <w:shd w:val="clear" w:color="auto" w:fill="auto"/>
                  <w:vAlign w:val="center"/>
                </w:tcPr>
                <w:p w14:paraId="3E4474F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T</w:t>
                  </w:r>
                </w:p>
              </w:tc>
              <w:tc>
                <w:tcPr>
                  <w:tcW w:w="1004" w:type="dxa"/>
                  <w:tcBorders>
                    <w:tl2br w:val="nil"/>
                    <w:tr2bl w:val="nil"/>
                  </w:tcBorders>
                  <w:shd w:val="clear" w:color="auto" w:fill="auto"/>
                  <w:vAlign w:val="center"/>
                </w:tcPr>
                <w:p w14:paraId="7D41B8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13.25</w:t>
                  </w:r>
                </w:p>
              </w:tc>
              <w:tc>
                <w:tcPr>
                  <w:tcW w:w="1191" w:type="dxa"/>
                  <w:tcBorders>
                    <w:tl2br w:val="nil"/>
                    <w:tr2bl w:val="nil"/>
                  </w:tcBorders>
                  <w:shd w:val="clear" w:color="auto" w:fill="auto"/>
                  <w:vAlign w:val="center"/>
                </w:tcPr>
                <w:p w14:paraId="6455889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23"/>
                      <w:sz w:val="21"/>
                      <w:szCs w:val="21"/>
                      <w:lang w:val="en-US" w:eastAsia="zh-CN"/>
                    </w:rPr>
                    <w:t>桶装</w:t>
                  </w:r>
                  <w:r>
                    <w:rPr>
                      <w:rFonts w:hint="default" w:ascii="Times New Roman" w:hAnsi="Times New Roman" w:eastAsia="宋体" w:cs="Times New Roman"/>
                      <w:color w:val="auto"/>
                      <w:spacing w:val="-23"/>
                      <w:sz w:val="21"/>
                      <w:szCs w:val="21"/>
                    </w:rPr>
                    <w:t>；危险</w:t>
                  </w:r>
                  <w:r>
                    <w:rPr>
                      <w:rFonts w:hint="default" w:ascii="Times New Roman" w:hAnsi="Times New Roman" w:eastAsia="宋体" w:cs="Times New Roman"/>
                      <w:color w:val="auto"/>
                      <w:spacing w:val="-1"/>
                      <w:sz w:val="21"/>
                      <w:szCs w:val="21"/>
                    </w:rPr>
                    <w:t>废物暂存间</w:t>
                  </w:r>
                </w:p>
              </w:tc>
              <w:tc>
                <w:tcPr>
                  <w:tcW w:w="1178" w:type="dxa"/>
                  <w:tcBorders>
                    <w:tl2br w:val="nil"/>
                    <w:tr2bl w:val="nil"/>
                  </w:tcBorders>
                  <w:shd w:val="clear" w:color="auto" w:fill="auto"/>
                  <w:vAlign w:val="center"/>
                </w:tcPr>
                <w:p w14:paraId="44987A6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rPr>
                    <w:t>委托处置</w:t>
                  </w:r>
                </w:p>
              </w:tc>
              <w:tc>
                <w:tcPr>
                  <w:tcW w:w="975" w:type="dxa"/>
                  <w:tcBorders>
                    <w:tl2br w:val="nil"/>
                    <w:tr2bl w:val="nil"/>
                  </w:tcBorders>
                  <w:shd w:val="clear" w:color="auto" w:fill="auto"/>
                  <w:vAlign w:val="center"/>
                </w:tcPr>
                <w:p w14:paraId="2A8502C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13.25</w:t>
                  </w:r>
                </w:p>
              </w:tc>
              <w:tc>
                <w:tcPr>
                  <w:tcW w:w="1002" w:type="dxa"/>
                  <w:vMerge w:val="restart"/>
                  <w:tcBorders>
                    <w:tl2br w:val="nil"/>
                    <w:tr2bl w:val="nil"/>
                  </w:tcBorders>
                  <w:vAlign w:val="center"/>
                </w:tcPr>
                <w:p w14:paraId="3F4BEC4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委托资质单位处置</w:t>
                  </w:r>
                </w:p>
              </w:tc>
            </w:tr>
            <w:tr w14:paraId="7351CCA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383" w:type="dxa"/>
                  <w:tcBorders>
                    <w:tl2br w:val="nil"/>
                    <w:tr2bl w:val="nil"/>
                  </w:tcBorders>
                  <w:shd w:val="clear" w:color="auto" w:fill="auto"/>
                  <w:vAlign w:val="center"/>
                </w:tcPr>
                <w:p w14:paraId="7AC55E4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6</w:t>
                  </w:r>
                </w:p>
              </w:tc>
              <w:tc>
                <w:tcPr>
                  <w:tcW w:w="1108" w:type="dxa"/>
                  <w:tcBorders>
                    <w:tl2br w:val="nil"/>
                    <w:tr2bl w:val="nil"/>
                  </w:tcBorders>
                  <w:shd w:val="clear" w:color="auto" w:fill="auto"/>
                  <w:vAlign w:val="center"/>
                </w:tcPr>
                <w:p w14:paraId="64BAC16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设备维护</w:t>
                  </w:r>
                </w:p>
              </w:tc>
              <w:tc>
                <w:tcPr>
                  <w:tcW w:w="1514" w:type="dxa"/>
                  <w:tcBorders>
                    <w:tl2br w:val="nil"/>
                    <w:tr2bl w:val="nil"/>
                  </w:tcBorders>
                  <w:shd w:val="clear" w:color="auto" w:fill="auto"/>
                  <w:vAlign w:val="center"/>
                </w:tcPr>
                <w:p w14:paraId="131F662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废机油</w:t>
                  </w:r>
                </w:p>
              </w:tc>
              <w:tc>
                <w:tcPr>
                  <w:tcW w:w="943" w:type="dxa"/>
                  <w:tcBorders>
                    <w:tl2br w:val="nil"/>
                    <w:tr2bl w:val="nil"/>
                  </w:tcBorders>
                  <w:shd w:val="clear" w:color="auto" w:fill="auto"/>
                  <w:vAlign w:val="center"/>
                </w:tcPr>
                <w:p w14:paraId="0441207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eastAsia" w:ascii="Times New Roman" w:hAnsi="Times New Roman" w:cs="Times New Roman"/>
                      <w:color w:val="auto"/>
                      <w:sz w:val="21"/>
                      <w:szCs w:val="21"/>
                      <w:lang w:val="en-US" w:eastAsia="zh-CN"/>
                    </w:rPr>
                    <w:t>危险废物</w:t>
                  </w:r>
                </w:p>
              </w:tc>
              <w:tc>
                <w:tcPr>
                  <w:tcW w:w="1057" w:type="dxa"/>
                  <w:tcBorders>
                    <w:tl2br w:val="nil"/>
                    <w:tr2bl w:val="nil"/>
                  </w:tcBorders>
                  <w:shd w:val="clear" w:color="auto" w:fill="auto"/>
                  <w:vAlign w:val="center"/>
                </w:tcPr>
                <w:p w14:paraId="528C3B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r>
                    <w:rPr>
                      <w:rFonts w:hint="eastAsia" w:ascii="Times New Roman" w:hAnsi="Times New Roman" w:eastAsia="宋体" w:cs="Times New Roman"/>
                      <w:color w:val="auto"/>
                      <w:sz w:val="21"/>
                      <w:szCs w:val="21"/>
                      <w:lang w:val="en-US" w:eastAsia="zh-CN"/>
                    </w:rPr>
                    <w:t xml:space="preserve"> </w:t>
                  </w:r>
                </w:p>
                <w:p w14:paraId="0DB9C37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900-214-08</w:t>
                  </w:r>
                </w:p>
              </w:tc>
              <w:tc>
                <w:tcPr>
                  <w:tcW w:w="1218" w:type="dxa"/>
                  <w:tcBorders>
                    <w:tl2br w:val="nil"/>
                    <w:tr2bl w:val="nil"/>
                  </w:tcBorders>
                  <w:shd w:val="clear" w:color="auto" w:fill="auto"/>
                  <w:vAlign w:val="center"/>
                </w:tcPr>
                <w:p w14:paraId="4D04934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zh-CN" w:bidi="ar-SA"/>
                    </w:rPr>
                  </w:pPr>
                  <w:r>
                    <w:rPr>
                      <w:rFonts w:hint="eastAsia" w:ascii="Times New Roman" w:hAnsi="Times New Roman" w:cs="Times New Roman"/>
                      <w:color w:val="auto"/>
                      <w:sz w:val="21"/>
                      <w:szCs w:val="21"/>
                      <w:lang w:val="en-US" w:eastAsia="zh-CN"/>
                    </w:rPr>
                    <w:t>VOC</w:t>
                  </w:r>
                </w:p>
              </w:tc>
              <w:tc>
                <w:tcPr>
                  <w:tcW w:w="660" w:type="dxa"/>
                  <w:tcBorders>
                    <w:tl2br w:val="nil"/>
                    <w:tr2bl w:val="nil"/>
                  </w:tcBorders>
                  <w:shd w:val="clear" w:color="auto" w:fill="auto"/>
                  <w:vAlign w:val="center"/>
                </w:tcPr>
                <w:p w14:paraId="37397E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7"/>
                      <w:kern w:val="0"/>
                      <w:sz w:val="21"/>
                      <w:szCs w:val="21"/>
                      <w:lang w:val="en-US" w:eastAsia="en-US" w:bidi="ar-SA"/>
                    </w:rPr>
                  </w:pPr>
                  <w:r>
                    <w:rPr>
                      <w:rFonts w:hint="eastAsia" w:ascii="Times New Roman" w:hAnsi="Times New Roman" w:cs="Times New Roman"/>
                      <w:color w:val="auto"/>
                      <w:spacing w:val="-7"/>
                      <w:sz w:val="21"/>
                      <w:szCs w:val="21"/>
                      <w:lang w:val="en-US" w:eastAsia="zh-CN"/>
                    </w:rPr>
                    <w:t>液态</w:t>
                  </w:r>
                </w:p>
              </w:tc>
              <w:tc>
                <w:tcPr>
                  <w:tcW w:w="806" w:type="dxa"/>
                  <w:tcBorders>
                    <w:tl2br w:val="nil"/>
                    <w:tr2bl w:val="nil"/>
                  </w:tcBorders>
                  <w:shd w:val="clear" w:color="auto" w:fill="auto"/>
                  <w:vAlign w:val="center"/>
                </w:tcPr>
                <w:p w14:paraId="09EFC8C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T</w:t>
                  </w:r>
                  <w:r>
                    <w:rPr>
                      <w:rFonts w:hint="eastAsia" w:ascii="Times New Roman" w:hAnsi="Times New Roman" w:eastAsia="宋体" w:cs="Times New Roman"/>
                      <w:color w:val="auto"/>
                      <w:sz w:val="21"/>
                      <w:szCs w:val="21"/>
                      <w:lang w:val="en-US" w:eastAsia="zh-CN"/>
                    </w:rPr>
                    <w:t>/I</w:t>
                  </w:r>
                </w:p>
              </w:tc>
              <w:tc>
                <w:tcPr>
                  <w:tcW w:w="1004" w:type="dxa"/>
                  <w:tcBorders>
                    <w:tl2br w:val="nil"/>
                    <w:tr2bl w:val="nil"/>
                  </w:tcBorders>
                  <w:shd w:val="clear" w:color="auto" w:fill="auto"/>
                  <w:vAlign w:val="center"/>
                </w:tcPr>
                <w:p w14:paraId="65CD3BD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0.1</w:t>
                  </w:r>
                </w:p>
              </w:tc>
              <w:tc>
                <w:tcPr>
                  <w:tcW w:w="1191" w:type="dxa"/>
                  <w:tcBorders>
                    <w:tl2br w:val="nil"/>
                    <w:tr2bl w:val="nil"/>
                  </w:tcBorders>
                  <w:shd w:val="clear" w:color="auto" w:fill="auto"/>
                  <w:vAlign w:val="center"/>
                </w:tcPr>
                <w:p w14:paraId="3DD2C7D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spacing w:val="-23"/>
                      <w:kern w:val="0"/>
                      <w:sz w:val="21"/>
                      <w:szCs w:val="21"/>
                      <w:lang w:val="en-US" w:eastAsia="zh-CN" w:bidi="ar-SA"/>
                    </w:rPr>
                  </w:pPr>
                  <w:r>
                    <w:rPr>
                      <w:rFonts w:hint="default" w:ascii="Times New Roman" w:hAnsi="Times New Roman" w:eastAsia="宋体" w:cs="Times New Roman"/>
                      <w:color w:val="auto"/>
                      <w:spacing w:val="-23"/>
                      <w:sz w:val="21"/>
                      <w:szCs w:val="21"/>
                      <w:lang w:val="en-US" w:eastAsia="zh-CN"/>
                    </w:rPr>
                    <w:t>桶装</w:t>
                  </w:r>
                  <w:r>
                    <w:rPr>
                      <w:rFonts w:hint="default" w:ascii="Times New Roman" w:hAnsi="Times New Roman" w:eastAsia="宋体" w:cs="Times New Roman"/>
                      <w:color w:val="auto"/>
                      <w:spacing w:val="-23"/>
                      <w:sz w:val="21"/>
                      <w:szCs w:val="21"/>
                    </w:rPr>
                    <w:t>；危险</w:t>
                  </w:r>
                  <w:r>
                    <w:rPr>
                      <w:rFonts w:hint="default" w:ascii="Times New Roman" w:hAnsi="Times New Roman" w:eastAsia="宋体" w:cs="Times New Roman"/>
                      <w:color w:val="auto"/>
                      <w:spacing w:val="-1"/>
                      <w:sz w:val="21"/>
                      <w:szCs w:val="21"/>
                    </w:rPr>
                    <w:t>废物暂存间</w:t>
                  </w:r>
                </w:p>
              </w:tc>
              <w:tc>
                <w:tcPr>
                  <w:tcW w:w="1178" w:type="dxa"/>
                  <w:tcBorders>
                    <w:tl2br w:val="nil"/>
                    <w:tr2bl w:val="nil"/>
                  </w:tcBorders>
                  <w:shd w:val="clear" w:color="auto" w:fill="auto"/>
                  <w:vAlign w:val="center"/>
                </w:tcPr>
                <w:p w14:paraId="5CAEE58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en-US" w:bidi="ar-SA"/>
                    </w:rPr>
                  </w:pPr>
                  <w:r>
                    <w:rPr>
                      <w:rFonts w:hint="default" w:ascii="Times New Roman" w:hAnsi="Times New Roman" w:eastAsia="宋体" w:cs="Times New Roman"/>
                      <w:color w:val="auto"/>
                      <w:spacing w:val="-1"/>
                      <w:sz w:val="21"/>
                      <w:szCs w:val="21"/>
                    </w:rPr>
                    <w:t>委托处置</w:t>
                  </w:r>
                </w:p>
              </w:tc>
              <w:tc>
                <w:tcPr>
                  <w:tcW w:w="975" w:type="dxa"/>
                  <w:tcBorders>
                    <w:tl2br w:val="nil"/>
                    <w:tr2bl w:val="nil"/>
                  </w:tcBorders>
                  <w:shd w:val="clear" w:color="auto" w:fill="auto"/>
                  <w:vAlign w:val="center"/>
                </w:tcPr>
                <w:p w14:paraId="48E052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0.1</w:t>
                  </w:r>
                </w:p>
              </w:tc>
              <w:tc>
                <w:tcPr>
                  <w:tcW w:w="1002" w:type="dxa"/>
                  <w:vMerge w:val="continue"/>
                  <w:tcBorders>
                    <w:tl2br w:val="nil"/>
                    <w:tr2bl w:val="nil"/>
                  </w:tcBorders>
                  <w:vAlign w:val="center"/>
                </w:tcPr>
                <w:p w14:paraId="1E1C244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r>
            <w:tr w14:paraId="2D28395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461" w:hRule="atLeast"/>
                <w:jc w:val="center"/>
              </w:trPr>
              <w:tc>
                <w:tcPr>
                  <w:tcW w:w="383" w:type="dxa"/>
                  <w:tcBorders>
                    <w:tl2br w:val="nil"/>
                    <w:tr2bl w:val="nil"/>
                  </w:tcBorders>
                  <w:shd w:val="clear" w:color="auto" w:fill="auto"/>
                  <w:vAlign w:val="center"/>
                </w:tcPr>
                <w:p w14:paraId="3D29983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lang w:val="en-US" w:eastAsia="zh-CN"/>
                    </w:rPr>
                    <w:t>7</w:t>
                  </w:r>
                </w:p>
              </w:tc>
              <w:tc>
                <w:tcPr>
                  <w:tcW w:w="1108" w:type="dxa"/>
                  <w:tcBorders>
                    <w:tl2br w:val="nil"/>
                    <w:tr2bl w:val="nil"/>
                  </w:tcBorders>
                  <w:shd w:val="clear" w:color="auto" w:fill="auto"/>
                  <w:vAlign w:val="center"/>
                </w:tcPr>
                <w:p w14:paraId="45C638D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设备维护</w:t>
                  </w:r>
                </w:p>
              </w:tc>
              <w:tc>
                <w:tcPr>
                  <w:tcW w:w="1514" w:type="dxa"/>
                  <w:tcBorders>
                    <w:tl2br w:val="nil"/>
                    <w:tr2bl w:val="nil"/>
                  </w:tcBorders>
                  <w:shd w:val="clear" w:color="auto" w:fill="auto"/>
                  <w:vAlign w:val="center"/>
                </w:tcPr>
                <w:p w14:paraId="5A18597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废机油桶</w:t>
                  </w:r>
                </w:p>
              </w:tc>
              <w:tc>
                <w:tcPr>
                  <w:tcW w:w="943" w:type="dxa"/>
                  <w:tcBorders>
                    <w:tl2br w:val="nil"/>
                    <w:tr2bl w:val="nil"/>
                  </w:tcBorders>
                  <w:shd w:val="clear" w:color="auto" w:fill="auto"/>
                  <w:vAlign w:val="center"/>
                </w:tcPr>
                <w:p w14:paraId="0DE8F3A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eastAsia" w:ascii="Times New Roman" w:hAnsi="Times New Roman" w:cs="Times New Roman"/>
                      <w:color w:val="auto"/>
                      <w:sz w:val="21"/>
                      <w:szCs w:val="21"/>
                      <w:lang w:val="en-US" w:eastAsia="zh-CN"/>
                    </w:rPr>
                    <w:t>危险废物</w:t>
                  </w:r>
                </w:p>
              </w:tc>
              <w:tc>
                <w:tcPr>
                  <w:tcW w:w="1057" w:type="dxa"/>
                  <w:tcBorders>
                    <w:tl2br w:val="nil"/>
                    <w:tr2bl w:val="nil"/>
                  </w:tcBorders>
                  <w:shd w:val="clear" w:color="auto" w:fill="auto"/>
                  <w:vAlign w:val="center"/>
                </w:tcPr>
                <w:p w14:paraId="3AB2EF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p>
                <w:p w14:paraId="57EF98B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900-249-08</w:t>
                  </w:r>
                </w:p>
              </w:tc>
              <w:tc>
                <w:tcPr>
                  <w:tcW w:w="1218" w:type="dxa"/>
                  <w:tcBorders>
                    <w:tl2br w:val="nil"/>
                    <w:tr2bl w:val="nil"/>
                  </w:tcBorders>
                  <w:shd w:val="clear" w:color="auto" w:fill="auto"/>
                  <w:vAlign w:val="center"/>
                </w:tcPr>
                <w:p w14:paraId="0ACB13E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zh-CN" w:bidi="ar-SA"/>
                    </w:rPr>
                  </w:pPr>
                  <w:r>
                    <w:rPr>
                      <w:rFonts w:hint="eastAsia" w:ascii="Times New Roman" w:hAnsi="Times New Roman" w:cs="Times New Roman"/>
                      <w:color w:val="auto"/>
                      <w:sz w:val="21"/>
                      <w:szCs w:val="21"/>
                      <w:lang w:val="en-US" w:eastAsia="zh-CN"/>
                    </w:rPr>
                    <w:t>VOC</w:t>
                  </w:r>
                </w:p>
              </w:tc>
              <w:tc>
                <w:tcPr>
                  <w:tcW w:w="660" w:type="dxa"/>
                  <w:tcBorders>
                    <w:tl2br w:val="nil"/>
                    <w:tr2bl w:val="nil"/>
                  </w:tcBorders>
                  <w:shd w:val="clear" w:color="auto" w:fill="auto"/>
                  <w:vAlign w:val="center"/>
                </w:tcPr>
                <w:p w14:paraId="6508EAA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7"/>
                      <w:kern w:val="0"/>
                      <w:sz w:val="21"/>
                      <w:szCs w:val="21"/>
                      <w:lang w:val="en-US" w:eastAsia="en-US" w:bidi="ar-SA"/>
                    </w:rPr>
                  </w:pPr>
                  <w:r>
                    <w:rPr>
                      <w:rFonts w:hint="default" w:ascii="Times New Roman" w:hAnsi="Times New Roman" w:eastAsia="宋体" w:cs="Times New Roman"/>
                      <w:color w:val="auto"/>
                      <w:spacing w:val="-7"/>
                      <w:sz w:val="21"/>
                      <w:szCs w:val="21"/>
                    </w:rPr>
                    <w:t>固态</w:t>
                  </w:r>
                </w:p>
              </w:tc>
              <w:tc>
                <w:tcPr>
                  <w:tcW w:w="806" w:type="dxa"/>
                  <w:tcBorders>
                    <w:tl2br w:val="nil"/>
                    <w:tr2bl w:val="nil"/>
                  </w:tcBorders>
                  <w:shd w:val="clear" w:color="auto" w:fill="auto"/>
                  <w:vAlign w:val="center"/>
                </w:tcPr>
                <w:p w14:paraId="5C9C7AE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T</w:t>
                  </w:r>
                  <w:r>
                    <w:rPr>
                      <w:rFonts w:hint="eastAsia" w:ascii="Times New Roman" w:hAnsi="Times New Roman" w:eastAsia="宋体" w:cs="Times New Roman"/>
                      <w:color w:val="auto"/>
                      <w:sz w:val="21"/>
                      <w:szCs w:val="21"/>
                      <w:lang w:val="en-US" w:eastAsia="zh-CN"/>
                    </w:rPr>
                    <w:t>/I</w:t>
                  </w:r>
                </w:p>
              </w:tc>
              <w:tc>
                <w:tcPr>
                  <w:tcW w:w="1004" w:type="dxa"/>
                  <w:tcBorders>
                    <w:tl2br w:val="nil"/>
                    <w:tr2bl w:val="nil"/>
                  </w:tcBorders>
                  <w:shd w:val="clear" w:color="auto" w:fill="auto"/>
                  <w:vAlign w:val="center"/>
                </w:tcPr>
                <w:p w14:paraId="6265C0E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0.01</w:t>
                  </w:r>
                </w:p>
              </w:tc>
              <w:tc>
                <w:tcPr>
                  <w:tcW w:w="1191" w:type="dxa"/>
                  <w:tcBorders>
                    <w:tl2br w:val="nil"/>
                    <w:tr2bl w:val="nil"/>
                  </w:tcBorders>
                  <w:shd w:val="clear" w:color="auto" w:fill="auto"/>
                  <w:vAlign w:val="center"/>
                </w:tcPr>
                <w:p w14:paraId="797C832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3"/>
                      <w:kern w:val="0"/>
                      <w:sz w:val="21"/>
                      <w:szCs w:val="21"/>
                      <w:lang w:val="en-US" w:eastAsia="en-US" w:bidi="ar-SA"/>
                    </w:rPr>
                  </w:pPr>
                  <w:r>
                    <w:rPr>
                      <w:rFonts w:hint="default" w:ascii="Times New Roman" w:hAnsi="Times New Roman" w:eastAsia="宋体" w:cs="Times New Roman"/>
                      <w:color w:val="auto"/>
                      <w:spacing w:val="-23"/>
                      <w:sz w:val="21"/>
                      <w:szCs w:val="21"/>
                      <w:lang w:val="en-US" w:eastAsia="zh-CN"/>
                    </w:rPr>
                    <w:t>桶装</w:t>
                  </w:r>
                  <w:r>
                    <w:rPr>
                      <w:rFonts w:hint="default" w:ascii="Times New Roman" w:hAnsi="Times New Roman" w:eastAsia="宋体" w:cs="Times New Roman"/>
                      <w:color w:val="auto"/>
                      <w:spacing w:val="-23"/>
                      <w:sz w:val="21"/>
                      <w:szCs w:val="21"/>
                    </w:rPr>
                    <w:t>；危险</w:t>
                  </w:r>
                  <w:r>
                    <w:rPr>
                      <w:rFonts w:hint="default" w:ascii="Times New Roman" w:hAnsi="Times New Roman" w:eastAsia="宋体" w:cs="Times New Roman"/>
                      <w:color w:val="auto"/>
                      <w:spacing w:val="-1"/>
                      <w:sz w:val="21"/>
                      <w:szCs w:val="21"/>
                    </w:rPr>
                    <w:t>废物暂存间</w:t>
                  </w:r>
                </w:p>
              </w:tc>
              <w:tc>
                <w:tcPr>
                  <w:tcW w:w="1178" w:type="dxa"/>
                  <w:tcBorders>
                    <w:tl2br w:val="nil"/>
                    <w:tr2bl w:val="nil"/>
                  </w:tcBorders>
                  <w:shd w:val="clear" w:color="auto" w:fill="auto"/>
                  <w:vAlign w:val="center"/>
                </w:tcPr>
                <w:p w14:paraId="32CB321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en-US" w:bidi="ar-SA"/>
                    </w:rPr>
                  </w:pPr>
                  <w:r>
                    <w:rPr>
                      <w:rFonts w:hint="default" w:ascii="Times New Roman" w:hAnsi="Times New Roman" w:eastAsia="宋体" w:cs="Times New Roman"/>
                      <w:color w:val="auto"/>
                      <w:spacing w:val="-1"/>
                      <w:sz w:val="21"/>
                      <w:szCs w:val="21"/>
                    </w:rPr>
                    <w:t>委托处置</w:t>
                  </w:r>
                </w:p>
              </w:tc>
              <w:tc>
                <w:tcPr>
                  <w:tcW w:w="975" w:type="dxa"/>
                  <w:tcBorders>
                    <w:tl2br w:val="nil"/>
                    <w:tr2bl w:val="nil"/>
                  </w:tcBorders>
                  <w:shd w:val="clear" w:color="auto" w:fill="auto"/>
                  <w:vAlign w:val="center"/>
                </w:tcPr>
                <w:p w14:paraId="485C529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0.01</w:t>
                  </w:r>
                </w:p>
              </w:tc>
              <w:tc>
                <w:tcPr>
                  <w:tcW w:w="1002" w:type="dxa"/>
                  <w:vMerge w:val="continue"/>
                  <w:tcBorders>
                    <w:tl2br w:val="nil"/>
                    <w:tr2bl w:val="nil"/>
                  </w:tcBorders>
                  <w:vAlign w:val="center"/>
                </w:tcPr>
                <w:p w14:paraId="79E9974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r>
          </w:tbl>
          <w:p w14:paraId="52ACFDD9">
            <w:pPr>
              <w:pStyle w:val="22"/>
              <w:keepNext w:val="0"/>
              <w:keepLines w:val="0"/>
              <w:pageBreakBefore w:val="0"/>
              <w:widowControl/>
              <w:numPr>
                <w:ilvl w:val="0"/>
                <w:numId w:val="0"/>
              </w:numPr>
              <w:kinsoku/>
              <w:wordWrap/>
              <w:overflowPunct/>
              <w:topLinePunct w:val="0"/>
              <w:autoSpaceDE w:val="0"/>
              <w:autoSpaceDN w:val="0"/>
              <w:bidi w:val="0"/>
              <w:snapToGrid w:val="0"/>
              <w:spacing w:line="360" w:lineRule="auto"/>
              <w:ind w:firstLine="476" w:firstLineChars="200"/>
              <w:textAlignment w:val="baseline"/>
              <w:rPr>
                <w:rFonts w:hint="default" w:ascii="Times New Roman" w:hAnsi="Times New Roman" w:eastAsia="黑体" w:cs="Times New Roman"/>
                <w:color w:val="auto"/>
                <w:spacing w:val="-1"/>
                <w:sz w:val="24"/>
                <w:szCs w:val="24"/>
                <w:lang w:val="en-US" w:eastAsia="zh-CN"/>
                <w14:textOutline w14:w="4354" w14:cap="flat" w14:cmpd="sng">
                  <w14:solidFill>
                    <w14:srgbClr w14:val="000000"/>
                  </w14:solidFill>
                  <w14:prstDash w14:val="solid"/>
                  <w14:miter w14:val="0"/>
                </w14:textOutline>
              </w:rPr>
            </w:pPr>
          </w:p>
        </w:tc>
      </w:tr>
    </w:tbl>
    <w:p w14:paraId="1D9A2A14">
      <w:pPr>
        <w:pStyle w:val="5"/>
        <w:spacing w:line="31" w:lineRule="exact"/>
        <w:rPr>
          <w:rFonts w:hint="default" w:ascii="Times New Roman" w:hAnsi="Times New Roman" w:cs="Times New Roman"/>
          <w:color w:val="auto"/>
          <w:sz w:val="2"/>
        </w:rPr>
      </w:pPr>
    </w:p>
    <w:p w14:paraId="6C550681">
      <w:pPr>
        <w:spacing w:line="31" w:lineRule="exact"/>
        <w:rPr>
          <w:rFonts w:hint="default" w:ascii="Times New Roman" w:hAnsi="Times New Roman" w:cs="Times New Roman"/>
          <w:color w:val="auto"/>
          <w:sz w:val="2"/>
          <w:szCs w:val="2"/>
        </w:rPr>
        <w:sectPr>
          <w:footerReference r:id="rId7" w:type="default"/>
          <w:pgSz w:w="16839" w:h="11905"/>
          <w:pgMar w:top="1440" w:right="1134" w:bottom="1440" w:left="1080" w:header="0" w:footer="1080" w:gutter="0"/>
          <w:pgBorders>
            <w:top w:val="none" w:sz="0" w:space="0"/>
            <w:left w:val="none" w:sz="0" w:space="0"/>
            <w:bottom w:val="none" w:sz="0" w:space="0"/>
            <w:right w:val="none" w:sz="0" w:space="0"/>
          </w:pgBorders>
          <w:pgNumType w:fmt="decimal"/>
          <w:cols w:space="720" w:num="1"/>
        </w:sectPr>
      </w:pPr>
    </w:p>
    <w:tbl>
      <w:tblPr>
        <w:tblStyle w:val="21"/>
        <w:tblW w:w="984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8"/>
        <w:gridCol w:w="9308"/>
      </w:tblGrid>
      <w:tr w14:paraId="7D52C3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245" w:hRule="atLeast"/>
        </w:trPr>
        <w:tc>
          <w:tcPr>
            <w:tcW w:w="538" w:type="dxa"/>
            <w:textDirection w:val="tbRlV"/>
            <w:vAlign w:val="top"/>
          </w:tcPr>
          <w:p w14:paraId="4C3AC67D">
            <w:pPr>
              <w:pStyle w:val="22"/>
              <w:spacing w:before="147" w:line="209" w:lineRule="auto"/>
              <w:ind w:left="5288"/>
              <w:rPr>
                <w:rFonts w:hint="default" w:ascii="Times New Roman" w:hAnsi="Times New Roman" w:cs="Times New Roman"/>
                <w:color w:val="auto"/>
              </w:rPr>
            </w:pPr>
            <w:r>
              <w:rPr>
                <w:rFonts w:hint="default" w:ascii="Times New Roman" w:hAnsi="Times New Roman" w:cs="Times New Roman"/>
                <w:color w:val="auto"/>
                <w:spacing w:val="-1"/>
              </w:rPr>
              <w:t>运营期环境影响和保护措施</w:t>
            </w:r>
          </w:p>
        </w:tc>
        <w:tc>
          <w:tcPr>
            <w:tcW w:w="9308" w:type="dxa"/>
            <w:vAlign w:val="top"/>
          </w:tcPr>
          <w:p w14:paraId="5D1AE083">
            <w:pPr>
              <w:keepNext w:val="0"/>
              <w:keepLines w:val="0"/>
              <w:pageBreakBefore w:val="0"/>
              <w:widowControl/>
              <w:kinsoku/>
              <w:wordWrap/>
              <w:overflowPunct/>
              <w:topLinePunct w:val="0"/>
              <w:autoSpaceDE w:val="0"/>
              <w:autoSpaceDN w:val="0"/>
              <w:bidi w:val="0"/>
              <w:adjustRightInd/>
              <w:snapToGrid w:val="0"/>
              <w:spacing w:line="360" w:lineRule="auto"/>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4、环境管理要求</w:t>
            </w:r>
          </w:p>
          <w:p w14:paraId="06889D74">
            <w:pPr>
              <w:keepNext w:val="0"/>
              <w:keepLines w:val="0"/>
              <w:pageBreakBefore w:val="0"/>
              <w:widowControl/>
              <w:kinsoku/>
              <w:wordWrap/>
              <w:overflowPunct/>
              <w:topLinePunct w:val="0"/>
              <w:autoSpaceDE w:val="0"/>
              <w:autoSpaceDN w:val="0"/>
              <w:bidi w:val="0"/>
              <w:adjustRightInd/>
              <w:snapToGrid w:val="0"/>
              <w:spacing w:line="360" w:lineRule="auto"/>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（1）一般固废</w:t>
            </w:r>
          </w:p>
          <w:p w14:paraId="4AF743F9">
            <w:pPr>
              <w:keepNext w:val="0"/>
              <w:keepLines w:val="0"/>
              <w:pageBreakBefore w:val="0"/>
              <w:widowControl/>
              <w:kinsoku/>
              <w:wordWrap/>
              <w:overflowPunct/>
              <w:topLinePunct w:val="0"/>
              <w:autoSpaceDE w:val="0"/>
              <w:autoSpaceDN w:val="0"/>
              <w:bidi w:val="0"/>
              <w:adjustRightInd/>
              <w:snapToGrid w:val="0"/>
              <w:spacing w:line="360" w:lineRule="auto"/>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一般工业固体废物贮存</w:t>
            </w:r>
            <w:r>
              <w:rPr>
                <w:rFonts w:hint="eastAsia" w:ascii="Times New Roman" w:hAnsi="Times New Roman" w:cs="Times New Roman"/>
                <w:color w:val="auto"/>
                <w:lang w:val="en-US" w:eastAsia="zh-CN"/>
              </w:rPr>
              <w:t>参照</w:t>
            </w:r>
            <w:r>
              <w:rPr>
                <w:rFonts w:hint="default" w:ascii="Times New Roman" w:hAnsi="Times New Roman" w:eastAsia="宋体" w:cs="Times New Roman"/>
                <w:color w:val="auto"/>
              </w:rPr>
              <w:t>《中华人民共和国固体废物污染环境防治法（2020修订）》中防渗漏、防雨淋、防扬尘等环境保护要求。</w:t>
            </w:r>
          </w:p>
          <w:p w14:paraId="1E30867E">
            <w:pPr>
              <w:keepNext w:val="0"/>
              <w:keepLines w:val="0"/>
              <w:pageBreakBefore w:val="0"/>
              <w:widowControl/>
              <w:kinsoku/>
              <w:wordWrap/>
              <w:overflowPunct/>
              <w:topLinePunct w:val="0"/>
              <w:autoSpaceDE w:val="0"/>
              <w:autoSpaceDN w:val="0"/>
              <w:bidi w:val="0"/>
              <w:adjustRightInd/>
              <w:snapToGrid w:val="0"/>
              <w:spacing w:line="360" w:lineRule="auto"/>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（2）危险废物</w:t>
            </w:r>
          </w:p>
          <w:p w14:paraId="40A0E522">
            <w:pPr>
              <w:keepNext w:val="0"/>
              <w:keepLines w:val="0"/>
              <w:pageBreakBefore w:val="0"/>
              <w:widowControl/>
              <w:kinsoku w:val="0"/>
              <w:wordWrap/>
              <w:overflowPunct/>
              <w:topLinePunct w:val="0"/>
              <w:autoSpaceDE w:val="0"/>
              <w:autoSpaceDN w:val="0"/>
              <w:bidi w:val="0"/>
              <w:adjustRightInd/>
              <w:snapToGrid w:val="0"/>
              <w:ind w:firstLine="480" w:firstLineChars="200"/>
              <w:textAlignment w:val="baseline"/>
              <w:rPr>
                <w:rFonts w:hint="default" w:ascii="Times New Roman" w:hAnsi="Times New Roman" w:eastAsia="宋体" w:cs="Times New Roman"/>
                <w:b/>
                <w:bCs/>
                <w:color w:val="auto"/>
              </w:rPr>
            </w:pPr>
            <w:r>
              <w:rPr>
                <w:rFonts w:hint="default" w:ascii="Times New Roman" w:hAnsi="Times New Roman" w:eastAsia="宋体" w:cs="Times New Roman"/>
                <w:color w:val="auto"/>
              </w:rPr>
              <w:t>危险废物收集、贮存、运输过程应满足《危险废物贮存污染控制标准》（GB18597-20</w:t>
            </w:r>
            <w:r>
              <w:rPr>
                <w:rFonts w:hint="default" w:ascii="Times New Roman" w:hAnsi="Times New Roman" w:eastAsia="宋体" w:cs="Times New Roman"/>
                <w:color w:val="auto"/>
                <w:lang w:val="en-US" w:eastAsia="zh-CN"/>
              </w:rPr>
              <w:t>23</w:t>
            </w:r>
            <w:r>
              <w:rPr>
                <w:rFonts w:hint="default" w:ascii="Times New Roman" w:hAnsi="Times New Roman" w:eastAsia="宋体" w:cs="Times New Roman"/>
                <w:color w:val="auto"/>
              </w:rPr>
              <w:t>）中要求。危险废物转移过程应按《危险废物转移联单管理办法》执行。</w:t>
            </w:r>
          </w:p>
          <w:p w14:paraId="02732B47">
            <w:pPr>
              <w:keepNext w:val="0"/>
              <w:keepLines w:val="0"/>
              <w:pageBreakBefore w:val="0"/>
              <w:widowControl/>
              <w:kinsoku w:val="0"/>
              <w:wordWrap/>
              <w:overflowPunct/>
              <w:topLinePunct w:val="0"/>
              <w:autoSpaceDE w:val="0"/>
              <w:autoSpaceDN w:val="0"/>
              <w:bidi w:val="0"/>
              <w:adjustRightInd/>
              <w:snapToGrid w:val="0"/>
              <w:ind w:firstLine="482" w:firstLineChars="200"/>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五、地下水与土壤</w:t>
            </w:r>
          </w:p>
          <w:p w14:paraId="06CD2D12">
            <w:pPr>
              <w:keepNext w:val="0"/>
              <w:keepLines w:val="0"/>
              <w:pageBreakBefore w:val="0"/>
              <w:widowControl/>
              <w:kinsoku w:val="0"/>
              <w:wordWrap/>
              <w:overflowPunct/>
              <w:topLinePunct w:val="0"/>
              <w:autoSpaceDE w:val="0"/>
              <w:autoSpaceDN w:val="0"/>
              <w:bidi w:val="0"/>
              <w:adjustRightInd/>
              <w:snapToGrid w:val="0"/>
              <w:ind w:firstLine="480" w:firstLineChars="200"/>
              <w:textAlignment w:val="baseline"/>
              <w:rPr>
                <w:rFonts w:hint="default" w:ascii="Times New Roman" w:hAnsi="Times New Roman" w:eastAsia="宋体" w:cs="Times New Roman"/>
                <w:color w:val="auto"/>
                <w:highlight w:val="yellow"/>
              </w:rPr>
            </w:pPr>
            <w:r>
              <w:rPr>
                <w:rFonts w:hint="default" w:ascii="Times New Roman" w:hAnsi="Times New Roman" w:eastAsia="宋体" w:cs="Times New Roman"/>
                <w:color w:val="auto"/>
              </w:rPr>
              <w:t>项目为</w:t>
            </w:r>
            <w:r>
              <w:rPr>
                <w:rFonts w:hint="default" w:ascii="Times New Roman" w:hAnsi="Times New Roman" w:cs="Times New Roman"/>
                <w:color w:val="auto"/>
                <w:highlight w:val="none"/>
                <w:lang w:val="en-US" w:eastAsia="zh-CN"/>
              </w:rPr>
              <w:t>黑色金属铸造</w:t>
            </w:r>
            <w:r>
              <w:rPr>
                <w:rFonts w:hint="eastAsia" w:ascii="Times New Roman" w:hAnsi="Times New Roman" w:cs="Times New Roman"/>
                <w:color w:val="auto"/>
                <w:highlight w:val="none"/>
                <w:lang w:val="en-US" w:eastAsia="zh-CN"/>
              </w:rPr>
              <w:t>业</w:t>
            </w:r>
            <w:r>
              <w:rPr>
                <w:rFonts w:hint="default" w:ascii="Times New Roman" w:hAnsi="Times New Roman" w:eastAsia="宋体" w:cs="Times New Roman"/>
                <w:color w:val="auto"/>
                <w:highlight w:val="none"/>
              </w:rPr>
              <w:t>，所用原材料不属于有毒有害物质，生产过程中无废水排放，主要产生污染物为</w:t>
            </w:r>
            <w:r>
              <w:rPr>
                <w:rFonts w:hint="eastAsia" w:ascii="Times New Roman" w:hAnsi="Times New Roman" w:cs="Times New Roman"/>
                <w:color w:val="auto"/>
                <w:highlight w:val="none"/>
                <w:lang w:val="en-US" w:eastAsia="zh-CN"/>
              </w:rPr>
              <w:t>颗粒物、</w:t>
            </w:r>
            <w:r>
              <w:rPr>
                <w:rFonts w:hint="default" w:ascii="Times New Roman" w:hAnsi="Times New Roman" w:eastAsia="宋体" w:cs="Times New Roman"/>
                <w:color w:val="auto"/>
                <w:highlight w:val="none"/>
              </w:rPr>
              <w:t>VOCs和固体废物，针对项目生产可能对地下水和土壤产生的影响，依据项目区的原料和产品的生产、输送、储存等环节分为重点污染防治区、一般污染防治区和非污染防治区，具体分析如下：</w:t>
            </w:r>
          </w:p>
          <w:p w14:paraId="6C3C8BF1">
            <w:pPr>
              <w:keepNext w:val="0"/>
              <w:keepLines w:val="0"/>
              <w:pageBreakBefore w:val="0"/>
              <w:widowControl/>
              <w:kinsoku w:val="0"/>
              <w:wordWrap/>
              <w:overflowPunct/>
              <w:topLinePunct w:val="0"/>
              <w:autoSpaceDE w:val="0"/>
              <w:autoSpaceDN w:val="0"/>
              <w:bidi w:val="0"/>
              <w:adjustRightInd/>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重点污染防治区是指对地下水环境有污染的物料或污染物泄漏后，不能及时发现和处理的区域或部位，主要指项目化粪池、危废间等区域。一般污染防治区是指对地下水环境有污染的物料或污染物泄漏后，可及时发现和处理的区域或部位，包括车间。非污染防治区是指一般和重点污染防治区以外的区域，包括公用工程区域等。</w:t>
            </w:r>
          </w:p>
          <w:p w14:paraId="7968AD9D">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表4-1</w:t>
            </w:r>
            <w:r>
              <w:rPr>
                <w:rFonts w:hint="eastAsia" w:ascii="Times New Roman" w:hAnsi="Times New Roman" w:cs="Times New Roman"/>
                <w:b/>
                <w:bCs/>
                <w:color w:val="auto"/>
                <w:lang w:val="en-US" w:eastAsia="zh-CN"/>
              </w:rPr>
              <w:t>4</w:t>
            </w:r>
            <w:r>
              <w:rPr>
                <w:rFonts w:hint="default" w:ascii="Times New Roman" w:hAnsi="Times New Roman" w:eastAsia="宋体" w:cs="Times New Roman"/>
                <w:b/>
                <w:bCs/>
                <w:color w:val="auto"/>
              </w:rPr>
              <w:t>项目拟采取的防治地下水污染措施</w:t>
            </w:r>
          </w:p>
          <w:tbl>
            <w:tblPr>
              <w:tblStyle w:val="21"/>
              <w:tblW w:w="9080" w:type="dxa"/>
              <w:tblInd w:w="1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2"/>
              <w:gridCol w:w="1833"/>
              <w:gridCol w:w="5935"/>
            </w:tblGrid>
            <w:tr w14:paraId="243C8F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2" w:hRule="atLeast"/>
              </w:trPr>
              <w:tc>
                <w:tcPr>
                  <w:tcW w:w="3145" w:type="dxa"/>
                  <w:gridSpan w:val="2"/>
                  <w:vAlign w:val="top"/>
                </w:tcPr>
                <w:p w14:paraId="155A2792">
                  <w:pPr>
                    <w:pStyle w:val="22"/>
                    <w:spacing w:before="125" w:line="223" w:lineRule="auto"/>
                    <w:ind w:left="1368"/>
                    <w:rPr>
                      <w:rFonts w:hint="default" w:ascii="Times New Roman" w:hAnsi="Times New Roman" w:cs="Times New Roman"/>
                      <w:b/>
                      <w:bCs/>
                      <w:color w:val="auto"/>
                      <w:sz w:val="21"/>
                      <w:szCs w:val="21"/>
                    </w:rPr>
                  </w:pPr>
                  <w:r>
                    <w:rPr>
                      <w:rFonts w:hint="default" w:ascii="Times New Roman" w:hAnsi="Times New Roman" w:cs="Times New Roman"/>
                      <w:b/>
                      <w:bCs/>
                      <w:color w:val="auto"/>
                      <w:spacing w:val="-3"/>
                      <w:sz w:val="21"/>
                      <w:szCs w:val="21"/>
                    </w:rPr>
                    <w:t>名称</w:t>
                  </w:r>
                </w:p>
              </w:tc>
              <w:tc>
                <w:tcPr>
                  <w:tcW w:w="5935" w:type="dxa"/>
                  <w:vAlign w:val="top"/>
                </w:tcPr>
                <w:p w14:paraId="5493B659">
                  <w:pPr>
                    <w:pStyle w:val="22"/>
                    <w:spacing w:before="125" w:line="221" w:lineRule="auto"/>
                    <w:ind w:left="2565"/>
                    <w:rPr>
                      <w:rFonts w:hint="default" w:ascii="Times New Roman" w:hAnsi="Times New Roman" w:cs="Times New Roman"/>
                      <w:b/>
                      <w:bCs/>
                      <w:color w:val="auto"/>
                      <w:sz w:val="21"/>
                      <w:szCs w:val="21"/>
                    </w:rPr>
                  </w:pPr>
                  <w:r>
                    <w:rPr>
                      <w:rFonts w:hint="default" w:ascii="Times New Roman" w:hAnsi="Times New Roman" w:cs="Times New Roman"/>
                      <w:b/>
                      <w:bCs/>
                      <w:color w:val="auto"/>
                      <w:spacing w:val="-5"/>
                      <w:sz w:val="21"/>
                      <w:szCs w:val="21"/>
                    </w:rPr>
                    <w:t>防渗等级</w:t>
                  </w:r>
                </w:p>
              </w:tc>
            </w:tr>
            <w:tr w14:paraId="7FE7BD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1312" w:type="dxa"/>
                  <w:vAlign w:val="top"/>
                </w:tcPr>
                <w:p w14:paraId="47E1D186">
                  <w:pPr>
                    <w:pStyle w:val="22"/>
                    <w:spacing w:before="121" w:line="220" w:lineRule="auto"/>
                    <w:ind w:left="137"/>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简单防渗区</w:t>
                  </w:r>
                </w:p>
              </w:tc>
              <w:tc>
                <w:tcPr>
                  <w:tcW w:w="1833" w:type="dxa"/>
                  <w:vAlign w:val="top"/>
                </w:tcPr>
                <w:p w14:paraId="6D46A30F">
                  <w:pPr>
                    <w:pStyle w:val="22"/>
                    <w:spacing w:before="122" w:line="221" w:lineRule="auto"/>
                    <w:ind w:left="401"/>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公用工程区</w:t>
                  </w:r>
                </w:p>
              </w:tc>
              <w:tc>
                <w:tcPr>
                  <w:tcW w:w="5935" w:type="dxa"/>
                  <w:vAlign w:val="top"/>
                </w:tcPr>
                <w:p w14:paraId="558E23A5">
                  <w:pPr>
                    <w:pStyle w:val="22"/>
                    <w:spacing w:before="121" w:line="222" w:lineRule="auto"/>
                    <w:ind w:left="2344"/>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一般地面硬化</w:t>
                  </w:r>
                </w:p>
              </w:tc>
            </w:tr>
            <w:tr w14:paraId="2A49CF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312" w:type="dxa"/>
                  <w:vAlign w:val="top"/>
                </w:tcPr>
                <w:p w14:paraId="19632984">
                  <w:pPr>
                    <w:pStyle w:val="22"/>
                    <w:spacing w:before="305" w:line="221" w:lineRule="auto"/>
                    <w:ind w:left="136"/>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一般防渗区</w:t>
                  </w:r>
                </w:p>
              </w:tc>
              <w:tc>
                <w:tcPr>
                  <w:tcW w:w="1833" w:type="dxa"/>
                  <w:vAlign w:val="top"/>
                </w:tcPr>
                <w:p w14:paraId="08C60241">
                  <w:pPr>
                    <w:pStyle w:val="22"/>
                    <w:spacing w:before="167" w:line="231" w:lineRule="auto"/>
                    <w:ind w:left="708" w:right="103" w:hanging="595"/>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车间、一般固废暂</w:t>
                  </w:r>
                  <w:r>
                    <w:rPr>
                      <w:rFonts w:hint="default" w:ascii="Times New Roman" w:hAnsi="Times New Roman" w:cs="Times New Roman"/>
                      <w:color w:val="auto"/>
                      <w:spacing w:val="-2"/>
                      <w:sz w:val="21"/>
                      <w:szCs w:val="21"/>
                    </w:rPr>
                    <w:t>存处</w:t>
                  </w:r>
                </w:p>
              </w:tc>
              <w:tc>
                <w:tcPr>
                  <w:tcW w:w="5935" w:type="dxa"/>
                  <w:vAlign w:val="top"/>
                </w:tcPr>
                <w:p w14:paraId="39389477">
                  <w:pPr>
                    <w:pStyle w:val="22"/>
                    <w:spacing w:before="34" w:line="234" w:lineRule="auto"/>
                    <w:ind w:left="113"/>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应不低于</w:t>
                  </w:r>
                  <w:r>
                    <w:rPr>
                      <w:rFonts w:hint="default" w:ascii="Times New Roman" w:hAnsi="Times New Roman" w:eastAsia="Times New Roman" w:cs="Times New Roman"/>
                      <w:color w:val="auto"/>
                      <w:spacing w:val="-4"/>
                      <w:sz w:val="21"/>
                      <w:szCs w:val="21"/>
                    </w:rPr>
                    <w:t>1.5m</w:t>
                  </w:r>
                  <w:r>
                    <w:rPr>
                      <w:rFonts w:hint="default" w:ascii="Times New Roman" w:hAnsi="Times New Roman" w:cs="Times New Roman"/>
                      <w:color w:val="auto"/>
                      <w:spacing w:val="-4"/>
                      <w:sz w:val="21"/>
                      <w:szCs w:val="21"/>
                    </w:rPr>
                    <w:t>厚渗透系数为</w:t>
                  </w:r>
                  <w:r>
                    <w:rPr>
                      <w:rFonts w:hint="default" w:ascii="Times New Roman" w:hAnsi="Times New Roman" w:eastAsia="Times New Roman" w:cs="Times New Roman"/>
                      <w:color w:val="auto"/>
                      <w:spacing w:val="-4"/>
                      <w:sz w:val="21"/>
                      <w:szCs w:val="21"/>
                    </w:rPr>
                    <w:t>1.0×10</w:t>
                  </w:r>
                  <w:r>
                    <w:rPr>
                      <w:rFonts w:hint="default" w:ascii="Times New Roman" w:hAnsi="Times New Roman" w:eastAsia="Times New Roman" w:cs="Times New Roman"/>
                      <w:color w:val="auto"/>
                      <w:spacing w:val="-4"/>
                      <w:position w:val="6"/>
                      <w:sz w:val="13"/>
                      <w:szCs w:val="13"/>
                    </w:rPr>
                    <w:t>-7</w:t>
                  </w:r>
                  <w:r>
                    <w:rPr>
                      <w:rFonts w:hint="default" w:ascii="Times New Roman" w:hAnsi="Times New Roman" w:eastAsia="Times New Roman" w:cs="Times New Roman"/>
                      <w:color w:val="auto"/>
                      <w:spacing w:val="-4"/>
                      <w:sz w:val="21"/>
                      <w:szCs w:val="21"/>
                    </w:rPr>
                    <w:t>cm/s</w:t>
                  </w:r>
                  <w:r>
                    <w:rPr>
                      <w:rFonts w:hint="default" w:ascii="Times New Roman" w:hAnsi="Times New Roman" w:cs="Times New Roman"/>
                      <w:color w:val="auto"/>
                      <w:spacing w:val="-4"/>
                      <w:sz w:val="21"/>
                      <w:szCs w:val="21"/>
                    </w:rPr>
                    <w:t>的粘土层；该防渗性</w:t>
                  </w:r>
                </w:p>
                <w:p w14:paraId="07DA225B">
                  <w:pPr>
                    <w:pStyle w:val="22"/>
                    <w:spacing w:before="3" w:line="221" w:lineRule="auto"/>
                    <w:ind w:left="351"/>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能要求与《一般工业固体废物贮存和填埋污染控制标准》</w:t>
                  </w:r>
                </w:p>
                <w:p w14:paraId="3D496E21">
                  <w:pPr>
                    <w:pStyle w:val="22"/>
                    <w:spacing w:before="22" w:line="204" w:lineRule="auto"/>
                    <w:ind w:left="1903"/>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w:t>
                  </w:r>
                  <w:r>
                    <w:rPr>
                      <w:rFonts w:hint="default" w:ascii="Times New Roman" w:hAnsi="Times New Roman" w:eastAsia="Times New Roman" w:cs="Times New Roman"/>
                      <w:color w:val="auto"/>
                      <w:spacing w:val="-1"/>
                      <w:sz w:val="21"/>
                      <w:szCs w:val="21"/>
                    </w:rPr>
                    <w:t>GB18599-2020</w:t>
                  </w:r>
                  <w:r>
                    <w:rPr>
                      <w:rFonts w:hint="default" w:ascii="Times New Roman" w:hAnsi="Times New Roman" w:cs="Times New Roman"/>
                      <w:color w:val="auto"/>
                      <w:spacing w:val="-1"/>
                      <w:sz w:val="21"/>
                      <w:szCs w:val="21"/>
                    </w:rPr>
                    <w:t>）等效</w:t>
                  </w:r>
                </w:p>
              </w:tc>
            </w:tr>
            <w:tr w14:paraId="5E748B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1312" w:type="dxa"/>
                  <w:vAlign w:val="top"/>
                </w:tcPr>
                <w:p w14:paraId="1CDA44D7">
                  <w:pPr>
                    <w:pStyle w:val="22"/>
                    <w:spacing w:before="171" w:line="221" w:lineRule="auto"/>
                    <w:ind w:left="133"/>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重点防渗区</w:t>
                  </w:r>
                </w:p>
              </w:tc>
              <w:tc>
                <w:tcPr>
                  <w:tcW w:w="1833" w:type="dxa"/>
                  <w:vAlign w:val="top"/>
                </w:tcPr>
                <w:p w14:paraId="078B03B0">
                  <w:pPr>
                    <w:pStyle w:val="22"/>
                    <w:spacing w:before="34" w:line="224" w:lineRule="auto"/>
                    <w:ind w:left="112" w:right="104"/>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化粪池（已设置防渗）、危废暂存间</w:t>
                  </w:r>
                </w:p>
              </w:tc>
              <w:tc>
                <w:tcPr>
                  <w:tcW w:w="5935" w:type="dxa"/>
                  <w:vAlign w:val="top"/>
                </w:tcPr>
                <w:p w14:paraId="1BEA5C15">
                  <w:pPr>
                    <w:pStyle w:val="22"/>
                    <w:spacing w:before="34" w:line="224" w:lineRule="auto"/>
                    <w:ind w:left="1099" w:right="111" w:hanging="98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《危险废物贮存污染控制标准》（</w:t>
                  </w:r>
                  <w:r>
                    <w:rPr>
                      <w:rFonts w:hint="default" w:ascii="Times New Roman" w:hAnsi="Times New Roman" w:eastAsia="Times New Roman" w:cs="Times New Roman"/>
                      <w:color w:val="auto"/>
                      <w:sz w:val="21"/>
                      <w:szCs w:val="21"/>
                    </w:rPr>
                    <w:t>GB18</w:t>
                  </w:r>
                  <w:r>
                    <w:rPr>
                      <w:rFonts w:hint="default" w:ascii="Times New Roman" w:hAnsi="Times New Roman" w:eastAsia="Times New Roman" w:cs="Times New Roman"/>
                      <w:color w:val="auto"/>
                      <w:spacing w:val="-1"/>
                      <w:sz w:val="21"/>
                      <w:szCs w:val="21"/>
                    </w:rPr>
                    <w:t>597-20</w:t>
                  </w:r>
                  <w:r>
                    <w:rPr>
                      <w:rFonts w:hint="default" w:ascii="Times New Roman" w:hAnsi="Times New Roman" w:eastAsia="宋体" w:cs="Times New Roman"/>
                      <w:color w:val="auto"/>
                      <w:spacing w:val="-1"/>
                      <w:sz w:val="21"/>
                      <w:szCs w:val="21"/>
                      <w:lang w:val="en-US" w:eastAsia="zh-CN"/>
                    </w:rPr>
                    <w:t>23</w:t>
                  </w:r>
                  <w:r>
                    <w:rPr>
                      <w:rFonts w:hint="default" w:ascii="Times New Roman" w:hAnsi="Times New Roman" w:cs="Times New Roman"/>
                      <w:color w:val="auto"/>
                      <w:spacing w:val="-1"/>
                      <w:sz w:val="21"/>
                      <w:szCs w:val="21"/>
                    </w:rPr>
                    <w:t>）要求进行建</w:t>
                  </w:r>
                  <w:r>
                    <w:rPr>
                      <w:rFonts w:hint="default" w:ascii="Times New Roman" w:hAnsi="Times New Roman" w:cs="Times New Roman"/>
                      <w:color w:val="auto"/>
                      <w:spacing w:val="-2"/>
                      <w:sz w:val="21"/>
                      <w:szCs w:val="21"/>
                    </w:rPr>
                    <w:t>设（防渗层渗透系数小于</w:t>
                  </w:r>
                  <w:r>
                    <w:rPr>
                      <w:rFonts w:hint="default" w:ascii="Times New Roman" w:hAnsi="Times New Roman" w:eastAsia="Times New Roman" w:cs="Times New Roman"/>
                      <w:color w:val="auto"/>
                      <w:spacing w:val="-2"/>
                      <w:sz w:val="21"/>
                      <w:szCs w:val="21"/>
                    </w:rPr>
                    <w:t>1.0×10</w:t>
                  </w:r>
                  <w:r>
                    <w:rPr>
                      <w:rFonts w:hint="default" w:ascii="Times New Roman" w:hAnsi="Times New Roman" w:eastAsia="Times New Roman" w:cs="Times New Roman"/>
                      <w:color w:val="auto"/>
                      <w:spacing w:val="-2"/>
                      <w:position w:val="6"/>
                      <w:sz w:val="13"/>
                      <w:szCs w:val="13"/>
                    </w:rPr>
                    <w:t>-10</w:t>
                  </w:r>
                  <w:r>
                    <w:rPr>
                      <w:rFonts w:hint="default" w:ascii="Times New Roman" w:hAnsi="Times New Roman" w:eastAsia="Times New Roman" w:cs="Times New Roman"/>
                      <w:color w:val="auto"/>
                      <w:spacing w:val="-2"/>
                      <w:sz w:val="21"/>
                      <w:szCs w:val="21"/>
                    </w:rPr>
                    <w:t>cm/s</w:t>
                  </w:r>
                  <w:r>
                    <w:rPr>
                      <w:rFonts w:hint="default" w:ascii="Times New Roman" w:hAnsi="Times New Roman" w:cs="Times New Roman"/>
                      <w:color w:val="auto"/>
                      <w:spacing w:val="-2"/>
                      <w:sz w:val="21"/>
                      <w:szCs w:val="21"/>
                    </w:rPr>
                    <w:t>）</w:t>
                  </w:r>
                </w:p>
              </w:tc>
            </w:tr>
          </w:tbl>
          <w:p w14:paraId="76C844F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项目污染物质主要通过大气沉淀、垂直入渗进入土壤，污染物质来源于大气污染物的排放，污染物质主要集中在土壤表层，通过采取上述措施后，项目营运后对地下水和土壤的影响较小。</w:t>
            </w:r>
          </w:p>
          <w:p w14:paraId="3A96609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根据《山东省生态环境厅山东省自然资源厅关于进一步加强土壤污染重点监管单位管理工作的通知》（鲁环发[2020]5号），“有色金属矿采选、有色金属冶炼、石油开采加工、化工、医药、焦化、制革、电镀、危险废物经营、固体废物填埋等行业中纳入排污许可重点管理的企业事业单位，应当列入土壤污染重点监管单位名录”，本单位不属于土壤污染重点监管单位，可不开展土壤跟踪监测。</w:t>
            </w:r>
          </w:p>
          <w:p w14:paraId="1A49E591">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六、生态</w:t>
            </w:r>
          </w:p>
          <w:p w14:paraId="71EE5D3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本项目不新增用地，且用地范围内无生态环境保护目标，对周边生态基本无影响，本评价不再开展生态环境影响分析。</w:t>
            </w:r>
          </w:p>
          <w:p w14:paraId="2AE38716">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七、环境风险</w:t>
            </w:r>
          </w:p>
          <w:p w14:paraId="759F82E3">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环境风险是指突发性事故造成的危害程度和可能性，其特点是危害大、影响范围广、发生概率具有很大的不确定性。环境风险评价的目的是分析和预测项目存在的潜在危险、有害因素，项目运行期间可能发生的突发性事件或事故（一般不包括人为破坏及自然灾害），引起有毒有害和易燃易爆等物质泄漏，所造成的人身安全、环境影响及其损害程度，提出合理可行的防范、应急与减缓措施，以使建设项目事故率、损失和环境影响达到可接受水平。</w:t>
            </w:r>
          </w:p>
          <w:p w14:paraId="17697709">
            <w:pPr>
              <w:pStyle w:val="3"/>
              <w:rPr>
                <w:rFonts w:hint="default" w:ascii="Times New Roman" w:hAnsi="Times New Roman" w:eastAsia="宋体" w:cs="Times New Roman"/>
                <w:color w:val="auto"/>
              </w:rPr>
            </w:pPr>
            <w:r>
              <w:rPr>
                <w:rFonts w:hint="default" w:ascii="Times New Roman" w:hAnsi="Times New Roman" w:eastAsia="宋体" w:cs="Times New Roman"/>
                <w:color w:val="auto"/>
              </w:rPr>
              <w:t>参照《建设项目环境风险评价技术导则》（HJ169-2018），项目使用的原辅材料中没有爆炸性物质、易燃物质、活性化学物质和有毒物质；项目不涉及高温、高压、易燃易爆工艺，项目周围多为企业，不属于环境敏感地区；项目建设期及营运期所产生的“三废”物质中不存在重大危险源；项目涉及</w:t>
            </w:r>
            <w:r>
              <w:rPr>
                <w:rFonts w:hint="eastAsia" w:ascii="Times New Roman" w:hAnsi="Times New Roman" w:cs="Times New Roman"/>
                <w:color w:val="auto"/>
                <w:lang w:val="en-US" w:eastAsia="zh-CN"/>
              </w:rPr>
              <w:t>的</w:t>
            </w:r>
            <w:r>
              <w:rPr>
                <w:rFonts w:hint="default" w:ascii="Times New Roman" w:hAnsi="Times New Roman" w:eastAsia="宋体" w:cs="Times New Roman"/>
                <w:color w:val="auto"/>
              </w:rPr>
              <w:t>危险物质</w:t>
            </w:r>
            <w:r>
              <w:rPr>
                <w:rFonts w:hint="eastAsia" w:ascii="Times New Roman" w:hAnsi="Times New Roman" w:cs="Times New Roman"/>
                <w:color w:val="auto"/>
                <w:lang w:val="en-US" w:eastAsia="zh-CN"/>
              </w:rPr>
              <w:t>主要</w:t>
            </w:r>
            <w:r>
              <w:rPr>
                <w:rFonts w:hint="default" w:ascii="Times New Roman" w:hAnsi="Times New Roman" w:eastAsia="宋体" w:cs="Times New Roman"/>
                <w:color w:val="auto"/>
              </w:rPr>
              <w:t>为</w:t>
            </w:r>
            <w:r>
              <w:rPr>
                <w:rFonts w:hint="eastAsia"/>
                <w:color w:val="auto"/>
                <w:lang w:val="en-US" w:eastAsia="zh-CN"/>
              </w:rPr>
              <w:t>废机油</w:t>
            </w:r>
            <w:r>
              <w:rPr>
                <w:rFonts w:hint="default" w:ascii="Times New Roman" w:hAnsi="Times New Roman" w:eastAsia="宋体" w:cs="Times New Roman"/>
                <w:color w:val="auto"/>
              </w:rPr>
              <w:t>。</w:t>
            </w:r>
          </w:p>
          <w:p w14:paraId="268CA322">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（1）环境风险潜势初判与评价等级划分</w:t>
            </w:r>
          </w:p>
          <w:p w14:paraId="69AD294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①环境风险潜势初判</w:t>
            </w:r>
          </w:p>
          <w:p w14:paraId="00A6DD5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计算所涉及的每种环境风险物质在厂界内的最大存在总量（如存在总量呈动态变化，则按公历年度内某一天最大存在总量计算；在不同厂区的同一种物质，按其在厂界内的最大存在总量计算）与其在附录B中对应的临界量的比值Q：</w:t>
            </w:r>
          </w:p>
          <w:p w14:paraId="6682660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当企业只涉及一种环境危险物质时，计算该物质的总数量与其临界量比值，即为Q；</w:t>
            </w:r>
          </w:p>
          <w:p w14:paraId="4F409A8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当企业存在多种环境危险物质时，则按下式计算物质总量与其临界量比值：</w:t>
            </w:r>
          </w:p>
          <w:p w14:paraId="1981D4B1">
            <w:pPr>
              <w:spacing w:before="147" w:line="737" w:lineRule="exact"/>
              <w:ind w:firstLine="3165"/>
              <w:rPr>
                <w:rFonts w:hint="default" w:ascii="Times New Roman" w:hAnsi="Times New Roman" w:cs="Times New Roman"/>
                <w:color w:val="auto"/>
              </w:rPr>
            </w:pPr>
            <w:r>
              <w:rPr>
                <w:rFonts w:hint="default" w:ascii="Times New Roman" w:hAnsi="Times New Roman" w:cs="Times New Roman"/>
                <w:color w:val="auto"/>
                <w:position w:val="-14"/>
              </w:rPr>
              <w:drawing>
                <wp:inline distT="0" distB="0" distL="0" distR="0">
                  <wp:extent cx="1871345" cy="467360"/>
                  <wp:effectExtent l="0" t="0" r="14605" b="889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31"/>
                          <a:stretch>
                            <a:fillRect/>
                          </a:stretch>
                        </pic:blipFill>
                        <pic:spPr>
                          <a:xfrm>
                            <a:off x="0" y="0"/>
                            <a:ext cx="1871472" cy="467867"/>
                          </a:xfrm>
                          <a:prstGeom prst="rect">
                            <a:avLst/>
                          </a:prstGeom>
                        </pic:spPr>
                      </pic:pic>
                    </a:graphicData>
                  </a:graphic>
                </wp:inline>
              </w:drawing>
            </w:r>
          </w:p>
          <w:p w14:paraId="2F4A48E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式中：q1，q2，….，qn——每种危险物质的最大存在总量，t；</w:t>
            </w:r>
          </w:p>
          <w:p w14:paraId="14A9280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Q1，Q2，….</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Qn——每种危险物质临界量，t。</w:t>
            </w:r>
          </w:p>
          <w:p w14:paraId="25CA4524">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表4-1</w:t>
            </w:r>
            <w:r>
              <w:rPr>
                <w:rFonts w:hint="eastAsia" w:ascii="Times New Roman" w:hAnsi="Times New Roman" w:cs="Times New Roman"/>
                <w:b/>
                <w:bCs/>
                <w:color w:val="auto"/>
                <w:lang w:val="en-US" w:eastAsia="zh-CN"/>
              </w:rPr>
              <w:t>5</w:t>
            </w:r>
            <w:r>
              <w:rPr>
                <w:rFonts w:hint="default" w:ascii="Times New Roman" w:hAnsi="Times New Roman" w:eastAsia="宋体" w:cs="Times New Roman"/>
                <w:b/>
                <w:bCs/>
                <w:color w:val="auto"/>
              </w:rPr>
              <w:t>Q值划分</w:t>
            </w:r>
          </w:p>
          <w:tbl>
            <w:tblPr>
              <w:tblStyle w:val="21"/>
              <w:tblW w:w="9080" w:type="dxa"/>
              <w:tblInd w:w="105" w:type="dxa"/>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2507"/>
              <w:gridCol w:w="3032"/>
              <w:gridCol w:w="3541"/>
            </w:tblGrid>
            <w:tr w14:paraId="4064E1B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64" w:hRule="atLeast"/>
              </w:trPr>
              <w:tc>
                <w:tcPr>
                  <w:tcW w:w="2507" w:type="dxa"/>
                  <w:tcBorders>
                    <w:tl2br w:val="nil"/>
                    <w:tr2bl w:val="nil"/>
                  </w:tcBorders>
                  <w:vAlign w:val="top"/>
                </w:tcPr>
                <w:p w14:paraId="5B02B749">
                  <w:pPr>
                    <w:pStyle w:val="22"/>
                    <w:spacing w:before="125" w:line="222" w:lineRule="auto"/>
                    <w:ind w:left="1048"/>
                    <w:rPr>
                      <w:rFonts w:hint="default" w:ascii="Times New Roman" w:hAnsi="Times New Roman" w:cs="Times New Roman"/>
                      <w:b/>
                      <w:bCs/>
                      <w:color w:val="auto"/>
                      <w:sz w:val="21"/>
                      <w:szCs w:val="21"/>
                    </w:rPr>
                  </w:pPr>
                  <w:r>
                    <w:rPr>
                      <w:rFonts w:hint="default" w:ascii="Times New Roman" w:hAnsi="Times New Roman" w:cs="Times New Roman"/>
                      <w:b/>
                      <w:bCs/>
                      <w:color w:val="auto"/>
                      <w:spacing w:val="-2"/>
                      <w:sz w:val="21"/>
                      <w:szCs w:val="21"/>
                    </w:rPr>
                    <w:t>序号</w:t>
                  </w:r>
                </w:p>
              </w:tc>
              <w:tc>
                <w:tcPr>
                  <w:tcW w:w="6573" w:type="dxa"/>
                  <w:gridSpan w:val="2"/>
                  <w:tcBorders>
                    <w:tl2br w:val="nil"/>
                    <w:tr2bl w:val="nil"/>
                  </w:tcBorders>
                  <w:vAlign w:val="top"/>
                </w:tcPr>
                <w:p w14:paraId="708F673D">
                  <w:pPr>
                    <w:pStyle w:val="22"/>
                    <w:spacing w:before="125" w:line="217" w:lineRule="auto"/>
                    <w:ind w:left="2872"/>
                    <w:rPr>
                      <w:rFonts w:hint="default" w:ascii="Times New Roman" w:hAnsi="Times New Roman" w:cs="Times New Roman"/>
                      <w:b/>
                      <w:bCs/>
                      <w:color w:val="auto"/>
                      <w:sz w:val="21"/>
                      <w:szCs w:val="21"/>
                    </w:rPr>
                  </w:pPr>
                  <w:r>
                    <w:rPr>
                      <w:rFonts w:hint="default" w:ascii="Times New Roman" w:hAnsi="Times New Roman" w:eastAsia="Times New Roman" w:cs="Times New Roman"/>
                      <w:b/>
                      <w:bCs/>
                      <w:color w:val="auto"/>
                      <w:spacing w:val="-4"/>
                      <w:sz w:val="21"/>
                      <w:szCs w:val="21"/>
                    </w:rPr>
                    <w:t>Q</w:t>
                  </w:r>
                  <w:r>
                    <w:rPr>
                      <w:rFonts w:hint="default" w:ascii="Times New Roman" w:hAnsi="Times New Roman" w:cs="Times New Roman"/>
                      <w:b/>
                      <w:bCs/>
                      <w:color w:val="auto"/>
                      <w:spacing w:val="-4"/>
                      <w:sz w:val="21"/>
                      <w:szCs w:val="21"/>
                    </w:rPr>
                    <w:t>值划分</w:t>
                  </w:r>
                </w:p>
              </w:tc>
            </w:tr>
            <w:tr w14:paraId="6173B28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7" w:hRule="atLeast"/>
              </w:trPr>
              <w:tc>
                <w:tcPr>
                  <w:tcW w:w="2507" w:type="dxa"/>
                  <w:tcBorders>
                    <w:tl2br w:val="nil"/>
                    <w:tr2bl w:val="nil"/>
                  </w:tcBorders>
                  <w:vAlign w:val="top"/>
                </w:tcPr>
                <w:p w14:paraId="40BECF41">
                  <w:pPr>
                    <w:spacing w:before="153" w:line="187" w:lineRule="auto"/>
                    <w:ind w:left="1222"/>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3032" w:type="dxa"/>
                  <w:tcBorders>
                    <w:tl2br w:val="nil"/>
                    <w:tr2bl w:val="nil"/>
                  </w:tcBorders>
                  <w:vAlign w:val="top"/>
                </w:tcPr>
                <w:p w14:paraId="5788E480">
                  <w:pPr>
                    <w:pStyle w:val="22"/>
                    <w:spacing w:before="122" w:line="217" w:lineRule="auto"/>
                    <w:ind w:left="1287"/>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Q</w:t>
                  </w:r>
                  <w:r>
                    <w:rPr>
                      <w:rFonts w:hint="default" w:ascii="Times New Roman" w:hAnsi="Times New Roman" w:cs="Times New Roman"/>
                      <w:color w:val="auto"/>
                      <w:spacing w:val="-3"/>
                      <w:sz w:val="21"/>
                      <w:szCs w:val="21"/>
                    </w:rPr>
                    <w:t>＜</w:t>
                  </w:r>
                  <w:r>
                    <w:rPr>
                      <w:rFonts w:hint="default" w:ascii="Times New Roman" w:hAnsi="Times New Roman" w:eastAsia="Times New Roman" w:cs="Times New Roman"/>
                      <w:color w:val="auto"/>
                      <w:spacing w:val="-3"/>
                      <w:sz w:val="21"/>
                      <w:szCs w:val="21"/>
                    </w:rPr>
                    <w:t>1</w:t>
                  </w:r>
                </w:p>
              </w:tc>
              <w:tc>
                <w:tcPr>
                  <w:tcW w:w="3541" w:type="dxa"/>
                  <w:tcBorders>
                    <w:tl2br w:val="nil"/>
                    <w:tr2bl w:val="nil"/>
                  </w:tcBorders>
                  <w:vAlign w:val="top"/>
                </w:tcPr>
                <w:p w14:paraId="2D8A08BD">
                  <w:pPr>
                    <w:pStyle w:val="22"/>
                    <w:spacing w:before="121" w:line="221" w:lineRule="auto"/>
                    <w:ind w:left="1005"/>
                    <w:rPr>
                      <w:rFonts w:hint="default" w:ascii="Times New Roman" w:hAnsi="Times New Roman" w:eastAsia="Times New Roman" w:cs="Times New Roman"/>
                      <w:color w:val="auto"/>
                      <w:sz w:val="21"/>
                      <w:szCs w:val="21"/>
                    </w:rPr>
                  </w:pPr>
                  <w:r>
                    <w:rPr>
                      <w:rFonts w:hint="default" w:ascii="Times New Roman" w:hAnsi="Times New Roman" w:cs="Times New Roman"/>
                      <w:color w:val="auto"/>
                      <w:spacing w:val="-1"/>
                      <w:sz w:val="21"/>
                      <w:szCs w:val="21"/>
                    </w:rPr>
                    <w:t>环境风险潜势为</w:t>
                  </w:r>
                  <w:r>
                    <w:rPr>
                      <w:rFonts w:hint="default" w:ascii="Times New Roman" w:hAnsi="Times New Roman" w:eastAsia="Times New Roman" w:cs="Times New Roman"/>
                      <w:color w:val="auto"/>
                      <w:spacing w:val="-1"/>
                      <w:sz w:val="21"/>
                      <w:szCs w:val="21"/>
                    </w:rPr>
                    <w:t>Ⅰ</w:t>
                  </w:r>
                </w:p>
              </w:tc>
            </w:tr>
            <w:tr w14:paraId="4BC8C6F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7" w:hRule="atLeast"/>
              </w:trPr>
              <w:tc>
                <w:tcPr>
                  <w:tcW w:w="2507" w:type="dxa"/>
                  <w:vMerge w:val="restart"/>
                  <w:tcBorders>
                    <w:tl2br w:val="nil"/>
                    <w:tr2bl w:val="nil"/>
                  </w:tcBorders>
                  <w:vAlign w:val="center"/>
                </w:tcPr>
                <w:p w14:paraId="14ADC4A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w:t>
                  </w:r>
                </w:p>
              </w:tc>
              <w:tc>
                <w:tcPr>
                  <w:tcW w:w="3032" w:type="dxa"/>
                  <w:vMerge w:val="restart"/>
                  <w:tcBorders>
                    <w:tl2br w:val="nil"/>
                    <w:tr2bl w:val="nil"/>
                  </w:tcBorders>
                  <w:vAlign w:val="center"/>
                </w:tcPr>
                <w:p w14:paraId="384412B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Q≥1</w:t>
                  </w:r>
                </w:p>
              </w:tc>
              <w:tc>
                <w:tcPr>
                  <w:tcW w:w="3541" w:type="dxa"/>
                  <w:tcBorders>
                    <w:tl2br w:val="nil"/>
                    <w:tr2bl w:val="nil"/>
                  </w:tcBorders>
                  <w:vAlign w:val="top"/>
                </w:tcPr>
                <w:p w14:paraId="6CF0BEDB">
                  <w:pPr>
                    <w:pStyle w:val="22"/>
                    <w:spacing w:before="123" w:line="217" w:lineRule="auto"/>
                    <w:ind w:left="1396"/>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1≤Q</w:t>
                  </w:r>
                  <w:r>
                    <w:rPr>
                      <w:rFonts w:hint="default" w:ascii="Times New Roman" w:hAnsi="Times New Roman" w:cs="Times New Roman"/>
                      <w:color w:val="auto"/>
                      <w:spacing w:val="-4"/>
                      <w:sz w:val="21"/>
                      <w:szCs w:val="21"/>
                    </w:rPr>
                    <w:t>＜</w:t>
                  </w:r>
                  <w:r>
                    <w:rPr>
                      <w:rFonts w:hint="default" w:ascii="Times New Roman" w:hAnsi="Times New Roman" w:eastAsia="Times New Roman" w:cs="Times New Roman"/>
                      <w:color w:val="auto"/>
                      <w:spacing w:val="-4"/>
                      <w:sz w:val="21"/>
                      <w:szCs w:val="21"/>
                    </w:rPr>
                    <w:t>10</w:t>
                  </w:r>
                </w:p>
              </w:tc>
            </w:tr>
            <w:tr w14:paraId="4B24882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2507" w:type="dxa"/>
                  <w:vMerge w:val="continue"/>
                  <w:tcBorders>
                    <w:tl2br w:val="nil"/>
                    <w:tr2bl w:val="nil"/>
                  </w:tcBorders>
                  <w:vAlign w:val="top"/>
                </w:tcPr>
                <w:p w14:paraId="693A6344">
                  <w:pPr>
                    <w:rPr>
                      <w:rFonts w:hint="default" w:ascii="Times New Roman" w:hAnsi="Times New Roman" w:cs="Times New Roman"/>
                      <w:color w:val="auto"/>
                      <w:sz w:val="21"/>
                    </w:rPr>
                  </w:pPr>
                </w:p>
              </w:tc>
              <w:tc>
                <w:tcPr>
                  <w:tcW w:w="3032" w:type="dxa"/>
                  <w:vMerge w:val="continue"/>
                  <w:tcBorders>
                    <w:tl2br w:val="nil"/>
                    <w:tr2bl w:val="nil"/>
                  </w:tcBorders>
                  <w:vAlign w:val="top"/>
                </w:tcPr>
                <w:p w14:paraId="66B4E1B5">
                  <w:pPr>
                    <w:rPr>
                      <w:rFonts w:hint="default" w:ascii="Times New Roman" w:hAnsi="Times New Roman" w:cs="Times New Roman"/>
                      <w:color w:val="auto"/>
                      <w:sz w:val="21"/>
                    </w:rPr>
                  </w:pPr>
                </w:p>
              </w:tc>
              <w:tc>
                <w:tcPr>
                  <w:tcW w:w="3541" w:type="dxa"/>
                  <w:tcBorders>
                    <w:tl2br w:val="nil"/>
                    <w:tr2bl w:val="nil"/>
                  </w:tcBorders>
                  <w:vAlign w:val="top"/>
                </w:tcPr>
                <w:p w14:paraId="22DF1008">
                  <w:pPr>
                    <w:pStyle w:val="22"/>
                    <w:spacing w:before="124" w:line="217" w:lineRule="auto"/>
                    <w:ind w:left="1290"/>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10≤Q</w:t>
                  </w:r>
                  <w:r>
                    <w:rPr>
                      <w:rFonts w:hint="default" w:ascii="Times New Roman" w:hAnsi="Times New Roman" w:cs="Times New Roman"/>
                      <w:color w:val="auto"/>
                      <w:spacing w:val="-3"/>
                      <w:sz w:val="21"/>
                      <w:szCs w:val="21"/>
                    </w:rPr>
                    <w:t>＜</w:t>
                  </w:r>
                  <w:r>
                    <w:rPr>
                      <w:rFonts w:hint="default" w:ascii="Times New Roman" w:hAnsi="Times New Roman" w:eastAsia="Times New Roman" w:cs="Times New Roman"/>
                      <w:color w:val="auto"/>
                      <w:spacing w:val="-3"/>
                      <w:sz w:val="21"/>
                      <w:szCs w:val="21"/>
                    </w:rPr>
                    <w:t>100</w:t>
                  </w:r>
                </w:p>
              </w:tc>
            </w:tr>
            <w:tr w14:paraId="008CC14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2507" w:type="dxa"/>
                  <w:vMerge w:val="continue"/>
                  <w:tcBorders>
                    <w:tl2br w:val="nil"/>
                    <w:tr2bl w:val="nil"/>
                  </w:tcBorders>
                  <w:vAlign w:val="top"/>
                </w:tcPr>
                <w:p w14:paraId="6E219F37">
                  <w:pPr>
                    <w:rPr>
                      <w:rFonts w:hint="default" w:ascii="Times New Roman" w:hAnsi="Times New Roman" w:cs="Times New Roman"/>
                      <w:color w:val="auto"/>
                      <w:sz w:val="21"/>
                    </w:rPr>
                  </w:pPr>
                </w:p>
              </w:tc>
              <w:tc>
                <w:tcPr>
                  <w:tcW w:w="3032" w:type="dxa"/>
                  <w:vMerge w:val="continue"/>
                  <w:tcBorders>
                    <w:tl2br w:val="nil"/>
                    <w:tr2bl w:val="nil"/>
                  </w:tcBorders>
                  <w:vAlign w:val="top"/>
                </w:tcPr>
                <w:p w14:paraId="78F8F1A2">
                  <w:pPr>
                    <w:rPr>
                      <w:rFonts w:hint="default" w:ascii="Times New Roman" w:hAnsi="Times New Roman" w:cs="Times New Roman"/>
                      <w:color w:val="auto"/>
                      <w:sz w:val="21"/>
                    </w:rPr>
                  </w:pPr>
                </w:p>
              </w:tc>
              <w:tc>
                <w:tcPr>
                  <w:tcW w:w="3541" w:type="dxa"/>
                  <w:tcBorders>
                    <w:tl2br w:val="nil"/>
                    <w:tr2bl w:val="nil"/>
                  </w:tcBorders>
                  <w:vAlign w:val="top"/>
                </w:tcPr>
                <w:p w14:paraId="2EEE0653">
                  <w:pPr>
                    <w:spacing w:before="153" w:line="195" w:lineRule="auto"/>
                    <w:ind w:left="1484"/>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Q≥100</w:t>
                  </w:r>
                </w:p>
              </w:tc>
            </w:tr>
          </w:tbl>
          <w:p w14:paraId="632C706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根据HJ169-2018附录B识别出项</w:t>
            </w:r>
            <w:r>
              <w:rPr>
                <w:rFonts w:hint="eastAsia" w:ascii="Times New Roman" w:hAnsi="Times New Roman" w:cs="Times New Roman"/>
                <w:color w:val="auto"/>
                <w:lang w:val="en-US" w:eastAsia="zh-CN"/>
              </w:rPr>
              <w:t>目涉及的主要风险物质为</w:t>
            </w:r>
            <w:r>
              <w:rPr>
                <w:rFonts w:hint="eastAsia"/>
                <w:color w:val="auto"/>
                <w:lang w:val="en-US" w:eastAsia="zh-CN"/>
              </w:rPr>
              <w:t>废</w:t>
            </w:r>
            <w:r>
              <w:rPr>
                <w:rFonts w:hint="eastAsia" w:ascii="Times New Roman" w:hAnsi="Times New Roman" w:cs="Times New Roman"/>
                <w:color w:val="auto"/>
                <w:lang w:val="en-US" w:eastAsia="zh-CN"/>
              </w:rPr>
              <w:t>机油</w:t>
            </w:r>
            <w:r>
              <w:rPr>
                <w:rFonts w:hint="default" w:ascii="Times New Roman" w:hAnsi="Times New Roman" w:eastAsia="宋体" w:cs="Times New Roman"/>
                <w:color w:val="auto"/>
              </w:rPr>
              <w:t>，项目危险物质数量与临界量比值为Q=0</w:t>
            </w:r>
            <w:r>
              <w:rPr>
                <w:rFonts w:hint="eastAsia" w:ascii="Times New Roman" w:hAnsi="Times New Roman" w:cs="Times New Roman"/>
                <w:color w:val="auto"/>
                <w:lang w:val="en-US" w:eastAsia="zh-CN"/>
              </w:rPr>
              <w:t>.1/2500=0.00004</w:t>
            </w:r>
            <w:r>
              <w:rPr>
                <w:rFonts w:hint="default" w:ascii="Times New Roman" w:hAnsi="Times New Roman" w:eastAsia="宋体" w:cs="Times New Roman"/>
                <w:color w:val="auto"/>
              </w:rPr>
              <w:t>＜1。</w:t>
            </w:r>
          </w:p>
          <w:p w14:paraId="0C2D166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②评价等级划分</w:t>
            </w:r>
          </w:p>
          <w:p w14:paraId="72E446A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根据《建设项目环境风险评价技术导则》（HJ/T169-2018）可知，环境风险评价等级划分见下表：</w:t>
            </w:r>
          </w:p>
          <w:p w14:paraId="3840E1A2">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w:t>
            </w:r>
            <w:r>
              <w:rPr>
                <w:rFonts w:hint="eastAsia" w:ascii="Times New Roman" w:hAnsi="Times New Roman" w:cs="Times New Roman"/>
                <w:b/>
                <w:bCs/>
                <w:color w:val="auto"/>
                <w:lang w:val="en-US" w:eastAsia="zh-CN"/>
              </w:rPr>
              <w:t>16</w:t>
            </w:r>
            <w:r>
              <w:rPr>
                <w:rFonts w:hint="default" w:ascii="Times New Roman" w:hAnsi="Times New Roman" w:eastAsia="宋体" w:cs="Times New Roman"/>
                <w:b/>
                <w:bCs/>
                <w:color w:val="auto"/>
              </w:rPr>
              <w:t>评价工作等级</w:t>
            </w:r>
          </w:p>
          <w:tbl>
            <w:tblPr>
              <w:tblStyle w:val="21"/>
              <w:tblW w:w="9080" w:type="dxa"/>
              <w:tblInd w:w="1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0"/>
              <w:gridCol w:w="1946"/>
              <w:gridCol w:w="2226"/>
              <w:gridCol w:w="1180"/>
              <w:gridCol w:w="2018"/>
            </w:tblGrid>
            <w:tr w14:paraId="07442D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1710" w:type="dxa"/>
                  <w:vAlign w:val="top"/>
                </w:tcPr>
                <w:p w14:paraId="175A199A">
                  <w:pPr>
                    <w:pStyle w:val="22"/>
                    <w:spacing w:before="125" w:line="221" w:lineRule="auto"/>
                    <w:ind w:left="231"/>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环境风险潜势</w:t>
                  </w:r>
                </w:p>
              </w:tc>
              <w:tc>
                <w:tcPr>
                  <w:tcW w:w="1946" w:type="dxa"/>
                  <w:vAlign w:val="top"/>
                </w:tcPr>
                <w:p w14:paraId="64FBD71D">
                  <w:pPr>
                    <w:pStyle w:val="22"/>
                    <w:spacing w:before="140" w:line="200" w:lineRule="auto"/>
                    <w:ind w:left="609"/>
                    <w:rPr>
                      <w:rFonts w:hint="default" w:ascii="Times New Roman" w:hAnsi="Times New Roman" w:eastAsia="Times New Roman" w:cs="Times New Roman"/>
                      <w:color w:val="auto"/>
                      <w:sz w:val="13"/>
                      <w:szCs w:val="13"/>
                    </w:rPr>
                  </w:pPr>
                  <w:r>
                    <w:rPr>
                      <w:rFonts w:hint="default" w:ascii="Times New Roman" w:hAnsi="Times New Roman" w:eastAsia="Times New Roman" w:cs="Times New Roman"/>
                      <w:color w:val="auto"/>
                      <w:spacing w:val="-6"/>
                      <w:position w:val="-1"/>
                      <w:sz w:val="21"/>
                      <w:szCs w:val="21"/>
                    </w:rPr>
                    <w:t>Ⅳ</w:t>
                  </w:r>
                  <w:r>
                    <w:rPr>
                      <w:rFonts w:hint="default" w:ascii="Times New Roman" w:hAnsi="Times New Roman" w:cs="Times New Roman"/>
                      <w:color w:val="auto"/>
                      <w:spacing w:val="-6"/>
                      <w:position w:val="-1"/>
                      <w:sz w:val="21"/>
                      <w:szCs w:val="21"/>
                    </w:rPr>
                    <w:t>、</w:t>
                  </w:r>
                  <w:r>
                    <w:rPr>
                      <w:rFonts w:hint="default" w:ascii="Times New Roman" w:hAnsi="Times New Roman" w:eastAsia="Times New Roman" w:cs="Times New Roman"/>
                      <w:color w:val="auto"/>
                      <w:spacing w:val="-6"/>
                      <w:position w:val="-1"/>
                      <w:sz w:val="21"/>
                      <w:szCs w:val="21"/>
                    </w:rPr>
                    <w:t>Ⅳ</w:t>
                  </w:r>
                  <w:r>
                    <w:rPr>
                      <w:rFonts w:hint="default" w:ascii="Times New Roman" w:hAnsi="Times New Roman" w:eastAsia="Times New Roman" w:cs="Times New Roman"/>
                      <w:color w:val="auto"/>
                      <w:spacing w:val="-6"/>
                      <w:position w:val="5"/>
                      <w:sz w:val="13"/>
                      <w:szCs w:val="13"/>
                    </w:rPr>
                    <w:t>+</w:t>
                  </w:r>
                </w:p>
              </w:tc>
              <w:tc>
                <w:tcPr>
                  <w:tcW w:w="2226" w:type="dxa"/>
                  <w:vAlign w:val="top"/>
                </w:tcPr>
                <w:p w14:paraId="7E87D7A5">
                  <w:pPr>
                    <w:spacing w:before="162" w:line="184" w:lineRule="auto"/>
                    <w:ind w:left="1010"/>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III</w:t>
                  </w:r>
                </w:p>
              </w:tc>
              <w:tc>
                <w:tcPr>
                  <w:tcW w:w="1180" w:type="dxa"/>
                  <w:vAlign w:val="top"/>
                </w:tcPr>
                <w:p w14:paraId="77CFF4E7">
                  <w:pPr>
                    <w:spacing w:before="162" w:line="184" w:lineRule="auto"/>
                    <w:ind w:left="522"/>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II</w:t>
                  </w:r>
                </w:p>
              </w:tc>
              <w:tc>
                <w:tcPr>
                  <w:tcW w:w="2018" w:type="dxa"/>
                  <w:vAlign w:val="top"/>
                </w:tcPr>
                <w:p w14:paraId="1E926E51">
                  <w:pPr>
                    <w:spacing w:before="162" w:line="184" w:lineRule="auto"/>
                    <w:ind w:left="977"/>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I</w:t>
                  </w:r>
                </w:p>
              </w:tc>
            </w:tr>
            <w:tr w14:paraId="7A384E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0" w:hRule="atLeast"/>
              </w:trPr>
              <w:tc>
                <w:tcPr>
                  <w:tcW w:w="1710" w:type="dxa"/>
                  <w:vAlign w:val="top"/>
                </w:tcPr>
                <w:p w14:paraId="190F63D7">
                  <w:pPr>
                    <w:pStyle w:val="22"/>
                    <w:spacing w:before="123" w:line="219" w:lineRule="auto"/>
                    <w:ind w:left="230"/>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评价工作等级</w:t>
                  </w:r>
                </w:p>
              </w:tc>
              <w:tc>
                <w:tcPr>
                  <w:tcW w:w="1946" w:type="dxa"/>
                  <w:vAlign w:val="top"/>
                </w:tcPr>
                <w:p w14:paraId="2953A6C8">
                  <w:pPr>
                    <w:pStyle w:val="22"/>
                    <w:spacing w:before="202" w:line="163" w:lineRule="exact"/>
                    <w:ind w:left="874"/>
                    <w:rPr>
                      <w:rFonts w:hint="default" w:ascii="Times New Roman" w:hAnsi="Times New Roman" w:cs="Times New Roman"/>
                      <w:color w:val="auto"/>
                      <w:sz w:val="21"/>
                      <w:szCs w:val="21"/>
                    </w:rPr>
                  </w:pPr>
                  <w:r>
                    <w:rPr>
                      <w:rFonts w:hint="default" w:ascii="Times New Roman" w:hAnsi="Times New Roman" w:cs="Times New Roman"/>
                      <w:color w:val="auto"/>
                      <w:position w:val="-4"/>
                      <w:sz w:val="21"/>
                      <w:szCs w:val="21"/>
                    </w:rPr>
                    <w:t>一</w:t>
                  </w:r>
                </w:p>
              </w:tc>
              <w:tc>
                <w:tcPr>
                  <w:tcW w:w="2226" w:type="dxa"/>
                  <w:vAlign w:val="top"/>
                </w:tcPr>
                <w:p w14:paraId="60C3D637">
                  <w:pPr>
                    <w:pStyle w:val="22"/>
                    <w:spacing w:before="162" w:line="179" w:lineRule="auto"/>
                    <w:ind w:left="1014"/>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w:t>
                  </w:r>
                </w:p>
              </w:tc>
              <w:tc>
                <w:tcPr>
                  <w:tcW w:w="1180" w:type="dxa"/>
                  <w:vAlign w:val="top"/>
                </w:tcPr>
                <w:p w14:paraId="747D646B">
                  <w:pPr>
                    <w:pStyle w:val="22"/>
                    <w:spacing w:before="123" w:line="238" w:lineRule="auto"/>
                    <w:ind w:left="48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w:t>
                  </w:r>
                </w:p>
              </w:tc>
              <w:tc>
                <w:tcPr>
                  <w:tcW w:w="2018" w:type="dxa"/>
                  <w:vAlign w:val="top"/>
                </w:tcPr>
                <w:p w14:paraId="1E697ABB">
                  <w:pPr>
                    <w:pStyle w:val="22"/>
                    <w:spacing w:before="123" w:line="220" w:lineRule="auto"/>
                    <w:ind w:left="598"/>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简单分析</w:t>
                  </w:r>
                </w:p>
              </w:tc>
            </w:tr>
          </w:tbl>
          <w:p w14:paraId="54DE95A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项目Q＜1，项目风险潜势为I，评价工作等级为简单分析。</w:t>
            </w:r>
          </w:p>
          <w:p w14:paraId="0EB73729">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（2）环境敏感目标概况</w:t>
            </w:r>
          </w:p>
          <w:p w14:paraId="2F59B00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项目周围主要环境保护目标分布情况见表3-2。</w:t>
            </w:r>
          </w:p>
          <w:p w14:paraId="37E8C04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（3）风险分析</w:t>
            </w:r>
          </w:p>
          <w:p w14:paraId="03850A0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项目工艺较简单，生产过程危险性主要包括：</w:t>
            </w:r>
          </w:p>
          <w:p w14:paraId="6013CFC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①火灾：项目生产中操作不当、管理不善发生电线短路等现象，可引发火灾，导致人员伤害。</w:t>
            </w:r>
          </w:p>
          <w:p w14:paraId="396CE98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②机械伤害：生产装置可能会发生故障，因此存有机械伤害危险。生产过程中，设备安全操作规程不完善或设备操作人员没有严格按照操作规程进行操作，则有可能发生安全事故，对操作人员或车间其他人员造成人身伤害。针对上述风险，应采取以下劳动安全卫生措施：</w:t>
            </w:r>
          </w:p>
          <w:p w14:paraId="1C83914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①制定切实可行的安全操作规程和工艺规程，按照《中华人民共和国劳动法》的有关规定，制定切实可行的劳动保护措施。</w:t>
            </w:r>
          </w:p>
          <w:p w14:paraId="566B65A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②严格规范设备的操作过程，定期检修。</w:t>
            </w:r>
          </w:p>
          <w:p w14:paraId="4AA0FB8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③为了防范雷电和暴雨，要求厂区按规定设防雷接地装置，同时厂房内的地面高出室外地面。防止暴雨造成的积水进入。</w:t>
            </w:r>
          </w:p>
          <w:p w14:paraId="27880B0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④对有危险的设备加装防护装置，所有电气设备的安全距离、漏电保护设施设计均应符合有关标准、规范的要求。</w:t>
            </w:r>
          </w:p>
          <w:p w14:paraId="65F70B88">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⑤建立健全安全技术规程、工艺操作规程，并上墙明示。</w:t>
            </w:r>
          </w:p>
          <w:p w14:paraId="3825523A">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⑥厂门前设置入场须知和安全警示牌。</w:t>
            </w:r>
          </w:p>
          <w:p w14:paraId="2505559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⑦加强安全管理、安全教育工作，经常对全厂职工进行安全教育和职业卫生教育，增强职工的安全意识和自我保护意识。</w:t>
            </w:r>
          </w:p>
          <w:p w14:paraId="477730F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（4）应急预案</w:t>
            </w:r>
          </w:p>
          <w:p w14:paraId="4C1F6881">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为保证突发火灾事故的应急工作能及时有序地开展，项目负责人及主管部门必须制定火灾风险应急预案。通过预案的编制，建立反应灵敏，运转有效的应对突发火灾事故的指挥系统和处置体系，力求预案贴近实际，可操作性强，一旦突发火灾事故，各部门和各工作机构能按本预案协同联动，果断处置，将损失降至最低。</w:t>
            </w:r>
          </w:p>
          <w:p w14:paraId="193B3A40">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企业在生产过程中须加强防范措施并完善风险应急预案，切实防范火灾、爆炸等环境风险事故的发生，企业在严格按照风险防范措施处理情况下，项目的环境风险是可控的。</w:t>
            </w:r>
          </w:p>
          <w:p w14:paraId="395A291F">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环境风险事故应急预案见下表：</w:t>
            </w:r>
          </w:p>
          <w:p w14:paraId="2ACE0C80">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w:t>
            </w:r>
            <w:r>
              <w:rPr>
                <w:rFonts w:hint="eastAsia" w:ascii="Times New Roman" w:hAnsi="Times New Roman" w:cs="Times New Roman"/>
                <w:b/>
                <w:bCs/>
                <w:color w:val="auto"/>
                <w:lang w:val="en-US" w:eastAsia="zh-CN"/>
              </w:rPr>
              <w:t>17</w:t>
            </w:r>
            <w:r>
              <w:rPr>
                <w:rFonts w:hint="default" w:ascii="Times New Roman" w:hAnsi="Times New Roman" w:eastAsia="宋体" w:cs="Times New Roman"/>
                <w:b/>
                <w:bCs/>
                <w:color w:val="auto"/>
              </w:rPr>
              <w:t>应急预案一览表</w:t>
            </w:r>
          </w:p>
          <w:tbl>
            <w:tblPr>
              <w:tblStyle w:val="21"/>
              <w:tblW w:w="908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8"/>
              <w:gridCol w:w="2051"/>
              <w:gridCol w:w="6343"/>
            </w:tblGrid>
            <w:tr w14:paraId="0F0E73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41675B85">
                  <w:pPr>
                    <w:pStyle w:val="22"/>
                    <w:spacing w:before="125" w:line="222" w:lineRule="auto"/>
                    <w:ind w:left="136"/>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pacing w:val="-2"/>
                      <w:sz w:val="21"/>
                      <w:szCs w:val="21"/>
                    </w:rPr>
                    <w:t>序号</w:t>
                  </w:r>
                </w:p>
              </w:tc>
              <w:tc>
                <w:tcPr>
                  <w:tcW w:w="2051" w:type="dxa"/>
                  <w:vAlign w:val="top"/>
                </w:tcPr>
                <w:p w14:paraId="057F883B">
                  <w:pPr>
                    <w:pStyle w:val="22"/>
                    <w:spacing w:before="125" w:line="221" w:lineRule="auto"/>
                    <w:ind w:left="823"/>
                    <w:rPr>
                      <w:rFonts w:hint="default" w:ascii="Times New Roman" w:hAnsi="Times New Roman" w:cs="Times New Roman"/>
                      <w:b/>
                      <w:bCs/>
                      <w:color w:val="auto"/>
                      <w:sz w:val="21"/>
                      <w:szCs w:val="21"/>
                    </w:rPr>
                  </w:pPr>
                  <w:r>
                    <w:rPr>
                      <w:rFonts w:hint="default" w:ascii="Times New Roman" w:hAnsi="Times New Roman" w:cs="Times New Roman"/>
                      <w:b/>
                      <w:bCs/>
                      <w:color w:val="auto"/>
                      <w:spacing w:val="-3"/>
                      <w:sz w:val="21"/>
                      <w:szCs w:val="21"/>
                    </w:rPr>
                    <w:t>项目</w:t>
                  </w:r>
                </w:p>
              </w:tc>
              <w:tc>
                <w:tcPr>
                  <w:tcW w:w="6343" w:type="dxa"/>
                  <w:vAlign w:val="top"/>
                </w:tcPr>
                <w:p w14:paraId="1F445882">
                  <w:pPr>
                    <w:pStyle w:val="22"/>
                    <w:spacing w:before="125" w:line="221" w:lineRule="auto"/>
                    <w:ind w:left="2673"/>
                    <w:rPr>
                      <w:rFonts w:hint="default" w:ascii="Times New Roman" w:hAnsi="Times New Roman" w:cs="Times New Roman"/>
                      <w:b/>
                      <w:bCs/>
                      <w:color w:val="auto"/>
                      <w:sz w:val="21"/>
                      <w:szCs w:val="21"/>
                    </w:rPr>
                  </w:pPr>
                  <w:r>
                    <w:rPr>
                      <w:rFonts w:hint="default" w:ascii="Times New Roman" w:hAnsi="Times New Roman" w:cs="Times New Roman"/>
                      <w:b/>
                      <w:bCs/>
                      <w:color w:val="auto"/>
                      <w:spacing w:val="-7"/>
                      <w:sz w:val="21"/>
                      <w:szCs w:val="21"/>
                    </w:rPr>
                    <w:t>内容及要求</w:t>
                  </w:r>
                </w:p>
              </w:tc>
            </w:tr>
            <w:tr w14:paraId="7A1BE6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79AFF93B">
                  <w:pPr>
                    <w:pStyle w:val="22"/>
                    <w:spacing w:before="167" w:line="220" w:lineRule="auto"/>
                    <w:ind w:left="111"/>
                    <w:jc w:val="center"/>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1</w:t>
                  </w:r>
                </w:p>
              </w:tc>
              <w:tc>
                <w:tcPr>
                  <w:tcW w:w="2051" w:type="dxa"/>
                  <w:vAlign w:val="top"/>
                </w:tcPr>
                <w:p w14:paraId="5263CC2B">
                  <w:pPr>
                    <w:pStyle w:val="22"/>
                    <w:spacing w:before="167" w:line="220" w:lineRule="auto"/>
                    <w:ind w:left="111"/>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应急组织机构、人员</w:t>
                  </w:r>
                </w:p>
              </w:tc>
              <w:tc>
                <w:tcPr>
                  <w:tcW w:w="6343" w:type="dxa"/>
                  <w:vAlign w:val="top"/>
                </w:tcPr>
                <w:p w14:paraId="65C6842D">
                  <w:pPr>
                    <w:pStyle w:val="22"/>
                    <w:spacing w:before="33" w:line="223" w:lineRule="auto"/>
                    <w:ind w:left="2335" w:right="121" w:hanging="2204"/>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设立事故应急机构，人员由企业主要领导、安全负责人、环</w:t>
                  </w:r>
                  <w:r>
                    <w:rPr>
                      <w:rFonts w:hint="default" w:ascii="Times New Roman" w:hAnsi="Times New Roman" w:cs="Times New Roman"/>
                      <w:color w:val="auto"/>
                      <w:spacing w:val="-4"/>
                      <w:sz w:val="21"/>
                      <w:szCs w:val="21"/>
                    </w:rPr>
                    <w:t>保负责</w:t>
                  </w:r>
                  <w:r>
                    <w:rPr>
                      <w:rFonts w:hint="default" w:ascii="Times New Roman" w:hAnsi="Times New Roman" w:cs="Times New Roman"/>
                      <w:color w:val="auto"/>
                      <w:spacing w:val="-1"/>
                      <w:sz w:val="21"/>
                      <w:szCs w:val="21"/>
                    </w:rPr>
                    <w:t>人等主要人员组成</w:t>
                  </w:r>
                </w:p>
              </w:tc>
            </w:tr>
            <w:tr w14:paraId="03E29F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7E79EDD5">
                  <w:pPr>
                    <w:pStyle w:val="22"/>
                    <w:spacing w:before="167" w:line="220" w:lineRule="auto"/>
                    <w:ind w:left="111"/>
                    <w:jc w:val="center"/>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2</w:t>
                  </w:r>
                </w:p>
              </w:tc>
              <w:tc>
                <w:tcPr>
                  <w:tcW w:w="2051" w:type="dxa"/>
                  <w:vAlign w:val="top"/>
                </w:tcPr>
                <w:p w14:paraId="43FACD9E">
                  <w:pPr>
                    <w:pStyle w:val="22"/>
                    <w:spacing w:before="167" w:line="221" w:lineRule="auto"/>
                    <w:ind w:left="608"/>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应急救援</w:t>
                  </w:r>
                </w:p>
              </w:tc>
              <w:tc>
                <w:tcPr>
                  <w:tcW w:w="6343" w:type="dxa"/>
                  <w:vAlign w:val="top"/>
                </w:tcPr>
                <w:p w14:paraId="61E3810E">
                  <w:pPr>
                    <w:pStyle w:val="22"/>
                    <w:spacing w:before="31" w:line="223" w:lineRule="auto"/>
                    <w:ind w:left="2230" w:right="121" w:hanging="209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企业应配备必要的应急设施及设备和器材；事故易发</w:t>
                  </w:r>
                  <w:r>
                    <w:rPr>
                      <w:rFonts w:hint="default" w:ascii="Times New Roman" w:hAnsi="Times New Roman" w:cs="Times New Roman"/>
                      <w:color w:val="auto"/>
                      <w:spacing w:val="-1"/>
                      <w:sz w:val="21"/>
                      <w:szCs w:val="21"/>
                    </w:rPr>
                    <w:t>的工作岗位配备必需的防护用品等</w:t>
                  </w:r>
                </w:p>
              </w:tc>
            </w:tr>
            <w:tr w14:paraId="058006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2968BA29">
                  <w:pPr>
                    <w:pStyle w:val="22"/>
                    <w:spacing w:before="167" w:line="220" w:lineRule="auto"/>
                    <w:ind w:left="111"/>
                    <w:jc w:val="center"/>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3</w:t>
                  </w:r>
                </w:p>
              </w:tc>
              <w:tc>
                <w:tcPr>
                  <w:tcW w:w="2051" w:type="dxa"/>
                  <w:vAlign w:val="top"/>
                </w:tcPr>
                <w:p w14:paraId="54F547E0">
                  <w:pPr>
                    <w:pStyle w:val="22"/>
                    <w:spacing w:before="122" w:line="221" w:lineRule="auto"/>
                    <w:ind w:left="110"/>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报警、通讯联络方式</w:t>
                  </w:r>
                </w:p>
              </w:tc>
              <w:tc>
                <w:tcPr>
                  <w:tcW w:w="6343" w:type="dxa"/>
                  <w:vAlign w:val="top"/>
                </w:tcPr>
                <w:p w14:paraId="238AAFA5">
                  <w:pPr>
                    <w:pStyle w:val="22"/>
                    <w:spacing w:before="122" w:line="221" w:lineRule="auto"/>
                    <w:ind w:left="1181"/>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建立专用的报警和通讯线路，并保持其畅通</w:t>
                  </w:r>
                </w:p>
              </w:tc>
            </w:tr>
            <w:tr w14:paraId="0A895E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446DBF40">
                  <w:pPr>
                    <w:pStyle w:val="22"/>
                    <w:spacing w:before="167" w:line="220" w:lineRule="auto"/>
                    <w:ind w:left="111"/>
                    <w:jc w:val="center"/>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4</w:t>
                  </w:r>
                </w:p>
              </w:tc>
              <w:tc>
                <w:tcPr>
                  <w:tcW w:w="2051" w:type="dxa"/>
                  <w:vAlign w:val="top"/>
                </w:tcPr>
                <w:p w14:paraId="6781EABF">
                  <w:pPr>
                    <w:pStyle w:val="22"/>
                    <w:spacing w:before="169" w:line="229" w:lineRule="auto"/>
                    <w:ind w:left="113" w:right="103" w:firstLine="75"/>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应急环境监测、抢</w:t>
                  </w:r>
                  <w:r>
                    <w:rPr>
                      <w:rFonts w:hint="default" w:ascii="Times New Roman" w:hAnsi="Times New Roman" w:cs="Times New Roman"/>
                      <w:color w:val="auto"/>
                      <w:spacing w:val="-7"/>
                      <w:sz w:val="21"/>
                      <w:szCs w:val="21"/>
                    </w:rPr>
                    <w:t>救、救援及控制措施</w:t>
                  </w:r>
                </w:p>
              </w:tc>
              <w:tc>
                <w:tcPr>
                  <w:tcW w:w="6343" w:type="dxa"/>
                  <w:vAlign w:val="top"/>
                </w:tcPr>
                <w:p w14:paraId="35EFEA57">
                  <w:pPr>
                    <w:pStyle w:val="22"/>
                    <w:spacing w:before="32" w:line="221" w:lineRule="auto"/>
                    <w:ind w:left="131"/>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发生事故时，要保证现场的事故处理设施和全厂的应</w:t>
                  </w:r>
                  <w:r>
                    <w:rPr>
                      <w:rFonts w:hint="default" w:ascii="Times New Roman" w:hAnsi="Times New Roman" w:cs="Times New Roman"/>
                      <w:color w:val="auto"/>
                      <w:spacing w:val="-1"/>
                      <w:sz w:val="21"/>
                      <w:szCs w:val="21"/>
                    </w:rPr>
                    <w:t>急处理系统能</w:t>
                  </w:r>
                </w:p>
                <w:p w14:paraId="5A0F9F25">
                  <w:pPr>
                    <w:pStyle w:val="22"/>
                    <w:spacing w:before="21" w:line="221" w:lineRule="auto"/>
                    <w:ind w:left="127"/>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够紧急启动，并对事故产生的污染物进行有效的控制，同时启</w:t>
                  </w:r>
                  <w:r>
                    <w:rPr>
                      <w:rFonts w:hint="default" w:ascii="Times New Roman" w:hAnsi="Times New Roman" w:cs="Times New Roman"/>
                      <w:color w:val="auto"/>
                      <w:spacing w:val="-1"/>
                      <w:sz w:val="21"/>
                      <w:szCs w:val="21"/>
                    </w:rPr>
                    <w:t>动当</w:t>
                  </w:r>
                </w:p>
                <w:p w14:paraId="776450D8">
                  <w:pPr>
                    <w:pStyle w:val="22"/>
                    <w:spacing w:before="20" w:line="207" w:lineRule="auto"/>
                    <w:ind w:left="2125"/>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地的环境应急监测系统</w:t>
                  </w:r>
                </w:p>
              </w:tc>
            </w:tr>
            <w:tr w14:paraId="77843C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4AFA8A76">
                  <w:pPr>
                    <w:pStyle w:val="22"/>
                    <w:spacing w:before="167" w:line="220" w:lineRule="auto"/>
                    <w:ind w:left="111"/>
                    <w:jc w:val="center"/>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5</w:t>
                  </w:r>
                </w:p>
              </w:tc>
              <w:tc>
                <w:tcPr>
                  <w:tcW w:w="2051" w:type="dxa"/>
                  <w:vAlign w:val="top"/>
                </w:tcPr>
                <w:p w14:paraId="76BDDE30">
                  <w:pPr>
                    <w:pStyle w:val="22"/>
                    <w:spacing w:before="33" w:line="221" w:lineRule="auto"/>
                    <w:ind w:left="188"/>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应急监测、防护措</w:t>
                  </w:r>
                  <w:r>
                    <w:rPr>
                      <w:rFonts w:hint="default" w:ascii="Times New Roman" w:hAnsi="Times New Roman" w:cs="Times New Roman"/>
                      <w:color w:val="auto"/>
                      <w:spacing w:val="-7"/>
                      <w:sz w:val="21"/>
                      <w:szCs w:val="21"/>
                    </w:rPr>
                    <w:t>施、清除泄漏措施和</w:t>
                  </w:r>
                </w:p>
                <w:p w14:paraId="2948E1C1">
                  <w:pPr>
                    <w:pStyle w:val="22"/>
                    <w:spacing w:before="22" w:line="204" w:lineRule="auto"/>
                    <w:ind w:left="819"/>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器材</w:t>
                  </w:r>
                </w:p>
              </w:tc>
              <w:tc>
                <w:tcPr>
                  <w:tcW w:w="6343" w:type="dxa"/>
                  <w:vAlign w:val="top"/>
                </w:tcPr>
                <w:p w14:paraId="46F3A1CE">
                  <w:pPr>
                    <w:pStyle w:val="22"/>
                    <w:spacing w:before="169" w:line="230" w:lineRule="auto"/>
                    <w:ind w:left="233" w:right="121" w:hanging="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设立必要地控制和清除污染的相应措施。事故发生时</w:t>
                  </w:r>
                  <w:r>
                    <w:rPr>
                      <w:rFonts w:hint="default" w:ascii="Times New Roman" w:hAnsi="Times New Roman" w:cs="Times New Roman"/>
                      <w:color w:val="auto"/>
                      <w:spacing w:val="-1"/>
                      <w:sz w:val="21"/>
                      <w:szCs w:val="21"/>
                    </w:rPr>
                    <w:t>，要及时发现</w:t>
                  </w:r>
                  <w:r>
                    <w:rPr>
                      <w:rFonts w:hint="default" w:ascii="Times New Roman" w:hAnsi="Times New Roman" w:cs="Times New Roman"/>
                      <w:color w:val="auto"/>
                      <w:sz w:val="21"/>
                      <w:szCs w:val="21"/>
                    </w:rPr>
                    <w:t>事故发生地点和环节，并利用已有的防护措施减少污染物</w:t>
                  </w:r>
                  <w:r>
                    <w:rPr>
                      <w:rFonts w:hint="default" w:ascii="Times New Roman" w:hAnsi="Times New Roman" w:cs="Times New Roman"/>
                      <w:color w:val="auto"/>
                      <w:spacing w:val="-1"/>
                      <w:sz w:val="21"/>
                      <w:szCs w:val="21"/>
                    </w:rPr>
                    <w:t>的排放</w:t>
                  </w:r>
                </w:p>
              </w:tc>
            </w:tr>
            <w:tr w14:paraId="684A84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71BC9312">
                  <w:pPr>
                    <w:pStyle w:val="22"/>
                    <w:spacing w:before="167" w:line="220" w:lineRule="auto"/>
                    <w:ind w:left="111"/>
                    <w:jc w:val="center"/>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6</w:t>
                  </w:r>
                </w:p>
              </w:tc>
              <w:tc>
                <w:tcPr>
                  <w:tcW w:w="2051" w:type="dxa"/>
                  <w:vAlign w:val="top"/>
                </w:tcPr>
                <w:p w14:paraId="17ABDA33">
                  <w:pPr>
                    <w:pStyle w:val="22"/>
                    <w:spacing w:before="171" w:line="221" w:lineRule="auto"/>
                    <w:ind w:left="399"/>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应急培训计划</w:t>
                  </w:r>
                </w:p>
              </w:tc>
              <w:tc>
                <w:tcPr>
                  <w:tcW w:w="6343" w:type="dxa"/>
                  <w:vAlign w:val="top"/>
                </w:tcPr>
                <w:p w14:paraId="49CD0B3F">
                  <w:pPr>
                    <w:pStyle w:val="22"/>
                    <w:spacing w:before="33" w:line="222" w:lineRule="auto"/>
                    <w:ind w:left="2766" w:right="121" w:hanging="2635"/>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企业要注意</w:t>
                  </w:r>
                  <w:r>
                    <w:rPr>
                      <w:rFonts w:hint="eastAsia" w:ascii="Times New Roman" w:hAnsi="Times New Roman" w:cs="Times New Roman"/>
                      <w:color w:val="auto"/>
                      <w:sz w:val="21"/>
                      <w:szCs w:val="21"/>
                      <w:lang w:val="en-US" w:eastAsia="zh-CN"/>
                    </w:rPr>
                    <w:t>日常</w:t>
                  </w:r>
                  <w:r>
                    <w:rPr>
                      <w:rFonts w:hint="default" w:ascii="Times New Roman" w:hAnsi="Times New Roman" w:cs="Times New Roman"/>
                      <w:color w:val="auto"/>
                      <w:sz w:val="21"/>
                      <w:szCs w:val="21"/>
                    </w:rPr>
                    <w:t>工作中对事故应急处理的培训，以提</w:t>
                  </w:r>
                  <w:r>
                    <w:rPr>
                      <w:rFonts w:hint="default" w:ascii="Times New Roman" w:hAnsi="Times New Roman" w:cs="Times New Roman"/>
                      <w:color w:val="auto"/>
                      <w:spacing w:val="-1"/>
                      <w:sz w:val="21"/>
                      <w:szCs w:val="21"/>
                    </w:rPr>
                    <w:t>高职工的安全</w:t>
                  </w:r>
                  <w:r>
                    <w:rPr>
                      <w:rFonts w:hint="default" w:ascii="Times New Roman" w:hAnsi="Times New Roman" w:cs="Times New Roman"/>
                      <w:color w:val="auto"/>
                      <w:spacing w:val="-5"/>
                      <w:sz w:val="21"/>
                      <w:szCs w:val="21"/>
                    </w:rPr>
                    <w:t>防范意识</w:t>
                  </w:r>
                </w:p>
              </w:tc>
            </w:tr>
            <w:tr w14:paraId="79AAC3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88" w:type="dxa"/>
                  <w:vAlign w:val="center"/>
                </w:tcPr>
                <w:p w14:paraId="4F3F2BA4">
                  <w:pPr>
                    <w:pStyle w:val="22"/>
                    <w:spacing w:before="167" w:line="220" w:lineRule="auto"/>
                    <w:ind w:left="111"/>
                    <w:jc w:val="center"/>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7</w:t>
                  </w:r>
                </w:p>
              </w:tc>
              <w:tc>
                <w:tcPr>
                  <w:tcW w:w="2051" w:type="dxa"/>
                  <w:vAlign w:val="top"/>
                </w:tcPr>
                <w:p w14:paraId="0689466A">
                  <w:pPr>
                    <w:pStyle w:val="22"/>
                    <w:spacing w:before="125" w:line="221" w:lineRule="auto"/>
                    <w:ind w:left="300"/>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公众教育和信息</w:t>
                  </w:r>
                </w:p>
              </w:tc>
              <w:tc>
                <w:tcPr>
                  <w:tcW w:w="6343" w:type="dxa"/>
                  <w:vAlign w:val="top"/>
                </w:tcPr>
                <w:p w14:paraId="18B1A8D0">
                  <w:pPr>
                    <w:pStyle w:val="22"/>
                    <w:spacing w:before="125" w:line="220" w:lineRule="auto"/>
                    <w:ind w:left="967"/>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通过各种方式，对周围居民等进行事故防范</w:t>
                  </w:r>
                  <w:r>
                    <w:rPr>
                      <w:rFonts w:hint="default" w:ascii="Times New Roman" w:hAnsi="Times New Roman" w:cs="Times New Roman"/>
                      <w:color w:val="auto"/>
                      <w:spacing w:val="-5"/>
                      <w:sz w:val="21"/>
                      <w:szCs w:val="21"/>
                    </w:rPr>
                    <w:t>宣传</w:t>
                  </w:r>
                </w:p>
              </w:tc>
            </w:tr>
          </w:tbl>
          <w:p w14:paraId="6FFC648E">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w:t>
            </w:r>
            <w:r>
              <w:rPr>
                <w:rFonts w:hint="eastAsia" w:ascii="Times New Roman" w:hAnsi="Times New Roman" w:cs="Times New Roman"/>
                <w:b/>
                <w:bCs/>
                <w:color w:val="auto"/>
                <w:lang w:val="en-US" w:eastAsia="zh-CN"/>
              </w:rPr>
              <w:t>17</w:t>
            </w:r>
            <w:r>
              <w:rPr>
                <w:rFonts w:hint="default" w:ascii="Times New Roman" w:hAnsi="Times New Roman" w:eastAsia="宋体" w:cs="Times New Roman"/>
                <w:b/>
                <w:bCs/>
                <w:color w:val="auto"/>
              </w:rPr>
              <w:t>建设项目环境风险简单分析内容表</w:t>
            </w:r>
          </w:p>
          <w:tbl>
            <w:tblPr>
              <w:tblStyle w:val="21"/>
              <w:tblW w:w="9080"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2253"/>
              <w:gridCol w:w="1103"/>
              <w:gridCol w:w="1051"/>
              <w:gridCol w:w="1348"/>
              <w:gridCol w:w="1170"/>
              <w:gridCol w:w="2155"/>
            </w:tblGrid>
            <w:tr w14:paraId="622E066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53" w:type="dxa"/>
                  <w:tcBorders>
                    <w:tl2br w:val="nil"/>
                    <w:tr2bl w:val="nil"/>
                  </w:tcBorders>
                  <w:vAlign w:val="center"/>
                </w:tcPr>
                <w:p w14:paraId="606D274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建设项目名称</w:t>
                  </w:r>
                </w:p>
              </w:tc>
              <w:tc>
                <w:tcPr>
                  <w:tcW w:w="6827" w:type="dxa"/>
                  <w:gridSpan w:val="5"/>
                  <w:tcBorders>
                    <w:tl2br w:val="nil"/>
                    <w:tr2bl w:val="nil"/>
                  </w:tcBorders>
                  <w:vAlign w:val="center"/>
                </w:tcPr>
                <w:p w14:paraId="791669A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lang w:eastAsia="zh-CN"/>
                    </w:rPr>
                  </w:pPr>
                  <w:r>
                    <w:rPr>
                      <w:rFonts w:hint="eastAsia" w:ascii="Times New Roman" w:hAnsi="Times New Roman" w:cs="Times New Roman"/>
                      <w:color w:val="auto"/>
                      <w:spacing w:val="-1"/>
                      <w:sz w:val="21"/>
                      <w:szCs w:val="21"/>
                      <w:lang w:eastAsia="zh-CN"/>
                    </w:rPr>
                    <w:t>年产4000吨机械阀门及泵类配件技改项目</w:t>
                  </w:r>
                </w:p>
              </w:tc>
            </w:tr>
            <w:tr w14:paraId="3C87AAF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53" w:type="dxa"/>
                  <w:tcBorders>
                    <w:tl2br w:val="nil"/>
                    <w:tr2bl w:val="nil"/>
                  </w:tcBorders>
                  <w:vAlign w:val="center"/>
                </w:tcPr>
                <w:p w14:paraId="79E8321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建设地点</w:t>
                  </w:r>
                </w:p>
              </w:tc>
              <w:tc>
                <w:tcPr>
                  <w:tcW w:w="1103" w:type="dxa"/>
                  <w:tcBorders>
                    <w:tl2br w:val="nil"/>
                    <w:tr2bl w:val="nil"/>
                  </w:tcBorders>
                  <w:vAlign w:val="center"/>
                </w:tcPr>
                <w:p w14:paraId="0E4A4D1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山东省</w:t>
                  </w:r>
                </w:p>
              </w:tc>
              <w:tc>
                <w:tcPr>
                  <w:tcW w:w="1051" w:type="dxa"/>
                  <w:tcBorders>
                    <w:tl2br w:val="nil"/>
                    <w:tr2bl w:val="nil"/>
                  </w:tcBorders>
                  <w:vAlign w:val="center"/>
                </w:tcPr>
                <w:p w14:paraId="4B57029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淄博市</w:t>
                  </w:r>
                </w:p>
              </w:tc>
              <w:tc>
                <w:tcPr>
                  <w:tcW w:w="1348" w:type="dxa"/>
                  <w:tcBorders>
                    <w:tl2br w:val="nil"/>
                    <w:tr2bl w:val="nil"/>
                  </w:tcBorders>
                  <w:vAlign w:val="center"/>
                </w:tcPr>
                <w:p w14:paraId="71D7257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1"/>
                      <w:sz w:val="21"/>
                      <w:szCs w:val="21"/>
                      <w:lang w:eastAsia="zh-CN"/>
                    </w:rPr>
                  </w:pPr>
                  <w:r>
                    <w:rPr>
                      <w:rFonts w:hint="eastAsia" w:ascii="Times New Roman" w:hAnsi="Times New Roman" w:cs="Times New Roman"/>
                      <w:color w:val="auto"/>
                      <w:spacing w:val="-1"/>
                      <w:sz w:val="21"/>
                      <w:szCs w:val="21"/>
                      <w:lang w:eastAsia="zh-CN"/>
                    </w:rPr>
                    <w:t>淄川区</w:t>
                  </w:r>
                </w:p>
              </w:tc>
              <w:tc>
                <w:tcPr>
                  <w:tcW w:w="3325" w:type="dxa"/>
                  <w:gridSpan w:val="2"/>
                  <w:tcBorders>
                    <w:tl2br w:val="nil"/>
                    <w:tr2bl w:val="nil"/>
                  </w:tcBorders>
                  <w:vAlign w:val="center"/>
                </w:tcPr>
                <w:p w14:paraId="65BBF78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eastAsia" w:ascii="Times New Roman" w:hAnsi="Times New Roman" w:cs="Times New Roman"/>
                      <w:color w:val="auto"/>
                      <w:spacing w:val="-1"/>
                      <w:sz w:val="21"/>
                      <w:szCs w:val="21"/>
                      <w:lang w:eastAsia="zh-CN"/>
                    </w:rPr>
                    <w:t>山东省淄博市淄川区龙泉镇大土屋村西</w:t>
                  </w:r>
                </w:p>
              </w:tc>
            </w:tr>
            <w:tr w14:paraId="2D82A3D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53" w:type="dxa"/>
                  <w:tcBorders>
                    <w:tl2br w:val="nil"/>
                    <w:tr2bl w:val="nil"/>
                  </w:tcBorders>
                  <w:vAlign w:val="center"/>
                </w:tcPr>
                <w:p w14:paraId="1B9FEA8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地理坐标</w:t>
                  </w:r>
                </w:p>
              </w:tc>
              <w:tc>
                <w:tcPr>
                  <w:tcW w:w="1103" w:type="dxa"/>
                  <w:tcBorders>
                    <w:tl2br w:val="nil"/>
                    <w:tr2bl w:val="nil"/>
                  </w:tcBorders>
                  <w:vAlign w:val="center"/>
                </w:tcPr>
                <w:p w14:paraId="445488E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经度</w:t>
                  </w:r>
                </w:p>
              </w:tc>
              <w:tc>
                <w:tcPr>
                  <w:tcW w:w="2399" w:type="dxa"/>
                  <w:gridSpan w:val="2"/>
                  <w:tcBorders>
                    <w:tl2br w:val="nil"/>
                    <w:tr2bl w:val="nil"/>
                  </w:tcBorders>
                  <w:vAlign w:val="center"/>
                </w:tcPr>
                <w:p w14:paraId="44C30AC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eastAsia="zh-CN"/>
                    </w:rPr>
                    <w:t>117.98522</w:t>
                  </w:r>
                  <w:r>
                    <w:rPr>
                      <w:rFonts w:hint="default" w:ascii="Times New Roman" w:hAnsi="Times New Roman" w:cs="Times New Roman"/>
                      <w:color w:val="auto"/>
                      <w:spacing w:val="-1"/>
                      <w:sz w:val="21"/>
                      <w:szCs w:val="21"/>
                      <w:lang w:val="en-US" w:eastAsia="zh-CN"/>
                    </w:rPr>
                    <w:t>°E</w:t>
                  </w:r>
                </w:p>
              </w:tc>
              <w:tc>
                <w:tcPr>
                  <w:tcW w:w="1170" w:type="dxa"/>
                  <w:tcBorders>
                    <w:tl2br w:val="nil"/>
                    <w:tr2bl w:val="nil"/>
                  </w:tcBorders>
                  <w:vAlign w:val="center"/>
                </w:tcPr>
                <w:p w14:paraId="2FE297C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纬度</w:t>
                  </w:r>
                </w:p>
              </w:tc>
              <w:tc>
                <w:tcPr>
                  <w:tcW w:w="2155" w:type="dxa"/>
                  <w:tcBorders>
                    <w:tl2br w:val="nil"/>
                    <w:tr2bl w:val="nil"/>
                  </w:tcBorders>
                  <w:vAlign w:val="center"/>
                </w:tcPr>
                <w:p w14:paraId="29AE1B9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eastAsia="zh-CN"/>
                    </w:rPr>
                    <w:t>36.59774</w:t>
                  </w:r>
                  <w:r>
                    <w:rPr>
                      <w:rFonts w:hint="default" w:ascii="Times New Roman" w:hAnsi="Times New Roman" w:cs="Times New Roman"/>
                      <w:color w:val="auto"/>
                      <w:spacing w:val="-1"/>
                      <w:sz w:val="21"/>
                      <w:szCs w:val="21"/>
                      <w:lang w:val="en-US" w:eastAsia="zh-CN"/>
                    </w:rPr>
                    <w:t>°N</w:t>
                  </w:r>
                </w:p>
              </w:tc>
            </w:tr>
            <w:tr w14:paraId="20F1A45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53" w:type="dxa"/>
                  <w:tcBorders>
                    <w:tl2br w:val="nil"/>
                    <w:tr2bl w:val="nil"/>
                  </w:tcBorders>
                  <w:vAlign w:val="center"/>
                </w:tcPr>
                <w:p w14:paraId="3E8064A9">
                  <w:pPr>
                    <w:pStyle w:val="22"/>
                    <w:spacing w:before="119" w:line="220" w:lineRule="auto"/>
                    <w:ind w:left="184"/>
                    <w:jc w:val="center"/>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主要危险物质及分布</w:t>
                  </w:r>
                </w:p>
              </w:tc>
              <w:tc>
                <w:tcPr>
                  <w:tcW w:w="6827" w:type="dxa"/>
                  <w:gridSpan w:val="5"/>
                  <w:tcBorders>
                    <w:tl2br w:val="nil"/>
                    <w:tr2bl w:val="nil"/>
                  </w:tcBorders>
                  <w:vAlign w:val="center"/>
                </w:tcPr>
                <w:p w14:paraId="662B488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废机油，危废暂存间</w:t>
                  </w:r>
                </w:p>
              </w:tc>
            </w:tr>
            <w:tr w14:paraId="743FFBD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53" w:type="dxa"/>
                  <w:tcBorders>
                    <w:tl2br w:val="nil"/>
                    <w:tr2bl w:val="nil"/>
                  </w:tcBorders>
                  <w:vAlign w:val="center"/>
                </w:tcPr>
                <w:p w14:paraId="5DAC13DC">
                  <w:pPr>
                    <w:pStyle w:val="22"/>
                    <w:spacing w:before="69" w:line="221" w:lineRule="auto"/>
                    <w:ind w:left="183"/>
                    <w:jc w:val="center"/>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环境影响途径及危害</w:t>
                  </w:r>
                  <w:r>
                    <w:rPr>
                      <w:rFonts w:hint="default" w:ascii="Times New Roman" w:hAnsi="Times New Roman" w:cs="Times New Roman"/>
                      <w:color w:val="auto"/>
                      <w:spacing w:val="-3"/>
                      <w:sz w:val="21"/>
                      <w:szCs w:val="21"/>
                    </w:rPr>
                    <w:t>后果（大气、地表水、地下水等）</w:t>
                  </w:r>
                </w:p>
              </w:tc>
              <w:tc>
                <w:tcPr>
                  <w:tcW w:w="6827" w:type="dxa"/>
                  <w:gridSpan w:val="5"/>
                  <w:tcBorders>
                    <w:tl2br w:val="nil"/>
                    <w:tr2bl w:val="nil"/>
                  </w:tcBorders>
                  <w:vAlign w:val="center"/>
                </w:tcPr>
                <w:p w14:paraId="266A8499">
                  <w:pPr>
                    <w:pStyle w:val="22"/>
                    <w:spacing w:before="29" w:line="233" w:lineRule="auto"/>
                    <w:ind w:left="158" w:right="152" w:hanging="1"/>
                    <w:jc w:val="center"/>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根据对环境风险物质的筛选、工艺流程风险的</w:t>
                  </w:r>
                  <w:r>
                    <w:rPr>
                      <w:rFonts w:hint="default" w:ascii="Times New Roman" w:hAnsi="Times New Roman" w:cs="Times New Roman"/>
                      <w:color w:val="auto"/>
                      <w:spacing w:val="-4"/>
                      <w:sz w:val="21"/>
                      <w:szCs w:val="21"/>
                    </w:rPr>
                    <w:t>调查分析，确定项目风险</w:t>
                  </w:r>
                  <w:r>
                    <w:rPr>
                      <w:rFonts w:hint="default" w:ascii="Times New Roman" w:hAnsi="Times New Roman" w:cs="Times New Roman"/>
                      <w:color w:val="auto"/>
                      <w:sz w:val="21"/>
                      <w:szCs w:val="21"/>
                    </w:rPr>
                    <w:t>主要为设备故障或操作不当产生触电和机械伤害、生产设备运</w:t>
                  </w:r>
                  <w:r>
                    <w:rPr>
                      <w:rFonts w:hint="default" w:ascii="Times New Roman" w:hAnsi="Times New Roman" w:cs="Times New Roman"/>
                      <w:color w:val="auto"/>
                      <w:spacing w:val="-1"/>
                      <w:sz w:val="21"/>
                      <w:szCs w:val="21"/>
                    </w:rPr>
                    <w:t>转不顺产</w:t>
                  </w:r>
                  <w:r>
                    <w:rPr>
                      <w:rFonts w:hint="default" w:ascii="Times New Roman" w:hAnsi="Times New Roman" w:cs="Times New Roman"/>
                      <w:color w:val="auto"/>
                      <w:sz w:val="21"/>
                      <w:szCs w:val="21"/>
                    </w:rPr>
                    <w:t>生噪声伤害、明火管理不当或意外事故引发的火灾。火灾是通</w:t>
                  </w:r>
                  <w:r>
                    <w:rPr>
                      <w:rFonts w:hint="default" w:ascii="Times New Roman" w:hAnsi="Times New Roman" w:cs="Times New Roman"/>
                      <w:color w:val="auto"/>
                      <w:spacing w:val="-1"/>
                      <w:sz w:val="21"/>
                      <w:szCs w:val="21"/>
                    </w:rPr>
                    <w:t>过放出辐</w:t>
                  </w:r>
                  <w:r>
                    <w:rPr>
                      <w:rFonts w:hint="default" w:ascii="Times New Roman" w:hAnsi="Times New Roman" w:cs="Times New Roman"/>
                      <w:color w:val="auto"/>
                      <w:sz w:val="21"/>
                      <w:szCs w:val="21"/>
                    </w:rPr>
                    <w:t>射热影响周围环境。如果辐射热的能量足够大</w:t>
                  </w:r>
                  <w:r>
                    <w:rPr>
                      <w:rFonts w:hint="default" w:ascii="Times New Roman" w:hAnsi="Times New Roman" w:cs="Times New Roman"/>
                      <w:color w:val="auto"/>
                      <w:spacing w:val="-1"/>
                      <w:sz w:val="21"/>
                      <w:szCs w:val="21"/>
                    </w:rPr>
                    <w:t>，可引起其他可燃物燃烧，</w:t>
                  </w:r>
                  <w:r>
                    <w:rPr>
                      <w:rFonts w:hint="default" w:ascii="Times New Roman" w:hAnsi="Times New Roman" w:cs="Times New Roman"/>
                      <w:color w:val="auto"/>
                      <w:sz w:val="21"/>
                      <w:szCs w:val="21"/>
                    </w:rPr>
                    <w:t>包括生物。物质在燃烧过程中会产生大量浓烟和烟尘，其中含有</w:t>
                  </w:r>
                  <w:r>
                    <w:rPr>
                      <w:rFonts w:hint="default" w:ascii="Times New Roman" w:hAnsi="Times New Roman" w:cs="Times New Roman"/>
                      <w:color w:val="auto"/>
                      <w:spacing w:val="-1"/>
                      <w:sz w:val="21"/>
                      <w:szCs w:val="21"/>
                    </w:rPr>
                    <w:t>大量的</w:t>
                  </w:r>
                  <w:r>
                    <w:rPr>
                      <w:rFonts w:hint="default" w:ascii="Times New Roman" w:hAnsi="Times New Roman" w:cs="Times New Roman"/>
                      <w:color w:val="auto"/>
                      <w:sz w:val="21"/>
                      <w:szCs w:val="21"/>
                    </w:rPr>
                    <w:t>一氧化碳、二氧化碳及其他有毒气体，带来大</w:t>
                  </w:r>
                  <w:r>
                    <w:rPr>
                      <w:rFonts w:hint="default" w:ascii="Times New Roman" w:hAnsi="Times New Roman" w:cs="Times New Roman"/>
                      <w:color w:val="auto"/>
                      <w:spacing w:val="-1"/>
                      <w:sz w:val="21"/>
                      <w:szCs w:val="21"/>
                    </w:rPr>
                    <w:t>气环境污染。</w:t>
                  </w:r>
                </w:p>
              </w:tc>
            </w:tr>
            <w:tr w14:paraId="0F8FEAF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253" w:type="dxa"/>
                  <w:tcBorders>
                    <w:tl2br w:val="nil"/>
                    <w:tr2bl w:val="nil"/>
                  </w:tcBorders>
                  <w:vAlign w:val="center"/>
                </w:tcPr>
                <w:p w14:paraId="63E704F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风险防范措施要求</w:t>
                  </w:r>
                </w:p>
              </w:tc>
              <w:tc>
                <w:tcPr>
                  <w:tcW w:w="6827" w:type="dxa"/>
                  <w:gridSpan w:val="5"/>
                  <w:tcBorders>
                    <w:tl2br w:val="nil"/>
                    <w:tr2bl w:val="nil"/>
                  </w:tcBorders>
                  <w:vAlign w:val="center"/>
                </w:tcPr>
                <w:p w14:paraId="1C0B1BB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提高员工安全意识，增加设备检修维护、对员工进行安全培训、生产过</w:t>
                  </w:r>
                </w:p>
                <w:p w14:paraId="5FA8A8A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程中要佩戴安全劳保用品，避免设备故障对人体健康的损害、防止漏电伤害、引发火灾。</w:t>
                  </w:r>
                </w:p>
              </w:tc>
            </w:tr>
            <w:tr w14:paraId="27F3ACBE">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080" w:type="dxa"/>
                  <w:gridSpan w:val="6"/>
                  <w:tcBorders>
                    <w:tl2br w:val="nil"/>
                    <w:tr2bl w:val="nil"/>
                  </w:tcBorders>
                  <w:vAlign w:val="center"/>
                </w:tcPr>
                <w:p w14:paraId="5F2381F6">
                  <w:pPr>
                    <w:pStyle w:val="22"/>
                    <w:spacing w:before="30" w:line="217" w:lineRule="auto"/>
                    <w:ind w:left="120"/>
                    <w:jc w:val="center"/>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填表说明（列出项目相关信息及评价说明</w:t>
                  </w:r>
                  <w:r>
                    <w:rPr>
                      <w:rFonts w:hint="default" w:ascii="Times New Roman" w:hAnsi="Times New Roman" w:cs="Times New Roman"/>
                      <w:color w:val="auto"/>
                      <w:spacing w:val="-39"/>
                      <w:sz w:val="21"/>
                      <w:szCs w:val="21"/>
                    </w:rPr>
                    <w:t>）：</w:t>
                  </w:r>
                  <w:r>
                    <w:rPr>
                      <w:rFonts w:hint="default" w:ascii="Times New Roman" w:hAnsi="Times New Roman" w:cs="Times New Roman"/>
                      <w:color w:val="auto"/>
                      <w:spacing w:val="2"/>
                      <w:sz w:val="21"/>
                      <w:szCs w:val="21"/>
                    </w:rPr>
                    <w:t>项目涉及</w:t>
                  </w:r>
                  <w:r>
                    <w:rPr>
                      <w:rFonts w:hint="eastAsia" w:ascii="Times New Roman" w:hAnsi="Times New Roman" w:cs="Times New Roman"/>
                      <w:color w:val="auto"/>
                      <w:spacing w:val="2"/>
                      <w:sz w:val="21"/>
                      <w:szCs w:val="21"/>
                      <w:lang w:val="en-US" w:eastAsia="zh-CN"/>
                    </w:rPr>
                    <w:t>的</w:t>
                  </w:r>
                  <w:r>
                    <w:rPr>
                      <w:rFonts w:hint="default" w:ascii="Times New Roman" w:hAnsi="Times New Roman" w:cs="Times New Roman"/>
                      <w:color w:val="auto"/>
                      <w:spacing w:val="2"/>
                      <w:sz w:val="21"/>
                      <w:szCs w:val="21"/>
                    </w:rPr>
                    <w:t>危险物质</w:t>
                  </w:r>
                  <w:r>
                    <w:rPr>
                      <w:rFonts w:hint="eastAsia" w:ascii="Times New Roman" w:hAnsi="Times New Roman" w:cs="Times New Roman"/>
                      <w:color w:val="auto"/>
                      <w:spacing w:val="2"/>
                      <w:sz w:val="21"/>
                      <w:szCs w:val="21"/>
                      <w:lang w:val="en-US" w:eastAsia="zh-CN"/>
                    </w:rPr>
                    <w:t>为机油</w:t>
                  </w:r>
                  <w:r>
                    <w:rPr>
                      <w:rFonts w:hint="default" w:ascii="Times New Roman" w:hAnsi="Times New Roman" w:cs="Times New Roman"/>
                      <w:color w:val="auto"/>
                      <w:spacing w:val="2"/>
                      <w:sz w:val="21"/>
                      <w:szCs w:val="21"/>
                    </w:rPr>
                    <w:t>，</w:t>
                  </w:r>
                  <w:r>
                    <w:rPr>
                      <w:rFonts w:hint="default" w:ascii="Times New Roman" w:hAnsi="Times New Roman" w:eastAsia="Times New Roman" w:cs="Times New Roman"/>
                      <w:color w:val="auto"/>
                      <w:spacing w:val="2"/>
                      <w:sz w:val="21"/>
                      <w:szCs w:val="21"/>
                    </w:rPr>
                    <w:t>Q</w:t>
                  </w:r>
                  <w:r>
                    <w:rPr>
                      <w:rFonts w:hint="eastAsia" w:ascii="Times New Roman" w:hAnsi="Times New Roman" w:eastAsia="宋体" w:cs="Times New Roman"/>
                      <w:color w:val="auto"/>
                      <w:spacing w:val="2"/>
                      <w:sz w:val="21"/>
                      <w:szCs w:val="21"/>
                      <w:lang w:val="en-US" w:eastAsia="zh-CN"/>
                    </w:rPr>
                    <w:t>=00004</w:t>
                  </w:r>
                  <w:r>
                    <w:rPr>
                      <w:rFonts w:hint="default" w:ascii="Times New Roman" w:hAnsi="Times New Roman" w:eastAsia="Times New Roman" w:cs="Times New Roman"/>
                      <w:color w:val="auto"/>
                      <w:spacing w:val="2"/>
                      <w:sz w:val="21"/>
                      <w:szCs w:val="21"/>
                    </w:rPr>
                    <w:t>&lt;1</w:t>
                  </w:r>
                  <w:r>
                    <w:rPr>
                      <w:rFonts w:hint="default" w:ascii="Times New Roman" w:hAnsi="Times New Roman" w:cs="Times New Roman"/>
                      <w:color w:val="auto"/>
                      <w:spacing w:val="2"/>
                      <w:sz w:val="21"/>
                      <w:szCs w:val="21"/>
                    </w:rPr>
                    <w:t>，环境风险潜</w:t>
                  </w:r>
                  <w:r>
                    <w:rPr>
                      <w:rFonts w:hint="default" w:ascii="Times New Roman" w:hAnsi="Times New Roman" w:cs="Times New Roman"/>
                      <w:color w:val="auto"/>
                      <w:spacing w:val="1"/>
                      <w:sz w:val="21"/>
                      <w:szCs w:val="21"/>
                    </w:rPr>
                    <w:t>势为</w:t>
                  </w:r>
                  <w:r>
                    <w:rPr>
                      <w:rFonts w:hint="default" w:ascii="Times New Roman" w:hAnsi="Times New Roman" w:eastAsia="Times New Roman" w:cs="Times New Roman"/>
                      <w:color w:val="auto"/>
                      <w:spacing w:val="1"/>
                      <w:sz w:val="21"/>
                      <w:szCs w:val="21"/>
                    </w:rPr>
                    <w:t>Ⅰ</w:t>
                  </w:r>
                  <w:r>
                    <w:rPr>
                      <w:rFonts w:hint="default" w:ascii="Times New Roman" w:hAnsi="Times New Roman" w:eastAsia="宋体" w:cs="Times New Roman"/>
                      <w:color w:val="auto"/>
                      <w:spacing w:val="1"/>
                      <w:sz w:val="21"/>
                      <w:szCs w:val="21"/>
                      <w:lang w:eastAsia="zh-CN"/>
                    </w:rPr>
                    <w:t>，</w:t>
                  </w:r>
                  <w:r>
                    <w:rPr>
                      <w:rFonts w:hint="default" w:ascii="Times New Roman" w:hAnsi="Times New Roman" w:cs="Times New Roman"/>
                      <w:color w:val="auto"/>
                      <w:spacing w:val="1"/>
                      <w:sz w:val="21"/>
                      <w:szCs w:val="21"/>
                    </w:rPr>
                    <w:t>仅</w:t>
                  </w:r>
                  <w:r>
                    <w:rPr>
                      <w:rFonts w:hint="default" w:ascii="Times New Roman" w:hAnsi="Times New Roman" w:cs="Times New Roman"/>
                      <w:color w:val="auto"/>
                      <w:spacing w:val="-2"/>
                      <w:sz w:val="21"/>
                      <w:szCs w:val="21"/>
                    </w:rPr>
                    <w:t>需进行简单分析。根据对环境风险物质的筛选、工艺流程风险的调查分</w:t>
                  </w:r>
                  <w:r>
                    <w:rPr>
                      <w:rFonts w:hint="default" w:ascii="Times New Roman" w:hAnsi="Times New Roman" w:cs="Times New Roman"/>
                      <w:color w:val="auto"/>
                      <w:spacing w:val="-3"/>
                      <w:sz w:val="21"/>
                      <w:szCs w:val="21"/>
                    </w:rPr>
                    <w:t>析，确定项目风险主要为</w:t>
                  </w:r>
                  <w:r>
                    <w:rPr>
                      <w:rFonts w:hint="default" w:ascii="Times New Roman" w:hAnsi="Times New Roman" w:cs="Times New Roman"/>
                      <w:color w:val="auto"/>
                      <w:sz w:val="21"/>
                      <w:szCs w:val="21"/>
                    </w:rPr>
                    <w:t>设备故障或操作不当产生触电和机械伤害、生产设备运转不顺产生噪声伤害、明火管</w:t>
                  </w:r>
                  <w:r>
                    <w:rPr>
                      <w:rFonts w:hint="default" w:ascii="Times New Roman" w:hAnsi="Times New Roman" w:cs="Times New Roman"/>
                      <w:color w:val="auto"/>
                      <w:spacing w:val="-1"/>
                      <w:sz w:val="21"/>
                      <w:szCs w:val="21"/>
                    </w:rPr>
                    <w:t>理不当或意</w:t>
                  </w:r>
                  <w:r>
                    <w:rPr>
                      <w:rFonts w:hint="default" w:ascii="Times New Roman" w:hAnsi="Times New Roman" w:cs="Times New Roman"/>
                      <w:color w:val="auto"/>
                      <w:spacing w:val="-3"/>
                      <w:sz w:val="21"/>
                      <w:szCs w:val="21"/>
                    </w:rPr>
                    <w:t>外事故引发的火灾。</w:t>
                  </w:r>
                </w:p>
              </w:tc>
            </w:tr>
          </w:tbl>
          <w:p w14:paraId="25EFFB24">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cs="Times New Roman"/>
                <w:b/>
                <w:bCs/>
                <w:color w:val="auto"/>
              </w:rPr>
            </w:pPr>
            <w:r>
              <w:rPr>
                <w:rFonts w:hint="default" w:ascii="Times New Roman" w:hAnsi="Times New Roman" w:cs="Times New Roman"/>
                <w:b/>
                <w:bCs/>
                <w:color w:val="auto"/>
              </w:rPr>
              <w:t>八、电磁辐射</w:t>
            </w:r>
          </w:p>
          <w:p w14:paraId="63D80DD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cs="Times New Roman"/>
                <w:color w:val="auto"/>
              </w:rPr>
              <w:t>项目不属于广播电台、差转台、电视塔台、卫星地球上行站、雷达等电磁辐射类项目，本评价不再开展电磁环境影响分析。</w:t>
            </w:r>
          </w:p>
          <w:p w14:paraId="6396BAB5">
            <w:pPr>
              <w:pStyle w:val="39"/>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82"/>
              <w:textAlignment w:val="auto"/>
              <w:rPr>
                <w:rFonts w:hint="eastAsia" w:ascii="Times New Roman" w:hAnsi="Times New Roman" w:eastAsia="宋体" w:cs="Times New Roman"/>
                <w:b/>
                <w:bCs/>
                <w:snapToGrid w:val="0"/>
                <w:color w:val="auto"/>
                <w:kern w:val="0"/>
                <w:sz w:val="24"/>
                <w:szCs w:val="21"/>
                <w:highlight w:val="none"/>
                <w:lang w:val="en-US" w:eastAsia="zh-CN" w:bidi="ar-SA"/>
              </w:rPr>
            </w:pPr>
            <w:r>
              <w:rPr>
                <w:rFonts w:hint="eastAsia" w:ascii="Times New Roman" w:hAnsi="Times New Roman" w:eastAsia="宋体" w:cs="Times New Roman"/>
                <w:b/>
                <w:bCs/>
                <w:snapToGrid w:val="0"/>
                <w:color w:val="auto"/>
                <w:kern w:val="0"/>
                <w:sz w:val="24"/>
                <w:szCs w:val="21"/>
                <w:highlight w:val="none"/>
                <w:lang w:val="en-US" w:eastAsia="zh-CN" w:bidi="ar-SA"/>
              </w:rPr>
              <w:t>九、污染源“三本帐”</w:t>
            </w:r>
          </w:p>
          <w:p w14:paraId="6FE75884">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本项目建成后全厂</w:t>
            </w:r>
            <w:r>
              <w:rPr>
                <w:rFonts w:hint="default" w:ascii="Times New Roman" w:hAnsi="Times New Roman" w:cs="Times New Roman"/>
                <w:color w:val="auto"/>
                <w:highlight w:val="none"/>
                <w:lang w:val="en-US" w:eastAsia="zh-CN"/>
              </w:rPr>
              <w:t>主要污染物排放</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三本帐</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见下表</w:t>
            </w:r>
            <w:r>
              <w:rPr>
                <w:rFonts w:hint="default" w:ascii="Times New Roman" w:hAnsi="Times New Roman" w:cs="Times New Roman"/>
                <w:color w:val="auto"/>
                <w:highlight w:val="none"/>
              </w:rPr>
              <w:t>。</w:t>
            </w:r>
          </w:p>
          <w:p w14:paraId="680DCE21">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表4-</w:t>
            </w:r>
            <w:r>
              <w:rPr>
                <w:rFonts w:hint="eastAsia" w:ascii="Times New Roman" w:hAnsi="Times New Roman" w:eastAsia="宋体" w:cs="Times New Roman"/>
                <w:b/>
                <w:bCs/>
                <w:color w:val="auto"/>
                <w:highlight w:val="none"/>
                <w:lang w:val="en-US" w:eastAsia="zh-CN"/>
              </w:rPr>
              <w:t>1</w:t>
            </w:r>
            <w:r>
              <w:rPr>
                <w:rFonts w:hint="eastAsia" w:ascii="Times New Roman" w:hAnsi="Times New Roman" w:cs="Times New Roman"/>
                <w:b/>
                <w:bCs/>
                <w:color w:val="auto"/>
                <w:highlight w:val="none"/>
                <w:lang w:val="en-US" w:eastAsia="zh-CN"/>
              </w:rPr>
              <w:t xml:space="preserve">8  </w:t>
            </w:r>
            <w:r>
              <w:rPr>
                <w:rFonts w:hint="eastAsia" w:ascii="Times New Roman" w:hAnsi="Times New Roman" w:eastAsia="宋体" w:cs="Times New Roman"/>
                <w:b/>
                <w:bCs/>
                <w:color w:val="auto"/>
                <w:highlight w:val="none"/>
                <w:lang w:val="en-US" w:eastAsia="zh-CN"/>
              </w:rPr>
              <w:t>项目建设前后全厂</w:t>
            </w:r>
            <w:r>
              <w:rPr>
                <w:rFonts w:hint="default" w:ascii="Times New Roman" w:hAnsi="Times New Roman" w:eastAsia="宋体" w:cs="Times New Roman"/>
                <w:b/>
                <w:bCs/>
                <w:color w:val="auto"/>
                <w:highlight w:val="none"/>
                <w:lang w:val="en-US" w:eastAsia="zh-CN"/>
              </w:rPr>
              <w:t>主要污染物排放</w:t>
            </w:r>
            <w:r>
              <w:rPr>
                <w:rFonts w:hint="eastAsia" w:ascii="Times New Roman" w:hAnsi="Times New Roman" w:eastAsia="宋体"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三本帐</w:t>
            </w:r>
            <w:r>
              <w:rPr>
                <w:rFonts w:hint="eastAsia" w:ascii="Times New Roman" w:hAnsi="Times New Roman" w:eastAsia="宋体" w:cs="Times New Roman"/>
                <w:b/>
                <w:bCs/>
                <w:color w:val="auto"/>
                <w:highlight w:val="none"/>
                <w:lang w:val="en-US" w:eastAsia="zh-CN"/>
              </w:rPr>
              <w:t>”</w:t>
            </w:r>
          </w:p>
          <w:tbl>
            <w:tblPr>
              <w:tblStyle w:val="15"/>
              <w:tblW w:w="488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2"/>
              <w:gridCol w:w="1327"/>
              <w:gridCol w:w="1209"/>
              <w:gridCol w:w="1138"/>
              <w:gridCol w:w="1109"/>
              <w:gridCol w:w="1187"/>
              <w:gridCol w:w="1160"/>
              <w:gridCol w:w="999"/>
            </w:tblGrid>
            <w:tr w14:paraId="2E948B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tcBorders>
                    <w:tl2br w:val="nil"/>
                    <w:tr2bl w:val="nil"/>
                  </w:tcBorders>
                  <w:noWrap w:val="0"/>
                  <w:vAlign w:val="center"/>
                </w:tcPr>
                <w:p w14:paraId="6D0A1A4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1"/>
                      <w:sz w:val="21"/>
                      <w:szCs w:val="21"/>
                      <w:highlight w:val="none"/>
                    </w:rPr>
                  </w:pPr>
                  <w:r>
                    <w:rPr>
                      <w:rFonts w:hint="eastAsia" w:ascii="Times New Roman" w:hAnsi="Times New Roman" w:cs="Times New Roman"/>
                      <w:b/>
                      <w:bCs/>
                      <w:color w:val="auto"/>
                      <w:spacing w:val="-1"/>
                      <w:sz w:val="21"/>
                      <w:szCs w:val="21"/>
                      <w:highlight w:val="none"/>
                    </w:rPr>
                    <w:t>类别</w:t>
                  </w:r>
                </w:p>
              </w:tc>
              <w:tc>
                <w:tcPr>
                  <w:tcW w:w="731" w:type="pct"/>
                  <w:tcBorders>
                    <w:tl2br w:val="nil"/>
                    <w:tr2bl w:val="nil"/>
                  </w:tcBorders>
                  <w:noWrap w:val="0"/>
                  <w:vAlign w:val="center"/>
                </w:tcPr>
                <w:p w14:paraId="2EBEBC6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1"/>
                      <w:sz w:val="21"/>
                      <w:szCs w:val="21"/>
                      <w:highlight w:val="none"/>
                    </w:rPr>
                  </w:pPr>
                  <w:r>
                    <w:rPr>
                      <w:rFonts w:hint="eastAsia" w:ascii="Times New Roman" w:hAnsi="Times New Roman" w:cs="Times New Roman"/>
                      <w:b/>
                      <w:bCs/>
                      <w:color w:val="auto"/>
                      <w:spacing w:val="-1"/>
                      <w:sz w:val="21"/>
                      <w:szCs w:val="21"/>
                      <w:highlight w:val="none"/>
                    </w:rPr>
                    <w:t>污染物</w:t>
                  </w:r>
                </w:p>
              </w:tc>
              <w:tc>
                <w:tcPr>
                  <w:tcW w:w="666" w:type="pct"/>
                  <w:tcBorders>
                    <w:tl2br w:val="nil"/>
                    <w:tr2bl w:val="nil"/>
                  </w:tcBorders>
                  <w:noWrap w:val="0"/>
                  <w:vAlign w:val="center"/>
                </w:tcPr>
                <w:p w14:paraId="1B45A29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1"/>
                      <w:sz w:val="21"/>
                      <w:szCs w:val="21"/>
                      <w:highlight w:val="none"/>
                    </w:rPr>
                  </w:pPr>
                  <w:r>
                    <w:rPr>
                      <w:rFonts w:hint="default" w:ascii="Times New Roman" w:hAnsi="Times New Roman" w:cs="Times New Roman"/>
                      <w:b/>
                      <w:bCs/>
                      <w:color w:val="auto"/>
                      <w:spacing w:val="-1"/>
                      <w:sz w:val="21"/>
                      <w:szCs w:val="21"/>
                      <w:highlight w:val="none"/>
                    </w:rPr>
                    <w:t>现有工程</w:t>
                  </w:r>
                </w:p>
                <w:p w14:paraId="50C7065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1"/>
                      <w:sz w:val="21"/>
                      <w:szCs w:val="21"/>
                      <w:highlight w:val="none"/>
                      <w:lang w:val="en-US" w:eastAsia="zh-CN"/>
                    </w:rPr>
                  </w:pPr>
                  <w:r>
                    <w:rPr>
                      <w:rFonts w:hint="default" w:ascii="Times New Roman" w:hAnsi="Times New Roman" w:cs="Times New Roman"/>
                      <w:b/>
                      <w:bCs/>
                      <w:color w:val="auto"/>
                      <w:spacing w:val="-1"/>
                      <w:sz w:val="21"/>
                      <w:szCs w:val="21"/>
                      <w:highlight w:val="none"/>
                    </w:rPr>
                    <w:t>排放量</w:t>
                  </w:r>
                  <w:r>
                    <w:rPr>
                      <w:rFonts w:hint="eastAsia" w:ascii="Times New Roman" w:hAnsi="Times New Roman" w:cs="Times New Roman"/>
                      <w:b/>
                      <w:bCs/>
                      <w:color w:val="auto"/>
                      <w:spacing w:val="-1"/>
                      <w:sz w:val="21"/>
                      <w:szCs w:val="21"/>
                      <w:highlight w:val="none"/>
                      <w:lang w:val="en-US" w:eastAsia="zh-CN"/>
                    </w:rPr>
                    <w:t>t/a</w:t>
                  </w:r>
                </w:p>
              </w:tc>
              <w:tc>
                <w:tcPr>
                  <w:tcW w:w="627" w:type="pct"/>
                  <w:tcBorders>
                    <w:tl2br w:val="nil"/>
                    <w:tr2bl w:val="nil"/>
                  </w:tcBorders>
                  <w:noWrap w:val="0"/>
                  <w:vAlign w:val="center"/>
                </w:tcPr>
                <w:p w14:paraId="09F57A5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1"/>
                      <w:sz w:val="21"/>
                      <w:szCs w:val="21"/>
                      <w:highlight w:val="none"/>
                    </w:rPr>
                  </w:pPr>
                  <w:r>
                    <w:rPr>
                      <w:rFonts w:hint="eastAsia" w:ascii="Times New Roman" w:hAnsi="Times New Roman" w:cs="Times New Roman"/>
                      <w:b/>
                      <w:bCs/>
                      <w:color w:val="auto"/>
                      <w:spacing w:val="-1"/>
                      <w:sz w:val="21"/>
                      <w:szCs w:val="21"/>
                      <w:highlight w:val="none"/>
                    </w:rPr>
                    <w:t>本</w:t>
                  </w:r>
                  <w:r>
                    <w:rPr>
                      <w:rFonts w:hint="default" w:ascii="Times New Roman" w:hAnsi="Times New Roman" w:cs="Times New Roman"/>
                      <w:b/>
                      <w:bCs/>
                      <w:color w:val="auto"/>
                      <w:spacing w:val="-1"/>
                      <w:sz w:val="21"/>
                      <w:szCs w:val="21"/>
                      <w:highlight w:val="none"/>
                    </w:rPr>
                    <w:t>项目</w:t>
                  </w:r>
                </w:p>
                <w:p w14:paraId="5920008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1"/>
                      <w:sz w:val="21"/>
                      <w:szCs w:val="21"/>
                      <w:highlight w:val="none"/>
                    </w:rPr>
                  </w:pPr>
                  <w:r>
                    <w:rPr>
                      <w:rFonts w:hint="default" w:ascii="Times New Roman" w:hAnsi="Times New Roman" w:cs="Times New Roman"/>
                      <w:b/>
                      <w:bCs/>
                      <w:color w:val="auto"/>
                      <w:spacing w:val="-1"/>
                      <w:sz w:val="21"/>
                      <w:szCs w:val="21"/>
                      <w:highlight w:val="none"/>
                    </w:rPr>
                    <w:t>排放量</w:t>
                  </w:r>
                  <w:r>
                    <w:rPr>
                      <w:rFonts w:hint="eastAsia" w:ascii="Times New Roman" w:hAnsi="Times New Roman" w:cs="Times New Roman"/>
                      <w:b/>
                      <w:bCs/>
                      <w:color w:val="auto"/>
                      <w:spacing w:val="-1"/>
                      <w:sz w:val="21"/>
                      <w:szCs w:val="21"/>
                      <w:highlight w:val="none"/>
                      <w:lang w:val="en-US" w:eastAsia="zh-CN"/>
                    </w:rPr>
                    <w:t>t/a</w:t>
                  </w:r>
                </w:p>
              </w:tc>
              <w:tc>
                <w:tcPr>
                  <w:tcW w:w="611" w:type="pct"/>
                  <w:tcBorders>
                    <w:tl2br w:val="nil"/>
                    <w:tr2bl w:val="nil"/>
                  </w:tcBorders>
                  <w:noWrap w:val="0"/>
                  <w:vAlign w:val="center"/>
                </w:tcPr>
                <w:p w14:paraId="519E24A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b/>
                      <w:bCs/>
                      <w:color w:val="auto"/>
                      <w:spacing w:val="-1"/>
                      <w:sz w:val="21"/>
                      <w:szCs w:val="21"/>
                      <w:highlight w:val="none"/>
                      <w:lang w:eastAsia="zh-CN"/>
                    </w:rPr>
                  </w:pPr>
                  <w:r>
                    <w:rPr>
                      <w:rFonts w:hint="eastAsia" w:ascii="Times New Roman" w:hAnsi="Times New Roman" w:cs="Times New Roman"/>
                      <w:b/>
                      <w:bCs/>
                      <w:color w:val="auto"/>
                      <w:spacing w:val="-1"/>
                      <w:sz w:val="21"/>
                      <w:szCs w:val="21"/>
                      <w:highlight w:val="none"/>
                      <w:lang w:eastAsia="zh-CN"/>
                    </w:rPr>
                    <w:t>总量控制指标</w:t>
                  </w:r>
                  <w:r>
                    <w:rPr>
                      <w:rFonts w:hint="eastAsia" w:ascii="Times New Roman" w:hAnsi="Times New Roman" w:cs="Times New Roman"/>
                      <w:b/>
                      <w:bCs/>
                      <w:color w:val="auto"/>
                      <w:spacing w:val="-1"/>
                      <w:sz w:val="21"/>
                      <w:szCs w:val="21"/>
                      <w:highlight w:val="none"/>
                      <w:lang w:val="en-US" w:eastAsia="zh-CN"/>
                    </w:rPr>
                    <w:t>t/a</w:t>
                  </w:r>
                </w:p>
              </w:tc>
              <w:tc>
                <w:tcPr>
                  <w:tcW w:w="654" w:type="pct"/>
                  <w:tcBorders>
                    <w:tl2br w:val="nil"/>
                    <w:tr2bl w:val="nil"/>
                  </w:tcBorders>
                  <w:noWrap w:val="0"/>
                  <w:vAlign w:val="center"/>
                </w:tcPr>
                <w:p w14:paraId="241FB7A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b/>
                      <w:bCs/>
                      <w:color w:val="auto"/>
                      <w:spacing w:val="-1"/>
                      <w:sz w:val="21"/>
                      <w:szCs w:val="21"/>
                      <w:highlight w:val="none"/>
                    </w:rPr>
                  </w:pPr>
                  <w:r>
                    <w:rPr>
                      <w:rFonts w:hint="default" w:ascii="Times New Roman" w:hAnsi="Times New Roman" w:cs="Times New Roman"/>
                      <w:b/>
                      <w:bCs/>
                      <w:color w:val="auto"/>
                      <w:spacing w:val="-1"/>
                      <w:sz w:val="21"/>
                      <w:szCs w:val="21"/>
                      <w:highlight w:val="none"/>
                    </w:rPr>
                    <w:t>以新带老</w:t>
                  </w:r>
                </w:p>
                <w:p w14:paraId="6CAF55E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b/>
                      <w:bCs/>
                      <w:color w:val="auto"/>
                      <w:spacing w:val="-1"/>
                      <w:sz w:val="21"/>
                      <w:szCs w:val="21"/>
                      <w:highlight w:val="none"/>
                      <w:lang w:val="en-US" w:eastAsia="zh-CN"/>
                    </w:rPr>
                  </w:pPr>
                  <w:r>
                    <w:rPr>
                      <w:rFonts w:hint="eastAsia" w:ascii="Times New Roman" w:hAnsi="Times New Roman" w:cs="Times New Roman"/>
                      <w:b/>
                      <w:bCs/>
                      <w:color w:val="auto"/>
                      <w:spacing w:val="-1"/>
                      <w:sz w:val="21"/>
                      <w:szCs w:val="21"/>
                      <w:highlight w:val="none"/>
                    </w:rPr>
                    <w:t>削减</w:t>
                  </w:r>
                  <w:r>
                    <w:rPr>
                      <w:rFonts w:hint="default" w:ascii="Times New Roman" w:hAnsi="Times New Roman" w:cs="Times New Roman"/>
                      <w:b/>
                      <w:bCs/>
                      <w:color w:val="auto"/>
                      <w:spacing w:val="-1"/>
                      <w:sz w:val="21"/>
                      <w:szCs w:val="21"/>
                      <w:highlight w:val="none"/>
                    </w:rPr>
                    <w:t>量</w:t>
                  </w:r>
                  <w:r>
                    <w:rPr>
                      <w:rFonts w:hint="eastAsia" w:ascii="Times New Roman" w:hAnsi="Times New Roman" w:cs="Times New Roman"/>
                      <w:b/>
                      <w:bCs/>
                      <w:color w:val="auto"/>
                      <w:spacing w:val="-1"/>
                      <w:sz w:val="21"/>
                      <w:szCs w:val="21"/>
                      <w:highlight w:val="none"/>
                      <w:lang w:val="en-US" w:eastAsia="zh-CN"/>
                    </w:rPr>
                    <w:t>t/a</w:t>
                  </w:r>
                </w:p>
              </w:tc>
              <w:tc>
                <w:tcPr>
                  <w:tcW w:w="639" w:type="pct"/>
                  <w:tcBorders>
                    <w:tl2br w:val="nil"/>
                    <w:tr2bl w:val="nil"/>
                  </w:tcBorders>
                  <w:noWrap w:val="0"/>
                  <w:vAlign w:val="center"/>
                </w:tcPr>
                <w:p w14:paraId="0C938D6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b/>
                      <w:bCs/>
                      <w:color w:val="auto"/>
                      <w:spacing w:val="-1"/>
                      <w:sz w:val="21"/>
                      <w:szCs w:val="21"/>
                      <w:highlight w:val="none"/>
                      <w:lang w:val="en-US" w:eastAsia="zh-CN"/>
                    </w:rPr>
                  </w:pPr>
                  <w:r>
                    <w:rPr>
                      <w:rFonts w:hint="default" w:ascii="Times New Roman" w:hAnsi="Times New Roman" w:cs="Times New Roman"/>
                      <w:b/>
                      <w:bCs/>
                      <w:color w:val="auto"/>
                      <w:spacing w:val="-1"/>
                      <w:sz w:val="21"/>
                      <w:szCs w:val="21"/>
                      <w:highlight w:val="none"/>
                    </w:rPr>
                    <w:t>总体工程排放量</w:t>
                  </w:r>
                  <w:r>
                    <w:rPr>
                      <w:rFonts w:hint="eastAsia" w:ascii="Times New Roman" w:hAnsi="Times New Roman" w:cs="Times New Roman"/>
                      <w:b/>
                      <w:bCs/>
                      <w:color w:val="auto"/>
                      <w:spacing w:val="-1"/>
                      <w:sz w:val="21"/>
                      <w:szCs w:val="21"/>
                      <w:highlight w:val="none"/>
                      <w:lang w:val="en-US" w:eastAsia="zh-CN"/>
                    </w:rPr>
                    <w:t>t/a</w:t>
                  </w:r>
                </w:p>
              </w:tc>
              <w:tc>
                <w:tcPr>
                  <w:tcW w:w="550" w:type="pct"/>
                  <w:tcBorders>
                    <w:tl2br w:val="nil"/>
                    <w:tr2bl w:val="nil"/>
                  </w:tcBorders>
                  <w:noWrap w:val="0"/>
                  <w:vAlign w:val="center"/>
                </w:tcPr>
                <w:p w14:paraId="4C64A44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b/>
                      <w:bCs/>
                      <w:color w:val="auto"/>
                      <w:spacing w:val="-1"/>
                      <w:sz w:val="21"/>
                      <w:szCs w:val="21"/>
                      <w:highlight w:val="none"/>
                      <w:lang w:val="en-US" w:eastAsia="zh-CN"/>
                    </w:rPr>
                  </w:pPr>
                  <w:r>
                    <w:rPr>
                      <w:rFonts w:hint="default" w:ascii="Times New Roman" w:hAnsi="Times New Roman" w:cs="Times New Roman"/>
                      <w:b/>
                      <w:bCs/>
                      <w:color w:val="auto"/>
                      <w:spacing w:val="-1"/>
                      <w:sz w:val="21"/>
                      <w:szCs w:val="21"/>
                      <w:highlight w:val="none"/>
                    </w:rPr>
                    <w:t>增减量变化</w:t>
                  </w:r>
                  <w:r>
                    <w:rPr>
                      <w:rFonts w:hint="eastAsia" w:ascii="Times New Roman" w:hAnsi="Times New Roman" w:cs="Times New Roman"/>
                      <w:b/>
                      <w:bCs/>
                      <w:color w:val="auto"/>
                      <w:spacing w:val="-1"/>
                      <w:sz w:val="21"/>
                      <w:szCs w:val="21"/>
                      <w:highlight w:val="none"/>
                      <w:lang w:val="en-US" w:eastAsia="zh-CN"/>
                    </w:rPr>
                    <w:t>t/a</w:t>
                  </w:r>
                </w:p>
              </w:tc>
            </w:tr>
            <w:tr w14:paraId="1050AA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tcBorders>
                    <w:tl2br w:val="nil"/>
                    <w:tr2bl w:val="nil"/>
                  </w:tcBorders>
                  <w:noWrap w:val="0"/>
                  <w:vAlign w:val="center"/>
                </w:tcPr>
                <w:p w14:paraId="6CCE087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rPr>
                  </w:pPr>
                  <w:r>
                    <w:rPr>
                      <w:rFonts w:hint="eastAsia" w:ascii="Times New Roman" w:hAnsi="Times New Roman" w:cs="Times New Roman"/>
                      <w:color w:val="auto"/>
                      <w:spacing w:val="-1"/>
                      <w:sz w:val="21"/>
                      <w:szCs w:val="21"/>
                      <w:highlight w:val="none"/>
                    </w:rPr>
                    <w:t>水污染物</w:t>
                  </w:r>
                </w:p>
              </w:tc>
              <w:tc>
                <w:tcPr>
                  <w:tcW w:w="731" w:type="pct"/>
                  <w:tcBorders>
                    <w:tl2br w:val="nil"/>
                    <w:tr2bl w:val="nil"/>
                  </w:tcBorders>
                  <w:noWrap w:val="0"/>
                  <w:vAlign w:val="center"/>
                </w:tcPr>
                <w:p w14:paraId="2114551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rPr>
                  </w:pPr>
                  <w:r>
                    <w:rPr>
                      <w:rFonts w:hint="eastAsia" w:ascii="Times New Roman" w:hAnsi="Times New Roman" w:cs="Times New Roman"/>
                      <w:color w:val="auto"/>
                      <w:spacing w:val="-1"/>
                      <w:sz w:val="21"/>
                      <w:szCs w:val="21"/>
                      <w:highlight w:val="none"/>
                    </w:rPr>
                    <w:t>废水量</w:t>
                  </w:r>
                </w:p>
              </w:tc>
              <w:tc>
                <w:tcPr>
                  <w:tcW w:w="666" w:type="pct"/>
                  <w:tcBorders>
                    <w:tl2br w:val="nil"/>
                    <w:tr2bl w:val="nil"/>
                  </w:tcBorders>
                  <w:noWrap w:val="0"/>
                  <w:vAlign w:val="center"/>
                </w:tcPr>
                <w:p w14:paraId="612A5B2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60</w:t>
                  </w:r>
                </w:p>
              </w:tc>
              <w:tc>
                <w:tcPr>
                  <w:tcW w:w="627" w:type="pct"/>
                  <w:tcBorders>
                    <w:tl2br w:val="nil"/>
                    <w:tr2bl w:val="nil"/>
                  </w:tcBorders>
                  <w:noWrap w:val="0"/>
                  <w:vAlign w:val="center"/>
                </w:tcPr>
                <w:p w14:paraId="066CDA1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0</w:t>
                  </w:r>
                </w:p>
              </w:tc>
              <w:tc>
                <w:tcPr>
                  <w:tcW w:w="611" w:type="pct"/>
                  <w:tcBorders>
                    <w:tl2br w:val="nil"/>
                    <w:tr2bl w:val="nil"/>
                  </w:tcBorders>
                  <w:noWrap w:val="0"/>
                  <w:vAlign w:val="center"/>
                </w:tcPr>
                <w:p w14:paraId="4CE2A74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0</w:t>
                  </w:r>
                </w:p>
              </w:tc>
              <w:tc>
                <w:tcPr>
                  <w:tcW w:w="654" w:type="pct"/>
                  <w:tcBorders>
                    <w:tl2br w:val="nil"/>
                    <w:tr2bl w:val="nil"/>
                  </w:tcBorders>
                  <w:noWrap w:val="0"/>
                  <w:vAlign w:val="center"/>
                </w:tcPr>
                <w:p w14:paraId="0FD0515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0</w:t>
                  </w:r>
                </w:p>
              </w:tc>
              <w:tc>
                <w:tcPr>
                  <w:tcW w:w="639" w:type="pct"/>
                  <w:tcBorders>
                    <w:tl2br w:val="nil"/>
                    <w:tr2bl w:val="nil"/>
                  </w:tcBorders>
                  <w:shd w:val="clear" w:color="auto" w:fill="auto"/>
                  <w:noWrap w:val="0"/>
                  <w:vAlign w:val="center"/>
                </w:tcPr>
                <w:p w14:paraId="1E435F4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60</w:t>
                  </w:r>
                </w:p>
              </w:tc>
              <w:tc>
                <w:tcPr>
                  <w:tcW w:w="550" w:type="pct"/>
                  <w:tcBorders>
                    <w:tl2br w:val="nil"/>
                    <w:tr2bl w:val="nil"/>
                  </w:tcBorders>
                  <w:noWrap w:val="0"/>
                  <w:vAlign w:val="center"/>
                </w:tcPr>
                <w:p w14:paraId="7FFA31A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0</w:t>
                  </w:r>
                </w:p>
              </w:tc>
            </w:tr>
            <w:tr w14:paraId="6C01E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vMerge w:val="restart"/>
                  <w:tcBorders>
                    <w:tl2br w:val="nil"/>
                    <w:tr2bl w:val="nil"/>
                  </w:tcBorders>
                  <w:noWrap w:val="0"/>
                  <w:vAlign w:val="center"/>
                </w:tcPr>
                <w:p w14:paraId="4EA88FC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rPr>
                  </w:pPr>
                  <w:r>
                    <w:rPr>
                      <w:rFonts w:hint="eastAsia" w:ascii="Times New Roman" w:hAnsi="Times New Roman" w:cs="Times New Roman"/>
                      <w:color w:val="auto"/>
                      <w:spacing w:val="-1"/>
                      <w:sz w:val="21"/>
                      <w:szCs w:val="21"/>
                      <w:highlight w:val="none"/>
                    </w:rPr>
                    <w:t>大气污染物</w:t>
                  </w:r>
                </w:p>
              </w:tc>
              <w:tc>
                <w:tcPr>
                  <w:tcW w:w="731" w:type="pct"/>
                  <w:tcBorders>
                    <w:tl2br w:val="nil"/>
                    <w:tr2bl w:val="nil"/>
                  </w:tcBorders>
                  <w:noWrap w:val="0"/>
                  <w:vAlign w:val="center"/>
                </w:tcPr>
                <w:p w14:paraId="28447B0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lang w:val="en-US" w:eastAsia="zh-CN"/>
                    </w:rPr>
                  </w:pPr>
                  <w:r>
                    <w:rPr>
                      <w:rFonts w:hint="default" w:ascii="Times New Roman" w:hAnsi="Times New Roman" w:cs="Times New Roman"/>
                      <w:color w:val="auto"/>
                      <w:spacing w:val="-1"/>
                      <w:sz w:val="21"/>
                      <w:szCs w:val="21"/>
                      <w:highlight w:val="none"/>
                      <w:lang w:val="en-US" w:eastAsia="zh-CN"/>
                    </w:rPr>
                    <w:t>颗粒物</w:t>
                  </w:r>
                </w:p>
              </w:tc>
              <w:tc>
                <w:tcPr>
                  <w:tcW w:w="666" w:type="pct"/>
                  <w:tcBorders>
                    <w:tl2br w:val="nil"/>
                    <w:tr2bl w:val="nil"/>
                  </w:tcBorders>
                  <w:noWrap w:val="0"/>
                  <w:vAlign w:val="center"/>
                </w:tcPr>
                <w:p w14:paraId="0CDF515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0000FF"/>
                      <w:spacing w:val="-1"/>
                      <w:sz w:val="21"/>
                      <w:szCs w:val="21"/>
                      <w:highlight w:val="none"/>
                      <w:lang w:val="en-US" w:eastAsia="zh-CN"/>
                    </w:rPr>
                  </w:pPr>
                  <w:r>
                    <w:rPr>
                      <w:rFonts w:hint="eastAsia" w:ascii="Times New Roman" w:hAnsi="Times New Roman" w:cs="Times New Roman"/>
                      <w:color w:val="0000FF"/>
                      <w:sz w:val="21"/>
                      <w:szCs w:val="21"/>
                      <w:highlight w:val="none"/>
                      <w:lang w:val="en-US" w:eastAsia="zh-CN"/>
                    </w:rPr>
                    <w:t>0.16</w:t>
                  </w:r>
                </w:p>
              </w:tc>
              <w:tc>
                <w:tcPr>
                  <w:tcW w:w="627" w:type="pct"/>
                  <w:tcBorders>
                    <w:tl2br w:val="nil"/>
                    <w:tr2bl w:val="nil"/>
                  </w:tcBorders>
                  <w:noWrap w:val="0"/>
                  <w:vAlign w:val="center"/>
                </w:tcPr>
                <w:p w14:paraId="289E294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0000FF"/>
                      <w:spacing w:val="-1"/>
                      <w:sz w:val="21"/>
                      <w:szCs w:val="21"/>
                      <w:highlight w:val="none"/>
                      <w:lang w:val="en-US" w:eastAsia="zh-CN"/>
                    </w:rPr>
                  </w:pPr>
                  <w:r>
                    <w:rPr>
                      <w:rFonts w:hint="eastAsia" w:ascii="Times New Roman" w:hAnsi="Times New Roman" w:cs="Times New Roman"/>
                      <w:snapToGrid w:val="0"/>
                      <w:color w:val="0000FF"/>
                      <w:kern w:val="0"/>
                      <w:sz w:val="21"/>
                      <w:szCs w:val="21"/>
                      <w:lang w:val="en-US" w:eastAsia="zh-CN" w:bidi="ar-SA"/>
                    </w:rPr>
                    <w:t>0.696</w:t>
                  </w:r>
                </w:p>
              </w:tc>
              <w:tc>
                <w:tcPr>
                  <w:tcW w:w="611" w:type="pct"/>
                  <w:tcBorders>
                    <w:tl2br w:val="nil"/>
                    <w:tr2bl w:val="nil"/>
                  </w:tcBorders>
                  <w:noWrap w:val="0"/>
                  <w:vAlign w:val="center"/>
                </w:tcPr>
                <w:p w14:paraId="4C0493E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0000FF"/>
                      <w:spacing w:val="-1"/>
                      <w:sz w:val="21"/>
                      <w:szCs w:val="21"/>
                      <w:highlight w:val="none"/>
                      <w:lang w:val="en-US" w:eastAsia="zh-CN"/>
                    </w:rPr>
                  </w:pPr>
                  <w:r>
                    <w:rPr>
                      <w:rFonts w:hint="eastAsia" w:ascii="Times New Roman" w:hAnsi="Times New Roman" w:cs="Times New Roman"/>
                      <w:color w:val="0000FF"/>
                      <w:spacing w:val="-1"/>
                      <w:sz w:val="21"/>
                      <w:szCs w:val="21"/>
                      <w:highlight w:val="none"/>
                      <w:lang w:val="en-US" w:eastAsia="zh-CN"/>
                    </w:rPr>
                    <w:t>/</w:t>
                  </w:r>
                </w:p>
              </w:tc>
              <w:tc>
                <w:tcPr>
                  <w:tcW w:w="654" w:type="pct"/>
                  <w:tcBorders>
                    <w:tl2br w:val="nil"/>
                    <w:tr2bl w:val="nil"/>
                  </w:tcBorders>
                  <w:shd w:val="clear" w:color="auto" w:fill="auto"/>
                  <w:noWrap w:val="0"/>
                  <w:vAlign w:val="center"/>
                </w:tcPr>
                <w:p w14:paraId="498DECF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0.16</w:t>
                  </w:r>
                </w:p>
              </w:tc>
              <w:tc>
                <w:tcPr>
                  <w:tcW w:w="639" w:type="pct"/>
                  <w:tcBorders>
                    <w:tl2br w:val="nil"/>
                    <w:tr2bl w:val="nil"/>
                  </w:tcBorders>
                  <w:shd w:val="clear" w:color="auto" w:fill="auto"/>
                  <w:noWrap w:val="0"/>
                  <w:vAlign w:val="center"/>
                </w:tcPr>
                <w:p w14:paraId="3171D94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0000FF"/>
                      <w:spacing w:val="-1"/>
                      <w:kern w:val="0"/>
                      <w:sz w:val="21"/>
                      <w:szCs w:val="21"/>
                      <w:highlight w:val="none"/>
                      <w:lang w:val="en-US" w:eastAsia="zh-CN" w:bidi="ar-SA"/>
                    </w:rPr>
                  </w:pPr>
                  <w:r>
                    <w:rPr>
                      <w:rFonts w:hint="eastAsia" w:ascii="Times New Roman" w:hAnsi="Times New Roman" w:cs="Times New Roman"/>
                      <w:snapToGrid w:val="0"/>
                      <w:color w:val="0000FF"/>
                      <w:kern w:val="0"/>
                      <w:sz w:val="21"/>
                      <w:szCs w:val="21"/>
                      <w:lang w:val="en-US" w:eastAsia="zh-CN" w:bidi="ar-SA"/>
                    </w:rPr>
                    <w:t>0.696</w:t>
                  </w:r>
                </w:p>
              </w:tc>
              <w:tc>
                <w:tcPr>
                  <w:tcW w:w="550" w:type="pct"/>
                  <w:tcBorders>
                    <w:tl2br w:val="nil"/>
                    <w:tr2bl w:val="nil"/>
                  </w:tcBorders>
                  <w:shd w:val="clear" w:color="auto" w:fill="auto"/>
                  <w:noWrap w:val="0"/>
                  <w:vAlign w:val="center"/>
                </w:tcPr>
                <w:p w14:paraId="60D9C8E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0000FF"/>
                      <w:spacing w:val="-1"/>
                      <w:kern w:val="0"/>
                      <w:sz w:val="21"/>
                      <w:szCs w:val="21"/>
                      <w:highlight w:val="none"/>
                      <w:lang w:val="en-US" w:eastAsia="zh-CN" w:bidi="ar-SA"/>
                    </w:rPr>
                  </w:pPr>
                  <w:r>
                    <w:rPr>
                      <w:rFonts w:hint="eastAsia" w:ascii="Times New Roman" w:hAnsi="Times New Roman" w:cs="Times New Roman"/>
                      <w:snapToGrid w:val="0"/>
                      <w:color w:val="0000FF"/>
                      <w:kern w:val="0"/>
                      <w:sz w:val="21"/>
                      <w:szCs w:val="21"/>
                      <w:lang w:val="en-US" w:eastAsia="zh-CN" w:bidi="ar-SA"/>
                    </w:rPr>
                    <w:t>+0.536</w:t>
                  </w:r>
                </w:p>
              </w:tc>
            </w:tr>
            <w:tr w14:paraId="26A265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vMerge w:val="continue"/>
                  <w:tcBorders>
                    <w:tl2br w:val="nil"/>
                    <w:tr2bl w:val="nil"/>
                  </w:tcBorders>
                  <w:noWrap w:val="0"/>
                  <w:vAlign w:val="center"/>
                </w:tcPr>
                <w:p w14:paraId="1D0FDF2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rPr>
                  </w:pPr>
                </w:p>
              </w:tc>
              <w:tc>
                <w:tcPr>
                  <w:tcW w:w="731" w:type="pct"/>
                  <w:tcBorders>
                    <w:tl2br w:val="nil"/>
                    <w:tr2bl w:val="nil"/>
                  </w:tcBorders>
                  <w:noWrap w:val="0"/>
                  <w:vAlign w:val="center"/>
                </w:tcPr>
                <w:p w14:paraId="0755A41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default" w:ascii="Times New Roman" w:hAnsi="Times New Roman" w:eastAsia="宋体" w:cs="Times New Roman"/>
                      <w:color w:val="auto"/>
                      <w:spacing w:val="-1"/>
                      <w:sz w:val="21"/>
                      <w:szCs w:val="21"/>
                      <w:highlight w:val="none"/>
                    </w:rPr>
                    <w:t>VOCs</w:t>
                  </w:r>
                </w:p>
              </w:tc>
              <w:tc>
                <w:tcPr>
                  <w:tcW w:w="666" w:type="pct"/>
                  <w:tcBorders>
                    <w:tl2br w:val="nil"/>
                    <w:tr2bl w:val="nil"/>
                  </w:tcBorders>
                  <w:noWrap w:val="0"/>
                  <w:vAlign w:val="center"/>
                </w:tcPr>
                <w:p w14:paraId="030634F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27" w:type="pct"/>
                  <w:tcBorders>
                    <w:tl2br w:val="nil"/>
                    <w:tr2bl w:val="nil"/>
                  </w:tcBorders>
                  <w:noWrap w:val="0"/>
                  <w:vAlign w:val="center"/>
                </w:tcPr>
                <w:p w14:paraId="64E8305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0.222</w:t>
                  </w:r>
                </w:p>
              </w:tc>
              <w:tc>
                <w:tcPr>
                  <w:tcW w:w="611" w:type="pct"/>
                  <w:tcBorders>
                    <w:tl2br w:val="nil"/>
                    <w:tr2bl w:val="nil"/>
                  </w:tcBorders>
                  <w:noWrap w:val="0"/>
                  <w:vAlign w:val="center"/>
                </w:tcPr>
                <w:p w14:paraId="5E3BFCC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54" w:type="pct"/>
                  <w:tcBorders>
                    <w:tl2br w:val="nil"/>
                    <w:tr2bl w:val="nil"/>
                  </w:tcBorders>
                  <w:noWrap w:val="0"/>
                  <w:vAlign w:val="center"/>
                </w:tcPr>
                <w:p w14:paraId="52D14EE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39" w:type="pct"/>
                  <w:tcBorders>
                    <w:tl2br w:val="nil"/>
                    <w:tr2bl w:val="nil"/>
                  </w:tcBorders>
                  <w:shd w:val="clear" w:color="auto" w:fill="auto"/>
                  <w:noWrap w:val="0"/>
                  <w:vAlign w:val="center"/>
                </w:tcPr>
                <w:p w14:paraId="35D1C85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snapToGrid w:val="0"/>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0.222</w:t>
                  </w:r>
                </w:p>
              </w:tc>
              <w:tc>
                <w:tcPr>
                  <w:tcW w:w="550" w:type="pct"/>
                  <w:tcBorders>
                    <w:tl2br w:val="nil"/>
                    <w:tr2bl w:val="nil"/>
                  </w:tcBorders>
                  <w:shd w:val="clear" w:color="auto" w:fill="auto"/>
                  <w:noWrap w:val="0"/>
                  <w:vAlign w:val="center"/>
                </w:tcPr>
                <w:p w14:paraId="31B152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snapToGrid w:val="0"/>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+0.222</w:t>
                  </w:r>
                </w:p>
              </w:tc>
            </w:tr>
            <w:tr w14:paraId="12E5FD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vMerge w:val="continue"/>
                  <w:tcBorders>
                    <w:tl2br w:val="nil"/>
                    <w:tr2bl w:val="nil"/>
                  </w:tcBorders>
                  <w:noWrap w:val="0"/>
                  <w:vAlign w:val="center"/>
                </w:tcPr>
                <w:p w14:paraId="4CDDCA9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rPr>
                  </w:pPr>
                </w:p>
              </w:tc>
              <w:tc>
                <w:tcPr>
                  <w:tcW w:w="731" w:type="pct"/>
                  <w:tcBorders>
                    <w:tl2br w:val="nil"/>
                    <w:tr2bl w:val="nil"/>
                  </w:tcBorders>
                  <w:noWrap w:val="0"/>
                  <w:vAlign w:val="center"/>
                </w:tcPr>
                <w:p w14:paraId="2ED72AA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甲醛</w:t>
                  </w:r>
                </w:p>
              </w:tc>
              <w:tc>
                <w:tcPr>
                  <w:tcW w:w="666" w:type="pct"/>
                  <w:tcBorders>
                    <w:tl2br w:val="nil"/>
                    <w:tr2bl w:val="nil"/>
                  </w:tcBorders>
                  <w:noWrap w:val="0"/>
                  <w:vAlign w:val="center"/>
                </w:tcPr>
                <w:p w14:paraId="21D0D3C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27" w:type="pct"/>
                  <w:tcBorders>
                    <w:tl2br w:val="nil"/>
                    <w:tr2bl w:val="nil"/>
                  </w:tcBorders>
                  <w:noWrap w:val="0"/>
                  <w:vAlign w:val="center"/>
                </w:tcPr>
                <w:p w14:paraId="3C6B12A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0.0559</w:t>
                  </w:r>
                </w:p>
              </w:tc>
              <w:tc>
                <w:tcPr>
                  <w:tcW w:w="611" w:type="pct"/>
                  <w:tcBorders>
                    <w:tl2br w:val="nil"/>
                    <w:tr2bl w:val="nil"/>
                  </w:tcBorders>
                  <w:noWrap w:val="0"/>
                  <w:vAlign w:val="center"/>
                </w:tcPr>
                <w:p w14:paraId="60EC8FC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54" w:type="pct"/>
                  <w:tcBorders>
                    <w:tl2br w:val="nil"/>
                    <w:tr2bl w:val="nil"/>
                  </w:tcBorders>
                  <w:noWrap w:val="0"/>
                  <w:vAlign w:val="center"/>
                </w:tcPr>
                <w:p w14:paraId="4B873A8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39" w:type="pct"/>
                  <w:tcBorders>
                    <w:tl2br w:val="nil"/>
                    <w:tr2bl w:val="nil"/>
                  </w:tcBorders>
                  <w:shd w:val="clear" w:color="auto" w:fill="auto"/>
                  <w:noWrap w:val="0"/>
                  <w:vAlign w:val="center"/>
                </w:tcPr>
                <w:p w14:paraId="102BB0E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snapToGrid w:val="0"/>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0.0559</w:t>
                  </w:r>
                </w:p>
              </w:tc>
              <w:tc>
                <w:tcPr>
                  <w:tcW w:w="550" w:type="pct"/>
                  <w:tcBorders>
                    <w:tl2br w:val="nil"/>
                    <w:tr2bl w:val="nil"/>
                  </w:tcBorders>
                  <w:shd w:val="clear" w:color="auto" w:fill="auto"/>
                  <w:noWrap w:val="0"/>
                  <w:vAlign w:val="center"/>
                </w:tcPr>
                <w:p w14:paraId="496A666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snapToGrid w:val="0"/>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+0.0559</w:t>
                  </w:r>
                </w:p>
              </w:tc>
            </w:tr>
            <w:tr w14:paraId="5BA5A2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vMerge w:val="continue"/>
                  <w:tcBorders>
                    <w:tl2br w:val="nil"/>
                    <w:tr2bl w:val="nil"/>
                  </w:tcBorders>
                  <w:noWrap w:val="0"/>
                  <w:vAlign w:val="center"/>
                </w:tcPr>
                <w:p w14:paraId="42976DE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rPr>
                  </w:pPr>
                </w:p>
              </w:tc>
              <w:tc>
                <w:tcPr>
                  <w:tcW w:w="731" w:type="pct"/>
                  <w:tcBorders>
                    <w:tl2br w:val="nil"/>
                    <w:tr2bl w:val="nil"/>
                  </w:tcBorders>
                  <w:noWrap w:val="0"/>
                  <w:vAlign w:val="center"/>
                </w:tcPr>
                <w:p w14:paraId="7AD977B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酚类</w:t>
                  </w:r>
                </w:p>
              </w:tc>
              <w:tc>
                <w:tcPr>
                  <w:tcW w:w="666" w:type="pct"/>
                  <w:tcBorders>
                    <w:tl2br w:val="nil"/>
                    <w:tr2bl w:val="nil"/>
                  </w:tcBorders>
                  <w:noWrap w:val="0"/>
                  <w:vAlign w:val="center"/>
                </w:tcPr>
                <w:p w14:paraId="493D0AA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27" w:type="pct"/>
                  <w:tcBorders>
                    <w:tl2br w:val="nil"/>
                    <w:tr2bl w:val="nil"/>
                  </w:tcBorders>
                  <w:noWrap w:val="0"/>
                  <w:vAlign w:val="center"/>
                </w:tcPr>
                <w:p w14:paraId="2A091A3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0.0101</w:t>
                  </w:r>
                </w:p>
              </w:tc>
              <w:tc>
                <w:tcPr>
                  <w:tcW w:w="611" w:type="pct"/>
                  <w:tcBorders>
                    <w:tl2br w:val="nil"/>
                    <w:tr2bl w:val="nil"/>
                  </w:tcBorders>
                  <w:noWrap w:val="0"/>
                  <w:vAlign w:val="center"/>
                </w:tcPr>
                <w:p w14:paraId="75E2795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54" w:type="pct"/>
                  <w:tcBorders>
                    <w:tl2br w:val="nil"/>
                    <w:tr2bl w:val="nil"/>
                  </w:tcBorders>
                  <w:noWrap w:val="0"/>
                  <w:vAlign w:val="center"/>
                </w:tcPr>
                <w:p w14:paraId="49906C6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39" w:type="pct"/>
                  <w:tcBorders>
                    <w:tl2br w:val="nil"/>
                    <w:tr2bl w:val="nil"/>
                  </w:tcBorders>
                  <w:shd w:val="clear" w:color="auto" w:fill="auto"/>
                  <w:noWrap w:val="0"/>
                  <w:vAlign w:val="center"/>
                </w:tcPr>
                <w:p w14:paraId="7DA21CF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snapToGrid w:val="0"/>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0.0101</w:t>
                  </w:r>
                </w:p>
              </w:tc>
              <w:tc>
                <w:tcPr>
                  <w:tcW w:w="550" w:type="pct"/>
                  <w:tcBorders>
                    <w:tl2br w:val="nil"/>
                    <w:tr2bl w:val="nil"/>
                  </w:tcBorders>
                  <w:shd w:val="clear" w:color="auto" w:fill="auto"/>
                  <w:noWrap w:val="0"/>
                  <w:vAlign w:val="center"/>
                </w:tcPr>
                <w:p w14:paraId="024C25E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snapToGrid w:val="0"/>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+0.0101</w:t>
                  </w:r>
                </w:p>
              </w:tc>
            </w:tr>
            <w:tr w14:paraId="28B5F6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vMerge w:val="restart"/>
                  <w:tcBorders>
                    <w:tl2br w:val="nil"/>
                    <w:tr2bl w:val="nil"/>
                  </w:tcBorders>
                  <w:noWrap w:val="0"/>
                  <w:vAlign w:val="center"/>
                </w:tcPr>
                <w:p w14:paraId="7F1C18C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rPr>
                  </w:pPr>
                  <w:r>
                    <w:rPr>
                      <w:rFonts w:hint="eastAsia" w:ascii="Times New Roman" w:hAnsi="Times New Roman" w:cs="Times New Roman"/>
                      <w:color w:val="auto"/>
                      <w:spacing w:val="-1"/>
                      <w:sz w:val="21"/>
                      <w:szCs w:val="21"/>
                      <w:highlight w:val="none"/>
                    </w:rPr>
                    <w:t>固体废物（产生量）</w:t>
                  </w:r>
                </w:p>
              </w:tc>
              <w:tc>
                <w:tcPr>
                  <w:tcW w:w="731" w:type="pct"/>
                  <w:tcBorders>
                    <w:tl2br w:val="nil"/>
                    <w:tr2bl w:val="nil"/>
                  </w:tcBorders>
                  <w:noWrap w:val="0"/>
                  <w:vAlign w:val="center"/>
                </w:tcPr>
                <w:p w14:paraId="293A355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rPr>
                  </w:pPr>
                  <w:r>
                    <w:rPr>
                      <w:rFonts w:hint="default" w:ascii="Times New Roman" w:hAnsi="Times New Roman" w:cs="Times New Roman"/>
                      <w:color w:val="auto"/>
                      <w:spacing w:val="-1"/>
                      <w:sz w:val="21"/>
                      <w:szCs w:val="21"/>
                      <w:highlight w:val="none"/>
                    </w:rPr>
                    <w:t>一般工业固废</w:t>
                  </w:r>
                </w:p>
              </w:tc>
              <w:tc>
                <w:tcPr>
                  <w:tcW w:w="666" w:type="pct"/>
                  <w:tcBorders>
                    <w:tl2br w:val="nil"/>
                    <w:tr2bl w:val="nil"/>
                  </w:tcBorders>
                  <w:noWrap w:val="0"/>
                  <w:vAlign w:val="center"/>
                </w:tcPr>
                <w:p w14:paraId="50695A2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616.84</w:t>
                  </w:r>
                </w:p>
              </w:tc>
              <w:tc>
                <w:tcPr>
                  <w:tcW w:w="627" w:type="pct"/>
                  <w:tcBorders>
                    <w:tl2br w:val="nil"/>
                    <w:tr2bl w:val="nil"/>
                  </w:tcBorders>
                  <w:noWrap w:val="0"/>
                  <w:vAlign w:val="center"/>
                </w:tcPr>
                <w:p w14:paraId="295B8F9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86.26</w:t>
                  </w:r>
                </w:p>
              </w:tc>
              <w:tc>
                <w:tcPr>
                  <w:tcW w:w="611" w:type="pct"/>
                  <w:tcBorders>
                    <w:tl2br w:val="nil"/>
                    <w:tr2bl w:val="nil"/>
                  </w:tcBorders>
                  <w:noWrap w:val="0"/>
                  <w:vAlign w:val="center"/>
                </w:tcPr>
                <w:p w14:paraId="2D1863A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54" w:type="pct"/>
                  <w:tcBorders>
                    <w:tl2br w:val="nil"/>
                    <w:tr2bl w:val="nil"/>
                  </w:tcBorders>
                  <w:noWrap w:val="0"/>
                  <w:vAlign w:val="center"/>
                </w:tcPr>
                <w:p w14:paraId="25A3145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202.84</w:t>
                  </w:r>
                </w:p>
              </w:tc>
              <w:tc>
                <w:tcPr>
                  <w:tcW w:w="639" w:type="pct"/>
                  <w:tcBorders>
                    <w:tl2br w:val="nil"/>
                    <w:tr2bl w:val="nil"/>
                  </w:tcBorders>
                  <w:noWrap w:val="0"/>
                  <w:vAlign w:val="center"/>
                </w:tcPr>
                <w:p w14:paraId="1C1BD3D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500.26</w:t>
                  </w:r>
                </w:p>
              </w:tc>
              <w:tc>
                <w:tcPr>
                  <w:tcW w:w="550" w:type="pct"/>
                  <w:tcBorders>
                    <w:tl2br w:val="nil"/>
                    <w:tr2bl w:val="nil"/>
                  </w:tcBorders>
                  <w:noWrap w:val="0"/>
                  <w:vAlign w:val="center"/>
                </w:tcPr>
                <w:p w14:paraId="78C1165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-116.58</w:t>
                  </w:r>
                </w:p>
              </w:tc>
            </w:tr>
            <w:tr w14:paraId="4F3C29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vMerge w:val="continue"/>
                  <w:tcBorders>
                    <w:tl2br w:val="nil"/>
                    <w:tr2bl w:val="nil"/>
                  </w:tcBorders>
                  <w:noWrap w:val="0"/>
                  <w:vAlign w:val="center"/>
                </w:tcPr>
                <w:p w14:paraId="6B109C0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rPr>
                  </w:pPr>
                </w:p>
              </w:tc>
              <w:tc>
                <w:tcPr>
                  <w:tcW w:w="731" w:type="pct"/>
                  <w:tcBorders>
                    <w:tl2br w:val="nil"/>
                    <w:tr2bl w:val="nil"/>
                  </w:tcBorders>
                  <w:noWrap w:val="0"/>
                  <w:vAlign w:val="center"/>
                </w:tcPr>
                <w:p w14:paraId="2E735B2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rPr>
                  </w:pPr>
                  <w:r>
                    <w:rPr>
                      <w:rFonts w:hint="eastAsia" w:ascii="Times New Roman" w:hAnsi="Times New Roman" w:cs="Times New Roman"/>
                      <w:color w:val="auto"/>
                      <w:spacing w:val="-1"/>
                      <w:sz w:val="21"/>
                      <w:szCs w:val="21"/>
                      <w:highlight w:val="none"/>
                      <w:lang w:eastAsia="zh-CN"/>
                    </w:rPr>
                    <w:t>危险废物</w:t>
                  </w:r>
                </w:p>
              </w:tc>
              <w:tc>
                <w:tcPr>
                  <w:tcW w:w="666" w:type="pct"/>
                  <w:tcBorders>
                    <w:tl2br w:val="nil"/>
                    <w:tr2bl w:val="nil"/>
                  </w:tcBorders>
                  <w:noWrap w:val="0"/>
                  <w:vAlign w:val="center"/>
                </w:tcPr>
                <w:p w14:paraId="387001A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0</w:t>
                  </w:r>
                </w:p>
              </w:tc>
              <w:tc>
                <w:tcPr>
                  <w:tcW w:w="627" w:type="pct"/>
                  <w:tcBorders>
                    <w:tl2br w:val="nil"/>
                    <w:tr2bl w:val="nil"/>
                  </w:tcBorders>
                  <w:noWrap w:val="0"/>
                  <w:vAlign w:val="center"/>
                </w:tcPr>
                <w:p w14:paraId="1626BFE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12.01</w:t>
                  </w:r>
                </w:p>
              </w:tc>
              <w:tc>
                <w:tcPr>
                  <w:tcW w:w="611" w:type="pct"/>
                  <w:tcBorders>
                    <w:tl2br w:val="nil"/>
                    <w:tr2bl w:val="nil"/>
                  </w:tcBorders>
                  <w:noWrap w:val="0"/>
                  <w:vAlign w:val="center"/>
                </w:tcPr>
                <w:p w14:paraId="4854EAE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54" w:type="pct"/>
                  <w:tcBorders>
                    <w:tl2br w:val="nil"/>
                    <w:tr2bl w:val="nil"/>
                  </w:tcBorders>
                  <w:noWrap w:val="0"/>
                  <w:vAlign w:val="center"/>
                </w:tcPr>
                <w:p w14:paraId="524DE6F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39" w:type="pct"/>
                  <w:tcBorders>
                    <w:tl2br w:val="nil"/>
                    <w:tr2bl w:val="nil"/>
                  </w:tcBorders>
                  <w:noWrap w:val="0"/>
                  <w:vAlign w:val="center"/>
                </w:tcPr>
                <w:p w14:paraId="5013C2B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12.01</w:t>
                  </w:r>
                </w:p>
              </w:tc>
              <w:tc>
                <w:tcPr>
                  <w:tcW w:w="550" w:type="pct"/>
                  <w:tcBorders>
                    <w:tl2br w:val="nil"/>
                    <w:tr2bl w:val="nil"/>
                  </w:tcBorders>
                  <w:noWrap w:val="0"/>
                  <w:vAlign w:val="center"/>
                </w:tcPr>
                <w:p w14:paraId="08A1077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+12.01</w:t>
                  </w:r>
                </w:p>
              </w:tc>
            </w:tr>
            <w:tr w14:paraId="7DD048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pct"/>
                  <w:vMerge w:val="continue"/>
                  <w:tcBorders>
                    <w:tl2br w:val="nil"/>
                    <w:tr2bl w:val="nil"/>
                  </w:tcBorders>
                  <w:noWrap w:val="0"/>
                  <w:vAlign w:val="center"/>
                </w:tcPr>
                <w:p w14:paraId="040F8D6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cs="Times New Roman"/>
                      <w:color w:val="auto"/>
                      <w:spacing w:val="-1"/>
                      <w:sz w:val="21"/>
                      <w:szCs w:val="21"/>
                      <w:highlight w:val="none"/>
                    </w:rPr>
                  </w:pPr>
                </w:p>
              </w:tc>
              <w:tc>
                <w:tcPr>
                  <w:tcW w:w="731" w:type="pct"/>
                  <w:tcBorders>
                    <w:tl2br w:val="nil"/>
                    <w:tr2bl w:val="nil"/>
                  </w:tcBorders>
                  <w:noWrap w:val="0"/>
                  <w:vAlign w:val="center"/>
                </w:tcPr>
                <w:p w14:paraId="4FC96C3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rPr>
                  </w:pPr>
                  <w:r>
                    <w:rPr>
                      <w:rFonts w:hint="eastAsia" w:ascii="Times New Roman" w:hAnsi="Times New Roman" w:cs="Times New Roman"/>
                      <w:color w:val="auto"/>
                      <w:spacing w:val="-1"/>
                      <w:sz w:val="21"/>
                      <w:szCs w:val="21"/>
                      <w:highlight w:val="none"/>
                      <w:lang w:eastAsia="zh-CN"/>
                    </w:rPr>
                    <w:t>生活垃圾</w:t>
                  </w:r>
                </w:p>
              </w:tc>
              <w:tc>
                <w:tcPr>
                  <w:tcW w:w="666" w:type="pct"/>
                  <w:tcBorders>
                    <w:tl2br w:val="nil"/>
                    <w:tr2bl w:val="nil"/>
                  </w:tcBorders>
                  <w:noWrap w:val="0"/>
                  <w:vAlign w:val="center"/>
                </w:tcPr>
                <w:p w14:paraId="516A4D2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rPr>
                    <w:t>t/a</w:t>
                  </w:r>
                </w:p>
              </w:tc>
              <w:tc>
                <w:tcPr>
                  <w:tcW w:w="627" w:type="pct"/>
                  <w:tcBorders>
                    <w:tl2br w:val="nil"/>
                    <w:tr2bl w:val="nil"/>
                  </w:tcBorders>
                  <w:noWrap w:val="0"/>
                  <w:vAlign w:val="center"/>
                </w:tcPr>
                <w:p w14:paraId="0DD0355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0</w:t>
                  </w:r>
                </w:p>
              </w:tc>
              <w:tc>
                <w:tcPr>
                  <w:tcW w:w="611" w:type="pct"/>
                  <w:tcBorders>
                    <w:tl2br w:val="nil"/>
                    <w:tr2bl w:val="nil"/>
                  </w:tcBorders>
                  <w:noWrap w:val="0"/>
                  <w:vAlign w:val="center"/>
                </w:tcPr>
                <w:p w14:paraId="081EE9F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54" w:type="pct"/>
                  <w:tcBorders>
                    <w:tl2br w:val="nil"/>
                    <w:tr2bl w:val="nil"/>
                  </w:tcBorders>
                  <w:noWrap w:val="0"/>
                  <w:vAlign w:val="center"/>
                </w:tcPr>
                <w:p w14:paraId="6F2CFFC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w:t>
                  </w:r>
                </w:p>
              </w:tc>
              <w:tc>
                <w:tcPr>
                  <w:tcW w:w="639" w:type="pct"/>
                  <w:tcBorders>
                    <w:tl2br w:val="nil"/>
                    <w:tr2bl w:val="nil"/>
                  </w:tcBorders>
                  <w:noWrap w:val="0"/>
                  <w:vAlign w:val="center"/>
                </w:tcPr>
                <w:p w14:paraId="5967A27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550" w:type="pct"/>
                  <w:tcBorders>
                    <w:tl2br w:val="nil"/>
                    <w:tr2bl w:val="nil"/>
                  </w:tcBorders>
                  <w:noWrap w:val="0"/>
                  <w:vAlign w:val="center"/>
                </w:tcPr>
                <w:p w14:paraId="51512E7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1"/>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0</w:t>
                  </w:r>
                </w:p>
              </w:tc>
            </w:tr>
          </w:tbl>
          <w:p w14:paraId="7483EC9B">
            <w:pPr>
              <w:pStyle w:val="14"/>
              <w:rPr>
                <w:rFonts w:hint="default"/>
                <w:color w:val="auto"/>
              </w:rPr>
            </w:pPr>
          </w:p>
        </w:tc>
      </w:tr>
    </w:tbl>
    <w:p w14:paraId="6B0DD682">
      <w:pPr>
        <w:spacing w:before="60" w:line="218" w:lineRule="auto"/>
        <w:ind w:left="2833"/>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pacing w:val="-2"/>
          <w:sz w:val="30"/>
          <w:szCs w:val="30"/>
        </w:rPr>
        <w:t>五、环境保护措施监督检查清单</w:t>
      </w:r>
    </w:p>
    <w:tbl>
      <w:tblPr>
        <w:tblStyle w:val="21"/>
        <w:tblW w:w="997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8"/>
        <w:gridCol w:w="1848"/>
        <w:gridCol w:w="1489"/>
        <w:gridCol w:w="2155"/>
        <w:gridCol w:w="3168"/>
      </w:tblGrid>
      <w:tr w14:paraId="1A0CD5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3" w:hRule="atLeast"/>
          <w:jc w:val="center"/>
        </w:trPr>
        <w:tc>
          <w:tcPr>
            <w:tcW w:w="1318" w:type="dxa"/>
            <w:tcBorders>
              <w:tl2br w:val="single" w:color="000000" w:sz="2" w:space="0"/>
            </w:tcBorders>
            <w:vAlign w:val="top"/>
          </w:tcPr>
          <w:p w14:paraId="7B8DEA9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850" w:firstLineChars="5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0"/>
                <w:position w:val="29"/>
                <w:sz w:val="21"/>
                <w:szCs w:val="21"/>
              </w:rPr>
              <w:t>内容</w:t>
            </w:r>
          </w:p>
          <w:p w14:paraId="3B79A03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要素</w:t>
            </w:r>
          </w:p>
        </w:tc>
        <w:tc>
          <w:tcPr>
            <w:tcW w:w="1848" w:type="dxa"/>
            <w:vAlign w:val="center"/>
          </w:tcPr>
          <w:p w14:paraId="78318CD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排放口(编号、</w:t>
            </w:r>
            <w:r>
              <w:rPr>
                <w:rFonts w:hint="default" w:ascii="Times New Roman" w:hAnsi="Times New Roman" w:eastAsia="宋体" w:cs="Times New Roman"/>
                <w:color w:val="auto"/>
                <w:spacing w:val="-2"/>
                <w:sz w:val="21"/>
                <w:szCs w:val="21"/>
              </w:rPr>
              <w:t>名称)/污染源</w:t>
            </w:r>
          </w:p>
        </w:tc>
        <w:tc>
          <w:tcPr>
            <w:tcW w:w="1489" w:type="dxa"/>
            <w:vAlign w:val="center"/>
          </w:tcPr>
          <w:p w14:paraId="080AECD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污染物项目</w:t>
            </w:r>
          </w:p>
        </w:tc>
        <w:tc>
          <w:tcPr>
            <w:tcW w:w="2155" w:type="dxa"/>
            <w:vAlign w:val="center"/>
          </w:tcPr>
          <w:p w14:paraId="1EB3CFE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环境保护措施</w:t>
            </w:r>
          </w:p>
        </w:tc>
        <w:tc>
          <w:tcPr>
            <w:tcW w:w="3168" w:type="dxa"/>
            <w:vAlign w:val="center"/>
          </w:tcPr>
          <w:p w14:paraId="3D718FD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执行标准</w:t>
            </w:r>
          </w:p>
        </w:tc>
      </w:tr>
      <w:tr w14:paraId="277D39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9" w:hRule="atLeast"/>
          <w:jc w:val="center"/>
        </w:trPr>
        <w:tc>
          <w:tcPr>
            <w:tcW w:w="1318" w:type="dxa"/>
            <w:vMerge w:val="restart"/>
            <w:vAlign w:val="center"/>
          </w:tcPr>
          <w:p w14:paraId="45A8866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大气</w:t>
            </w:r>
          </w:p>
          <w:p w14:paraId="0AEA3DA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环境</w:t>
            </w:r>
          </w:p>
        </w:tc>
        <w:tc>
          <w:tcPr>
            <w:tcW w:w="1848" w:type="dxa"/>
            <w:vAlign w:val="center"/>
          </w:tcPr>
          <w:p w14:paraId="07955B6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DA001排气筒</w:t>
            </w:r>
          </w:p>
        </w:tc>
        <w:tc>
          <w:tcPr>
            <w:tcW w:w="1489" w:type="dxa"/>
            <w:vAlign w:val="center"/>
          </w:tcPr>
          <w:p w14:paraId="5EBDD68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zh-CN" w:bidi="ar-SA"/>
              </w:rPr>
            </w:pPr>
            <w:r>
              <w:rPr>
                <w:rFonts w:hint="default" w:ascii="Times New Roman" w:hAnsi="Times New Roman" w:eastAsia="宋体" w:cs="Times New Roman"/>
                <w:snapToGrid w:val="0"/>
                <w:color w:val="auto"/>
                <w:spacing w:val="-1"/>
                <w:kern w:val="0"/>
                <w:sz w:val="21"/>
                <w:szCs w:val="21"/>
                <w:lang w:val="en-US" w:eastAsia="en-US" w:bidi="ar-SA"/>
              </w:rPr>
              <w:t>VOCs</w:t>
            </w:r>
            <w:r>
              <w:rPr>
                <w:rFonts w:hint="eastAsia" w:ascii="Times New Roman" w:hAnsi="Times New Roman" w:eastAsia="宋体" w:cs="Times New Roman"/>
                <w:snapToGrid w:val="0"/>
                <w:color w:val="auto"/>
                <w:spacing w:val="-1"/>
                <w:kern w:val="0"/>
                <w:sz w:val="21"/>
                <w:szCs w:val="21"/>
                <w:lang w:val="en-US" w:eastAsia="zh-CN" w:bidi="ar-SA"/>
              </w:rPr>
              <w:t>、颗粒物、苯乙烯</w:t>
            </w:r>
            <w:r>
              <w:rPr>
                <w:rFonts w:hint="eastAsia" w:ascii="Times New Roman" w:hAnsi="Times New Roman" w:cs="Times New Roman"/>
                <w:snapToGrid w:val="0"/>
                <w:color w:val="auto"/>
                <w:spacing w:val="-1"/>
                <w:kern w:val="0"/>
                <w:sz w:val="21"/>
                <w:szCs w:val="21"/>
                <w:lang w:val="en-US" w:eastAsia="zh-CN" w:bidi="ar-SA"/>
              </w:rPr>
              <w:t>、</w:t>
            </w:r>
            <w:r>
              <w:rPr>
                <w:rFonts w:hint="eastAsia" w:ascii="Times New Roman" w:hAnsi="Times New Roman" w:eastAsia="宋体" w:cs="Times New Roman"/>
                <w:snapToGrid w:val="0"/>
                <w:color w:val="auto"/>
                <w:spacing w:val="-1"/>
                <w:kern w:val="0"/>
                <w:sz w:val="21"/>
                <w:szCs w:val="21"/>
                <w:lang w:val="en-US" w:eastAsia="zh-CN" w:bidi="ar-SA"/>
              </w:rPr>
              <w:t>臭气浓度</w:t>
            </w:r>
            <w:r>
              <w:rPr>
                <w:rFonts w:hint="eastAsia" w:ascii="Times New Roman" w:hAnsi="Times New Roman" w:cs="Times New Roman"/>
                <w:snapToGrid w:val="0"/>
                <w:color w:val="auto"/>
                <w:spacing w:val="-1"/>
                <w:kern w:val="0"/>
                <w:sz w:val="21"/>
                <w:szCs w:val="21"/>
                <w:lang w:val="en-US" w:eastAsia="zh-CN" w:bidi="ar-SA"/>
              </w:rPr>
              <w:t>、甲醛、酚类</w:t>
            </w:r>
          </w:p>
        </w:tc>
        <w:tc>
          <w:tcPr>
            <w:tcW w:w="2155" w:type="dxa"/>
            <w:vAlign w:val="center"/>
          </w:tcPr>
          <w:p w14:paraId="708571A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en-US" w:bidi="ar-SA"/>
              </w:rPr>
            </w:pPr>
            <w:r>
              <w:rPr>
                <w:rFonts w:hint="default" w:ascii="Times New Roman" w:hAnsi="Times New Roman" w:eastAsia="宋体" w:cs="Times New Roman"/>
                <w:snapToGrid w:val="0"/>
                <w:color w:val="auto"/>
                <w:spacing w:val="-1"/>
                <w:kern w:val="0"/>
                <w:sz w:val="21"/>
                <w:szCs w:val="21"/>
                <w:lang w:val="en-US" w:eastAsia="en-US" w:bidi="ar-SA"/>
              </w:rPr>
              <w:t>集气罩+二级活性炭吸附装置+15m高排气筒</w:t>
            </w:r>
          </w:p>
        </w:tc>
        <w:tc>
          <w:tcPr>
            <w:tcW w:w="3168" w:type="dxa"/>
            <w:vMerge w:val="restart"/>
            <w:vAlign w:val="center"/>
          </w:tcPr>
          <w:p w14:paraId="4FA218C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3"/>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表2排放限值</w:t>
            </w:r>
            <w:r>
              <w:rPr>
                <w:rFonts w:hint="default" w:ascii="Times New Roman" w:hAnsi="Times New Roman" w:eastAsia="宋体" w:cs="Times New Roman"/>
                <w:color w:val="auto"/>
                <w:spacing w:val="-2"/>
                <w:sz w:val="21"/>
                <w:szCs w:val="21"/>
              </w:rPr>
              <w:t>要求</w:t>
            </w:r>
            <w:r>
              <w:rPr>
                <w:rFonts w:hint="eastAsia" w:ascii="Times New Roman" w:hAnsi="Times New Roman" w:cs="Times New Roman"/>
                <w:color w:val="auto"/>
                <w:spacing w:val="-2"/>
                <w:sz w:val="21"/>
                <w:szCs w:val="21"/>
                <w:lang w:eastAsia="zh-CN"/>
              </w:rPr>
              <w:t>、《区域性大气污染物综合排放标准》（DB37/2376-2019）表1“重点控制区”排放浓度限值、</w:t>
            </w:r>
            <w:r>
              <w:rPr>
                <w:rFonts w:hint="eastAsia" w:ascii="Times New Roman" w:hAnsi="Times New Roman" w:cs="Times New Roman"/>
                <w:color w:val="auto"/>
                <w:sz w:val="21"/>
                <w:szCs w:val="21"/>
                <w:lang w:val="en-US" w:eastAsia="zh-CN"/>
              </w:rPr>
              <w:t>《恶臭污染物排放标准》（GB14554-93）、</w:t>
            </w:r>
            <w:r>
              <w:rPr>
                <w:rFonts w:hint="default" w:ascii="Times New Roman" w:hAnsi="Times New Roman" w:eastAsia="宋体" w:cs="Times New Roman"/>
                <w:color w:val="auto"/>
                <w:sz w:val="21"/>
                <w:szCs w:val="21"/>
                <w:lang w:val="en-US" w:eastAsia="zh-CN"/>
              </w:rPr>
              <w:t>《大气污染物综合排放标准》（GB16297-1996）表2</w:t>
            </w:r>
          </w:p>
        </w:tc>
      </w:tr>
      <w:tr w14:paraId="1F54DD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9" w:hRule="atLeast"/>
          <w:jc w:val="center"/>
        </w:trPr>
        <w:tc>
          <w:tcPr>
            <w:tcW w:w="1318" w:type="dxa"/>
            <w:vMerge w:val="continue"/>
            <w:vAlign w:val="center"/>
          </w:tcPr>
          <w:p w14:paraId="6754423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rPr>
            </w:pPr>
          </w:p>
        </w:tc>
        <w:tc>
          <w:tcPr>
            <w:tcW w:w="1848" w:type="dxa"/>
            <w:vAlign w:val="center"/>
          </w:tcPr>
          <w:p w14:paraId="40B4481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2</w:t>
            </w:r>
            <w:r>
              <w:rPr>
                <w:rFonts w:hint="default" w:ascii="Times New Roman" w:hAnsi="Times New Roman" w:eastAsia="宋体" w:cs="Times New Roman"/>
                <w:color w:val="auto"/>
                <w:spacing w:val="-1"/>
                <w:sz w:val="21"/>
                <w:szCs w:val="21"/>
              </w:rPr>
              <w:t>排气筒</w:t>
            </w:r>
          </w:p>
        </w:tc>
        <w:tc>
          <w:tcPr>
            <w:tcW w:w="1489" w:type="dxa"/>
            <w:shd w:val="clear" w:color="auto" w:fill="auto"/>
            <w:vAlign w:val="center"/>
          </w:tcPr>
          <w:p w14:paraId="5F3020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zh-CN" w:bidi="ar-SA"/>
              </w:rPr>
            </w:pPr>
            <w:r>
              <w:rPr>
                <w:rFonts w:hint="default" w:ascii="Times New Roman" w:hAnsi="Times New Roman" w:eastAsia="宋体" w:cs="Times New Roman"/>
                <w:snapToGrid w:val="0"/>
                <w:color w:val="auto"/>
                <w:spacing w:val="-1"/>
                <w:kern w:val="0"/>
                <w:sz w:val="21"/>
                <w:szCs w:val="21"/>
                <w:lang w:val="en-US" w:eastAsia="en-US" w:bidi="ar-SA"/>
              </w:rPr>
              <w:t>VOCs</w:t>
            </w:r>
            <w:r>
              <w:rPr>
                <w:rFonts w:hint="eastAsia" w:ascii="Times New Roman" w:hAnsi="Times New Roman" w:eastAsia="宋体" w:cs="Times New Roman"/>
                <w:snapToGrid w:val="0"/>
                <w:color w:val="auto"/>
                <w:spacing w:val="-1"/>
                <w:kern w:val="0"/>
                <w:sz w:val="21"/>
                <w:szCs w:val="21"/>
                <w:lang w:val="en-US" w:eastAsia="zh-CN" w:bidi="ar-SA"/>
              </w:rPr>
              <w:t>、颗粒物、苯乙烯</w:t>
            </w:r>
            <w:r>
              <w:rPr>
                <w:rFonts w:hint="eastAsia" w:ascii="Times New Roman" w:hAnsi="Times New Roman" w:cs="Times New Roman"/>
                <w:snapToGrid w:val="0"/>
                <w:color w:val="auto"/>
                <w:spacing w:val="-1"/>
                <w:kern w:val="0"/>
                <w:sz w:val="21"/>
                <w:szCs w:val="21"/>
                <w:lang w:val="en-US" w:eastAsia="zh-CN" w:bidi="ar-SA"/>
              </w:rPr>
              <w:t>、</w:t>
            </w:r>
            <w:r>
              <w:rPr>
                <w:rFonts w:hint="eastAsia" w:ascii="Times New Roman" w:hAnsi="Times New Roman" w:eastAsia="宋体" w:cs="Times New Roman"/>
                <w:snapToGrid w:val="0"/>
                <w:color w:val="auto"/>
                <w:spacing w:val="-1"/>
                <w:kern w:val="0"/>
                <w:sz w:val="21"/>
                <w:szCs w:val="21"/>
                <w:lang w:val="en-US" w:eastAsia="zh-CN" w:bidi="ar-SA"/>
              </w:rPr>
              <w:t>臭气浓度</w:t>
            </w:r>
            <w:r>
              <w:rPr>
                <w:rFonts w:hint="eastAsia" w:ascii="Times New Roman" w:hAnsi="Times New Roman" w:cs="Times New Roman"/>
                <w:snapToGrid w:val="0"/>
                <w:color w:val="auto"/>
                <w:spacing w:val="-1"/>
                <w:kern w:val="0"/>
                <w:sz w:val="21"/>
                <w:szCs w:val="21"/>
                <w:lang w:val="en-US" w:eastAsia="zh-CN" w:bidi="ar-SA"/>
              </w:rPr>
              <w:t>、甲醛、酚类</w:t>
            </w:r>
          </w:p>
        </w:tc>
        <w:tc>
          <w:tcPr>
            <w:tcW w:w="2155" w:type="dxa"/>
            <w:vAlign w:val="center"/>
          </w:tcPr>
          <w:p w14:paraId="7204432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集气罩+二级活性炭吸附装置+15m</w:t>
            </w:r>
            <w:r>
              <w:rPr>
                <w:rFonts w:hint="default" w:ascii="Times New Roman" w:hAnsi="Times New Roman" w:eastAsia="宋体" w:cs="Times New Roman"/>
                <w:color w:val="auto"/>
                <w:spacing w:val="-3"/>
                <w:sz w:val="21"/>
                <w:szCs w:val="21"/>
              </w:rPr>
              <w:t>高排气筒</w:t>
            </w:r>
          </w:p>
        </w:tc>
        <w:tc>
          <w:tcPr>
            <w:tcW w:w="3168" w:type="dxa"/>
            <w:vMerge w:val="continue"/>
            <w:vAlign w:val="center"/>
          </w:tcPr>
          <w:p w14:paraId="426D78F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pacing w:val="-2"/>
                <w:sz w:val="21"/>
                <w:szCs w:val="21"/>
                <w:lang w:eastAsia="zh-CN"/>
              </w:rPr>
            </w:pPr>
          </w:p>
        </w:tc>
      </w:tr>
      <w:tr w14:paraId="259247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9" w:hRule="atLeast"/>
          <w:jc w:val="center"/>
        </w:trPr>
        <w:tc>
          <w:tcPr>
            <w:tcW w:w="1318" w:type="dxa"/>
            <w:vMerge w:val="continue"/>
            <w:vAlign w:val="center"/>
          </w:tcPr>
          <w:p w14:paraId="3C4B45F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rPr>
            </w:pPr>
          </w:p>
        </w:tc>
        <w:tc>
          <w:tcPr>
            <w:tcW w:w="1848" w:type="dxa"/>
            <w:shd w:val="clear" w:color="auto" w:fill="auto"/>
            <w:vAlign w:val="center"/>
          </w:tcPr>
          <w:p w14:paraId="33AB9F0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en-US" w:bidi="ar-SA"/>
              </w:rPr>
            </w:pPr>
            <w:r>
              <w:rPr>
                <w:rFonts w:hint="default" w:ascii="Times New Roman" w:hAnsi="Times New Roman" w:eastAsia="宋体" w:cs="Times New Roman"/>
                <w:color w:val="auto"/>
                <w:spacing w:val="-1"/>
                <w:sz w:val="21"/>
                <w:szCs w:val="21"/>
              </w:rPr>
              <w:t>DA00</w:t>
            </w:r>
            <w:r>
              <w:rPr>
                <w:rFonts w:hint="eastAsia" w:ascii="Times New Roman" w:hAnsi="Times New Roman" w:cs="Times New Roman"/>
                <w:color w:val="auto"/>
                <w:spacing w:val="-1"/>
                <w:sz w:val="21"/>
                <w:szCs w:val="21"/>
                <w:lang w:val="en-US" w:eastAsia="zh-CN"/>
              </w:rPr>
              <w:t>3</w:t>
            </w:r>
            <w:r>
              <w:rPr>
                <w:rFonts w:hint="default" w:ascii="Times New Roman" w:hAnsi="Times New Roman" w:eastAsia="宋体" w:cs="Times New Roman"/>
                <w:color w:val="auto"/>
                <w:spacing w:val="-1"/>
                <w:sz w:val="21"/>
                <w:szCs w:val="21"/>
              </w:rPr>
              <w:t>排气筒</w:t>
            </w:r>
          </w:p>
        </w:tc>
        <w:tc>
          <w:tcPr>
            <w:tcW w:w="1489" w:type="dxa"/>
            <w:shd w:val="clear" w:color="auto" w:fill="auto"/>
            <w:vAlign w:val="center"/>
          </w:tcPr>
          <w:p w14:paraId="4F89A7A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1"/>
                <w:kern w:val="0"/>
                <w:sz w:val="21"/>
                <w:szCs w:val="21"/>
                <w:lang w:val="en-US" w:eastAsia="en-US" w:bidi="ar-SA"/>
              </w:rPr>
            </w:pPr>
            <w:r>
              <w:rPr>
                <w:rFonts w:hint="default" w:ascii="Times New Roman" w:hAnsi="Times New Roman" w:eastAsia="宋体" w:cs="Times New Roman"/>
                <w:snapToGrid w:val="0"/>
                <w:color w:val="auto"/>
                <w:spacing w:val="-1"/>
                <w:kern w:val="0"/>
                <w:sz w:val="21"/>
                <w:szCs w:val="21"/>
                <w:lang w:val="en-US" w:eastAsia="en-US" w:bidi="ar-SA"/>
              </w:rPr>
              <w:t>VOCs</w:t>
            </w:r>
            <w:r>
              <w:rPr>
                <w:rFonts w:hint="eastAsia" w:ascii="Times New Roman" w:hAnsi="Times New Roman" w:eastAsia="宋体" w:cs="Times New Roman"/>
                <w:snapToGrid w:val="0"/>
                <w:color w:val="auto"/>
                <w:spacing w:val="-1"/>
                <w:kern w:val="0"/>
                <w:sz w:val="21"/>
                <w:szCs w:val="21"/>
                <w:lang w:val="en-US" w:eastAsia="zh-CN" w:bidi="ar-SA"/>
              </w:rPr>
              <w:t>、颗粒物、苯乙烯 臭气浓度</w:t>
            </w:r>
            <w:r>
              <w:rPr>
                <w:rFonts w:hint="eastAsia" w:ascii="Times New Roman" w:hAnsi="Times New Roman" w:cs="Times New Roman"/>
                <w:snapToGrid w:val="0"/>
                <w:color w:val="auto"/>
                <w:spacing w:val="-1"/>
                <w:kern w:val="0"/>
                <w:sz w:val="21"/>
                <w:szCs w:val="21"/>
                <w:lang w:val="en-US" w:eastAsia="zh-CN" w:bidi="ar-SA"/>
              </w:rPr>
              <w:t>、甲醛、酚类</w:t>
            </w:r>
          </w:p>
        </w:tc>
        <w:tc>
          <w:tcPr>
            <w:tcW w:w="2155" w:type="dxa"/>
            <w:vAlign w:val="center"/>
          </w:tcPr>
          <w:p w14:paraId="1FD93BE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集气罩+二级活性炭吸附装置+15m</w:t>
            </w:r>
            <w:r>
              <w:rPr>
                <w:rFonts w:hint="default" w:ascii="Times New Roman" w:hAnsi="Times New Roman" w:eastAsia="宋体" w:cs="Times New Roman"/>
                <w:color w:val="auto"/>
                <w:spacing w:val="-3"/>
                <w:sz w:val="21"/>
                <w:szCs w:val="21"/>
              </w:rPr>
              <w:t>高排气筒</w:t>
            </w:r>
          </w:p>
        </w:tc>
        <w:tc>
          <w:tcPr>
            <w:tcW w:w="3168" w:type="dxa"/>
            <w:vMerge w:val="continue"/>
            <w:vAlign w:val="center"/>
          </w:tcPr>
          <w:p w14:paraId="379C4EF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pacing w:val="-3"/>
                <w:sz w:val="21"/>
                <w:szCs w:val="21"/>
                <w:lang w:eastAsia="zh-CN"/>
              </w:rPr>
            </w:pPr>
          </w:p>
        </w:tc>
      </w:tr>
      <w:tr w14:paraId="44C5FF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0" w:hRule="atLeast"/>
          <w:jc w:val="center"/>
        </w:trPr>
        <w:tc>
          <w:tcPr>
            <w:tcW w:w="1318" w:type="dxa"/>
            <w:vMerge w:val="continue"/>
            <w:vAlign w:val="center"/>
          </w:tcPr>
          <w:p w14:paraId="1FBD6F0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p>
        </w:tc>
        <w:tc>
          <w:tcPr>
            <w:tcW w:w="1848" w:type="dxa"/>
            <w:vAlign w:val="center"/>
          </w:tcPr>
          <w:p w14:paraId="1FF5598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厂界</w:t>
            </w:r>
          </w:p>
        </w:tc>
        <w:tc>
          <w:tcPr>
            <w:tcW w:w="1489" w:type="dxa"/>
            <w:vAlign w:val="center"/>
          </w:tcPr>
          <w:p w14:paraId="4EB6FF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
                <w:sz w:val="21"/>
                <w:szCs w:val="21"/>
              </w:rPr>
              <w:t>VOCs</w:t>
            </w:r>
            <w:r>
              <w:rPr>
                <w:rFonts w:hint="eastAsia" w:ascii="Times New Roman" w:hAnsi="Times New Roman" w:cs="Times New Roman"/>
                <w:color w:val="auto"/>
                <w:spacing w:val="-1"/>
                <w:sz w:val="21"/>
                <w:szCs w:val="21"/>
                <w:lang w:eastAsia="zh-CN"/>
              </w:rPr>
              <w:t>、</w:t>
            </w:r>
            <w:r>
              <w:rPr>
                <w:rFonts w:hint="eastAsia" w:ascii="Times New Roman" w:hAnsi="Times New Roman" w:cs="Times New Roman"/>
                <w:color w:val="auto"/>
                <w:spacing w:val="-1"/>
                <w:sz w:val="21"/>
                <w:szCs w:val="21"/>
                <w:lang w:val="en-US" w:eastAsia="zh-CN"/>
              </w:rPr>
              <w:t>颗粒物</w:t>
            </w:r>
            <w:r>
              <w:rPr>
                <w:rFonts w:hint="eastAsia" w:ascii="Times New Roman" w:hAnsi="Times New Roman" w:cs="Times New Roman"/>
                <w:snapToGrid w:val="0"/>
                <w:color w:val="auto"/>
                <w:spacing w:val="-1"/>
                <w:kern w:val="0"/>
                <w:sz w:val="21"/>
                <w:szCs w:val="21"/>
                <w:lang w:val="en-US" w:eastAsia="zh-CN" w:bidi="ar-SA"/>
              </w:rPr>
              <w:t>、甲醛、酚类</w:t>
            </w:r>
          </w:p>
        </w:tc>
        <w:tc>
          <w:tcPr>
            <w:tcW w:w="2155" w:type="dxa"/>
            <w:vAlign w:val="center"/>
          </w:tcPr>
          <w:p w14:paraId="732F6AB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车间密闭</w:t>
            </w:r>
          </w:p>
        </w:tc>
        <w:tc>
          <w:tcPr>
            <w:tcW w:w="3168" w:type="dxa"/>
            <w:vAlign w:val="center"/>
          </w:tcPr>
          <w:p w14:paraId="39D990C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3"/>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w:t>
            </w:r>
            <w:r>
              <w:rPr>
                <w:rFonts w:hint="eastAsia" w:ascii="Times New Roman" w:hAnsi="Times New Roman" w:cs="Times New Roman"/>
                <w:color w:val="auto"/>
                <w:spacing w:val="-2"/>
                <w:sz w:val="21"/>
                <w:szCs w:val="21"/>
                <w:lang w:val="en-US" w:eastAsia="zh-CN"/>
              </w:rPr>
              <w:t>2、表</w:t>
            </w:r>
            <w:r>
              <w:rPr>
                <w:rFonts w:hint="default" w:ascii="Times New Roman" w:hAnsi="Times New Roman" w:cs="Times New Roman"/>
                <w:color w:val="auto"/>
                <w:spacing w:val="-2"/>
                <w:sz w:val="21"/>
                <w:szCs w:val="21"/>
                <w:lang w:eastAsia="zh-CN"/>
              </w:rPr>
              <w:t>3厂界无组织排放限值</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z w:val="21"/>
                <w:szCs w:val="21"/>
                <w:lang w:val="en-US" w:eastAsia="zh-CN"/>
              </w:rPr>
              <w:t>《大气污染物综合排放标准》（GB16297-1996）表2</w:t>
            </w:r>
            <w:r>
              <w:rPr>
                <w:rFonts w:hint="default" w:ascii="Times New Roman" w:hAnsi="Times New Roman" w:cs="Times New Roman"/>
                <w:color w:val="auto"/>
                <w:spacing w:val="-2"/>
                <w:sz w:val="21"/>
                <w:szCs w:val="21"/>
                <w:lang w:eastAsia="zh-CN"/>
              </w:rPr>
              <w:t>排放限值</w:t>
            </w:r>
          </w:p>
        </w:tc>
      </w:tr>
      <w:tr w14:paraId="7D38AC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318" w:type="dxa"/>
            <w:vMerge w:val="continue"/>
            <w:vAlign w:val="center"/>
          </w:tcPr>
          <w:p w14:paraId="7231D6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p>
        </w:tc>
        <w:tc>
          <w:tcPr>
            <w:tcW w:w="1848" w:type="dxa"/>
            <w:vMerge w:val="restart"/>
            <w:vAlign w:val="center"/>
          </w:tcPr>
          <w:p w14:paraId="5EFF431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厂房外</w:t>
            </w:r>
          </w:p>
        </w:tc>
        <w:tc>
          <w:tcPr>
            <w:tcW w:w="1489" w:type="dxa"/>
            <w:vAlign w:val="center"/>
          </w:tcPr>
          <w:p w14:paraId="515E48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VOCs</w:t>
            </w:r>
          </w:p>
        </w:tc>
        <w:tc>
          <w:tcPr>
            <w:tcW w:w="2155" w:type="dxa"/>
            <w:vMerge w:val="restart"/>
            <w:vAlign w:val="center"/>
          </w:tcPr>
          <w:p w14:paraId="69C42E9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车间密闭</w:t>
            </w:r>
          </w:p>
        </w:tc>
        <w:tc>
          <w:tcPr>
            <w:tcW w:w="3168" w:type="dxa"/>
            <w:vMerge w:val="restart"/>
            <w:vAlign w:val="center"/>
          </w:tcPr>
          <w:p w14:paraId="383EEB1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pacing w:val="-3"/>
                <w:sz w:val="21"/>
                <w:szCs w:val="21"/>
                <w:lang w:eastAsia="zh-CN"/>
              </w:rPr>
            </w:pPr>
            <w:r>
              <w:rPr>
                <w:rFonts w:hint="default" w:ascii="Times New Roman" w:hAnsi="Times New Roman" w:eastAsia="宋体" w:cs="Times New Roman"/>
                <w:snapToGrid w:val="0"/>
                <w:color w:val="auto"/>
                <w:spacing w:val="-6"/>
                <w:kern w:val="0"/>
                <w:sz w:val="21"/>
                <w:szCs w:val="21"/>
                <w:lang w:val="en-US" w:eastAsia="zh-CN" w:bidi="ar-SA"/>
              </w:rPr>
              <w:t>《</w:t>
            </w:r>
            <w:r>
              <w:rPr>
                <w:rFonts w:hint="eastAsia" w:ascii="Times New Roman" w:hAnsi="Times New Roman" w:eastAsia="宋体" w:cs="Times New Roman"/>
                <w:snapToGrid w:val="0"/>
                <w:color w:val="auto"/>
                <w:spacing w:val="-6"/>
                <w:kern w:val="0"/>
                <w:sz w:val="21"/>
                <w:szCs w:val="21"/>
                <w:lang w:val="en-US" w:eastAsia="zh-CN" w:bidi="ar-SA"/>
              </w:rPr>
              <w:t>铸</w:t>
            </w:r>
            <w:r>
              <w:rPr>
                <w:rFonts w:hint="eastAsia" w:ascii="Times New Roman" w:hAnsi="Times New Roman" w:cs="Times New Roman"/>
                <w:color w:val="auto"/>
                <w:sz w:val="21"/>
                <w:szCs w:val="21"/>
                <w:lang w:val="en-US" w:eastAsia="zh-CN"/>
              </w:rPr>
              <w:t>造工业大气污染物排放标准</w:t>
            </w:r>
            <w:r>
              <w:rPr>
                <w:rFonts w:hint="default"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val="en-US" w:eastAsia="zh-CN"/>
              </w:rPr>
              <w:t>GB39726-2020</w:t>
            </w:r>
            <w:r>
              <w:rPr>
                <w:rFonts w:hint="default" w:ascii="Times New Roman" w:hAnsi="Times New Roman" w:cs="Times New Roman"/>
                <w:color w:val="auto"/>
                <w:sz w:val="21"/>
                <w:szCs w:val="21"/>
                <w:lang w:val="en-US" w:eastAsia="zh-CN"/>
              </w:rPr>
              <w:t>）附录A</w:t>
            </w:r>
          </w:p>
        </w:tc>
      </w:tr>
      <w:tr w14:paraId="5791D7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318" w:type="dxa"/>
            <w:vMerge w:val="continue"/>
            <w:vAlign w:val="center"/>
          </w:tcPr>
          <w:p w14:paraId="2FDEE1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p>
        </w:tc>
        <w:tc>
          <w:tcPr>
            <w:tcW w:w="1848" w:type="dxa"/>
            <w:vMerge w:val="continue"/>
            <w:vAlign w:val="center"/>
          </w:tcPr>
          <w:p w14:paraId="415E14B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pacing w:val="-4"/>
                <w:sz w:val="21"/>
                <w:szCs w:val="21"/>
                <w:lang w:val="en-US" w:eastAsia="zh-CN"/>
              </w:rPr>
            </w:pPr>
          </w:p>
        </w:tc>
        <w:tc>
          <w:tcPr>
            <w:tcW w:w="1489" w:type="dxa"/>
            <w:vAlign w:val="center"/>
          </w:tcPr>
          <w:p w14:paraId="7BA6F0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颗粒物</w:t>
            </w:r>
          </w:p>
        </w:tc>
        <w:tc>
          <w:tcPr>
            <w:tcW w:w="2155" w:type="dxa"/>
            <w:vMerge w:val="continue"/>
            <w:vAlign w:val="center"/>
          </w:tcPr>
          <w:p w14:paraId="6313BF5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rPr>
            </w:pPr>
          </w:p>
        </w:tc>
        <w:tc>
          <w:tcPr>
            <w:tcW w:w="3168" w:type="dxa"/>
            <w:vMerge w:val="continue"/>
            <w:vAlign w:val="center"/>
          </w:tcPr>
          <w:p w14:paraId="3E2C9B6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1"/>
                <w:sz w:val="21"/>
                <w:szCs w:val="21"/>
                <w:lang w:val="en-US" w:eastAsia="zh-CN"/>
              </w:rPr>
            </w:pPr>
          </w:p>
        </w:tc>
      </w:tr>
      <w:tr w14:paraId="7D804E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6" w:hRule="atLeast"/>
          <w:jc w:val="center"/>
        </w:trPr>
        <w:tc>
          <w:tcPr>
            <w:tcW w:w="1318" w:type="dxa"/>
            <w:vAlign w:val="center"/>
          </w:tcPr>
          <w:p w14:paraId="7BD390E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地表水环境</w:t>
            </w:r>
          </w:p>
        </w:tc>
        <w:tc>
          <w:tcPr>
            <w:tcW w:w="1848" w:type="dxa"/>
            <w:vAlign w:val="center"/>
          </w:tcPr>
          <w:p w14:paraId="686510B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生活污水</w:t>
            </w:r>
          </w:p>
        </w:tc>
        <w:tc>
          <w:tcPr>
            <w:tcW w:w="1489" w:type="dxa"/>
            <w:vAlign w:val="center"/>
          </w:tcPr>
          <w:p w14:paraId="10DD8F3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COD、氨氮</w:t>
            </w:r>
          </w:p>
        </w:tc>
        <w:tc>
          <w:tcPr>
            <w:tcW w:w="2155" w:type="dxa"/>
            <w:vAlign w:val="center"/>
          </w:tcPr>
          <w:p w14:paraId="54A3417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w:t>
            </w:r>
          </w:p>
        </w:tc>
        <w:tc>
          <w:tcPr>
            <w:tcW w:w="3168" w:type="dxa"/>
            <w:vAlign w:val="center"/>
          </w:tcPr>
          <w:p w14:paraId="7E93874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14136D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jc w:val="center"/>
        </w:trPr>
        <w:tc>
          <w:tcPr>
            <w:tcW w:w="1318" w:type="dxa"/>
            <w:vAlign w:val="center"/>
          </w:tcPr>
          <w:p w14:paraId="40C5DDE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声环境</w:t>
            </w:r>
          </w:p>
        </w:tc>
        <w:tc>
          <w:tcPr>
            <w:tcW w:w="1848" w:type="dxa"/>
            <w:vAlign w:val="center"/>
          </w:tcPr>
          <w:p w14:paraId="30F5D96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生产车间/机械</w:t>
            </w:r>
            <w:r>
              <w:rPr>
                <w:rFonts w:hint="default" w:ascii="Times New Roman" w:hAnsi="Times New Roman" w:eastAsia="宋体" w:cs="Times New Roman"/>
                <w:color w:val="auto"/>
                <w:spacing w:val="-4"/>
                <w:sz w:val="21"/>
                <w:szCs w:val="21"/>
              </w:rPr>
              <w:t>设备</w:t>
            </w:r>
          </w:p>
        </w:tc>
        <w:tc>
          <w:tcPr>
            <w:tcW w:w="1489" w:type="dxa"/>
            <w:vAlign w:val="center"/>
          </w:tcPr>
          <w:p w14:paraId="1245CC1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噪声</w:t>
            </w:r>
          </w:p>
        </w:tc>
        <w:tc>
          <w:tcPr>
            <w:tcW w:w="2155" w:type="dxa"/>
            <w:vAlign w:val="center"/>
          </w:tcPr>
          <w:p w14:paraId="1D64819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减震、隔声、室内布置</w:t>
            </w:r>
          </w:p>
        </w:tc>
        <w:tc>
          <w:tcPr>
            <w:tcW w:w="3168" w:type="dxa"/>
            <w:vAlign w:val="center"/>
          </w:tcPr>
          <w:p w14:paraId="5346C28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符合《工业企业厂界环境噪</w:t>
            </w:r>
            <w:r>
              <w:rPr>
                <w:rFonts w:hint="default" w:ascii="Times New Roman" w:hAnsi="Times New Roman" w:eastAsia="宋体" w:cs="Times New Roman"/>
                <w:color w:val="auto"/>
                <w:spacing w:val="-4"/>
                <w:sz w:val="21"/>
                <w:szCs w:val="21"/>
              </w:rPr>
              <w:t>声排放标准》</w:t>
            </w:r>
            <w:r>
              <w:rPr>
                <w:rFonts w:hint="default" w:ascii="Times New Roman" w:hAnsi="Times New Roman" w:eastAsia="宋体" w:cs="Times New Roman"/>
                <w:color w:val="auto"/>
                <w:spacing w:val="-1"/>
                <w:sz w:val="21"/>
                <w:szCs w:val="21"/>
              </w:rPr>
              <w:t>（GB12348-2008）</w:t>
            </w:r>
            <w:r>
              <w:rPr>
                <w:rFonts w:hint="eastAsia" w:ascii="Times New Roman" w:hAnsi="Times New Roman" w:cs="Times New Roman"/>
                <w:color w:val="auto"/>
                <w:spacing w:val="-1"/>
                <w:sz w:val="21"/>
                <w:szCs w:val="21"/>
                <w:lang w:val="en-US" w:eastAsia="zh-CN"/>
              </w:rPr>
              <w:t>2</w:t>
            </w:r>
            <w:r>
              <w:rPr>
                <w:rFonts w:hint="default" w:ascii="Times New Roman" w:hAnsi="Times New Roman" w:eastAsia="宋体" w:cs="Times New Roman"/>
                <w:color w:val="auto"/>
                <w:spacing w:val="-1"/>
                <w:sz w:val="21"/>
                <w:szCs w:val="21"/>
              </w:rPr>
              <w:t>类标准</w:t>
            </w:r>
          </w:p>
        </w:tc>
      </w:tr>
      <w:tr w14:paraId="35C56D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7" w:hRule="atLeast"/>
          <w:jc w:val="center"/>
        </w:trPr>
        <w:tc>
          <w:tcPr>
            <w:tcW w:w="1318" w:type="dxa"/>
            <w:vAlign w:val="center"/>
          </w:tcPr>
          <w:p w14:paraId="43E7BA0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电磁辐射</w:t>
            </w:r>
          </w:p>
        </w:tc>
        <w:tc>
          <w:tcPr>
            <w:tcW w:w="1848" w:type="dxa"/>
            <w:vAlign w:val="center"/>
          </w:tcPr>
          <w:p w14:paraId="634E246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4"/>
                <w:sz w:val="21"/>
                <w:szCs w:val="21"/>
              </w:rPr>
              <w:t>—</w:t>
            </w:r>
          </w:p>
        </w:tc>
        <w:tc>
          <w:tcPr>
            <w:tcW w:w="1489" w:type="dxa"/>
            <w:vAlign w:val="center"/>
          </w:tcPr>
          <w:p w14:paraId="2F960D01">
            <w:pPr>
              <w:keepNext w:val="0"/>
              <w:keepLines w:val="0"/>
              <w:pageBreakBefore w:val="0"/>
              <w:widowControl/>
              <w:tabs>
                <w:tab w:val="left" w:pos="850"/>
              </w:tabs>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4"/>
                <w:sz w:val="21"/>
                <w:szCs w:val="21"/>
              </w:rPr>
              <w:t>—</w:t>
            </w:r>
          </w:p>
        </w:tc>
        <w:tc>
          <w:tcPr>
            <w:tcW w:w="2155" w:type="dxa"/>
            <w:vAlign w:val="center"/>
          </w:tcPr>
          <w:p w14:paraId="3596A37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4"/>
                <w:sz w:val="21"/>
                <w:szCs w:val="21"/>
              </w:rPr>
              <w:t>—</w:t>
            </w:r>
          </w:p>
        </w:tc>
        <w:tc>
          <w:tcPr>
            <w:tcW w:w="3168" w:type="dxa"/>
            <w:vAlign w:val="center"/>
          </w:tcPr>
          <w:p w14:paraId="396F6F6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4"/>
                <w:sz w:val="21"/>
                <w:szCs w:val="21"/>
              </w:rPr>
              <w:t>—</w:t>
            </w:r>
          </w:p>
        </w:tc>
      </w:tr>
      <w:tr w14:paraId="679763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6" w:hRule="atLeast"/>
          <w:jc w:val="center"/>
        </w:trPr>
        <w:tc>
          <w:tcPr>
            <w:tcW w:w="1318" w:type="dxa"/>
            <w:vAlign w:val="center"/>
          </w:tcPr>
          <w:p w14:paraId="43ACEF9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固体废物</w:t>
            </w:r>
          </w:p>
        </w:tc>
        <w:tc>
          <w:tcPr>
            <w:tcW w:w="8660" w:type="dxa"/>
            <w:gridSpan w:val="4"/>
            <w:vAlign w:val="center"/>
          </w:tcPr>
          <w:p w14:paraId="7060FD3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一般固</w:t>
            </w:r>
            <w:r>
              <w:rPr>
                <w:rFonts w:hint="default" w:ascii="Times New Roman" w:hAnsi="Times New Roman" w:eastAsia="宋体" w:cs="Times New Roman"/>
                <w:color w:val="auto"/>
                <w:spacing w:val="-3"/>
                <w:sz w:val="21"/>
                <w:szCs w:val="21"/>
                <w:highlight w:val="none"/>
              </w:rPr>
              <w:t>废：</w:t>
            </w:r>
            <w:r>
              <w:rPr>
                <w:rFonts w:hint="eastAsia" w:ascii="Times New Roman" w:hAnsi="Times New Roman" w:cs="Times New Roman"/>
                <w:color w:val="auto"/>
                <w:spacing w:val="-3"/>
                <w:sz w:val="21"/>
                <w:szCs w:val="21"/>
                <w:highlight w:val="none"/>
                <w:lang w:val="en-US" w:eastAsia="zh-CN"/>
              </w:rPr>
              <w:t>废包装材料、除尘器收尘及废覆膜砂</w:t>
            </w:r>
            <w:r>
              <w:rPr>
                <w:rFonts w:hint="default" w:ascii="Times New Roman" w:hAnsi="Times New Roman" w:eastAsia="宋体" w:cs="Times New Roman"/>
                <w:color w:val="auto"/>
                <w:spacing w:val="-3"/>
                <w:sz w:val="21"/>
                <w:szCs w:val="21"/>
                <w:highlight w:val="none"/>
              </w:rPr>
              <w:t>收集后外售</w:t>
            </w:r>
            <w:r>
              <w:rPr>
                <w:rFonts w:hint="eastAsia" w:ascii="Times New Roman" w:hAnsi="Times New Roman" w:cs="Times New Roman"/>
                <w:color w:val="auto"/>
                <w:spacing w:val="-3"/>
                <w:sz w:val="21"/>
                <w:szCs w:val="21"/>
                <w:highlight w:val="none"/>
                <w:lang w:val="en-US" w:eastAsia="zh-CN"/>
              </w:rPr>
              <w:t>利用单位</w:t>
            </w:r>
            <w:r>
              <w:rPr>
                <w:rFonts w:hint="default" w:ascii="Times New Roman" w:hAnsi="Times New Roman" w:eastAsia="宋体" w:cs="Times New Roman"/>
                <w:color w:val="auto"/>
                <w:spacing w:val="-3"/>
                <w:sz w:val="21"/>
                <w:szCs w:val="21"/>
                <w:highlight w:val="none"/>
              </w:rPr>
              <w:t>综合处理，</w:t>
            </w:r>
            <w:r>
              <w:rPr>
                <w:rFonts w:hint="eastAsia" w:ascii="Times New Roman" w:hAnsi="Times New Roman" w:cs="Times New Roman"/>
                <w:color w:val="auto"/>
                <w:spacing w:val="-3"/>
                <w:sz w:val="21"/>
                <w:szCs w:val="21"/>
                <w:highlight w:val="none"/>
                <w:lang w:val="en-US" w:eastAsia="zh-CN"/>
              </w:rPr>
              <w:t>废浇冒口回用于生产</w:t>
            </w:r>
            <w:r>
              <w:rPr>
                <w:rFonts w:hint="default" w:ascii="Times New Roman" w:hAnsi="Times New Roman" w:eastAsia="宋体" w:cs="Times New Roman"/>
                <w:color w:val="auto"/>
                <w:spacing w:val="-3"/>
                <w:sz w:val="21"/>
                <w:szCs w:val="21"/>
                <w:highlight w:val="none"/>
              </w:rPr>
              <w:t>。危险废物：废活性炭</w:t>
            </w:r>
            <w:r>
              <w:rPr>
                <w:rFonts w:hint="eastAsia" w:ascii="Times New Roman" w:hAnsi="Times New Roman" w:cs="Times New Roman"/>
                <w:color w:val="auto"/>
                <w:spacing w:val="-3"/>
                <w:sz w:val="21"/>
                <w:szCs w:val="21"/>
                <w:highlight w:val="none"/>
                <w:lang w:val="en-US" w:eastAsia="zh-CN"/>
              </w:rPr>
              <w:t>、废机油、废机油桶</w:t>
            </w:r>
            <w:r>
              <w:rPr>
                <w:rFonts w:hint="default" w:ascii="Times New Roman" w:hAnsi="Times New Roman" w:eastAsia="宋体" w:cs="Times New Roman"/>
                <w:color w:val="auto"/>
                <w:spacing w:val="-3"/>
                <w:sz w:val="21"/>
                <w:szCs w:val="21"/>
                <w:highlight w:val="none"/>
              </w:rPr>
              <w:t>暂存于危废暂存间，委托有资质单位安全处置。</w:t>
            </w:r>
          </w:p>
        </w:tc>
      </w:tr>
      <w:tr w14:paraId="40D90F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1" w:hRule="atLeast"/>
          <w:jc w:val="center"/>
        </w:trPr>
        <w:tc>
          <w:tcPr>
            <w:tcW w:w="1318" w:type="dxa"/>
            <w:vAlign w:val="center"/>
          </w:tcPr>
          <w:p w14:paraId="6ED44DC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土壤及地</w:t>
            </w:r>
            <w:r>
              <w:rPr>
                <w:rFonts w:hint="default" w:ascii="Times New Roman" w:hAnsi="Times New Roman" w:eastAsia="宋体" w:cs="Times New Roman"/>
                <w:color w:val="auto"/>
                <w:spacing w:val="-5"/>
                <w:sz w:val="21"/>
                <w:szCs w:val="21"/>
              </w:rPr>
              <w:t>下水污染防治措施</w:t>
            </w:r>
          </w:p>
        </w:tc>
        <w:tc>
          <w:tcPr>
            <w:tcW w:w="8660" w:type="dxa"/>
            <w:gridSpan w:val="4"/>
            <w:vAlign w:val="center"/>
          </w:tcPr>
          <w:p w14:paraId="3C73E18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厂区内按照分区进行防渗处理；化粪池、危废暂存间为重点防渗区；车间地面为一般防渗区；厂区地面等属于简单防渗。</w:t>
            </w:r>
          </w:p>
        </w:tc>
      </w:tr>
      <w:tr w14:paraId="43BD95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4" w:hRule="atLeast"/>
          <w:jc w:val="center"/>
        </w:trPr>
        <w:tc>
          <w:tcPr>
            <w:tcW w:w="1318" w:type="dxa"/>
            <w:vAlign w:val="center"/>
          </w:tcPr>
          <w:p w14:paraId="5C13933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生态保护措施</w:t>
            </w:r>
          </w:p>
        </w:tc>
        <w:tc>
          <w:tcPr>
            <w:tcW w:w="8660" w:type="dxa"/>
            <w:gridSpan w:val="4"/>
            <w:vAlign w:val="center"/>
          </w:tcPr>
          <w:p w14:paraId="488F798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加强绿化</w:t>
            </w:r>
          </w:p>
        </w:tc>
      </w:tr>
      <w:tr w14:paraId="214F2F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96" w:hRule="atLeast"/>
          <w:jc w:val="center"/>
        </w:trPr>
        <w:tc>
          <w:tcPr>
            <w:tcW w:w="1318" w:type="dxa"/>
            <w:vAlign w:val="center"/>
          </w:tcPr>
          <w:p w14:paraId="707E971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5"/>
                <w:sz w:val="21"/>
                <w:szCs w:val="21"/>
              </w:rPr>
              <w:t>环境风险</w:t>
            </w:r>
            <w:r>
              <w:rPr>
                <w:rFonts w:hint="default" w:ascii="Times New Roman" w:hAnsi="Times New Roman" w:eastAsia="宋体" w:cs="Times New Roman"/>
                <w:color w:val="auto"/>
                <w:spacing w:val="-19"/>
                <w:sz w:val="21"/>
                <w:szCs w:val="21"/>
              </w:rPr>
              <w:t>防范措施</w:t>
            </w:r>
          </w:p>
        </w:tc>
        <w:tc>
          <w:tcPr>
            <w:tcW w:w="8660" w:type="dxa"/>
            <w:gridSpan w:val="4"/>
            <w:vAlign w:val="center"/>
          </w:tcPr>
          <w:p w14:paraId="766B97E1">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p>
          <w:p w14:paraId="1DC8AB1C">
            <w:pPr>
              <w:rPr>
                <w:rFonts w:hint="default" w:ascii="Times New Roman" w:hAnsi="Times New Roman" w:eastAsia="宋体" w:cs="Times New Roman"/>
                <w:snapToGrid w:val="0"/>
                <w:color w:val="auto"/>
                <w:spacing w:val="-3"/>
                <w:kern w:val="0"/>
                <w:sz w:val="21"/>
                <w:szCs w:val="21"/>
                <w:lang w:val="en-US" w:eastAsia="en-US" w:bidi="ar-SA"/>
              </w:rPr>
            </w:pPr>
          </w:p>
          <w:p w14:paraId="1BAB92F5">
            <w:pPr>
              <w:pStyle w:val="14"/>
              <w:rPr>
                <w:rFonts w:hint="default"/>
                <w:color w:val="auto"/>
                <w:lang w:val="en-US" w:eastAsia="en-US"/>
              </w:rPr>
            </w:pPr>
          </w:p>
          <w:p w14:paraId="315A15D8">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（1）建设单位要严格落实消防安全责任，明确消防安全责任人和消防安全职责，加强值班巡查，及时消除火灾隐患，工厂内的醒目位置要张贴消防安全警示标牌。</w:t>
            </w:r>
          </w:p>
          <w:p w14:paraId="384F5EA5">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（2）定期维护保养消防设施、器材和消防安全标志，确保其完好有效。严禁损坏、挪用、埋压、圈占、遮挡消防设施、器材。</w:t>
            </w:r>
          </w:p>
          <w:p w14:paraId="119C68DA">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（3）严禁占用、堵塞或封闭安全出口、疏散通道和消防车通道，严禁设置妨碍消防车通行和火灾扑救的障碍物，严禁遮挡安全疏散指示标志。</w:t>
            </w:r>
          </w:p>
          <w:p w14:paraId="77F9DD1E">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（4）建设单位要杜绝违章操作，严禁违规用火、用油、用电、用气，严禁在具有火灾、爆炸危险的场所使用明火，严禁在施工现场违章使用明火作业或取暖。</w:t>
            </w:r>
          </w:p>
          <w:p w14:paraId="5C85527B">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（5）电气线路应满足用电设备的负荷要求，严禁私拉乱接临时电线，电气线路的铺设应有金属管或阻燃型PVC管保护，有接地，并安装漏电保护开关。</w:t>
            </w:r>
          </w:p>
          <w:p w14:paraId="45B792B6">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（6）厂区内可燃杂物要及时清理，生产加工易燃物品要按照标准分类放，严禁厂区内存在从业人员住宿与生产、经营储存为一体的场所。</w:t>
            </w:r>
          </w:p>
          <w:p w14:paraId="02FB5C01">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（7）员工上岗前必须进行消防安全培训，具有火灾危险性的特殊工种、重点岗位员工必须进行消防安全专业培训并持证上岗。</w:t>
            </w:r>
          </w:p>
          <w:p w14:paraId="60296800">
            <w:pPr>
              <w:keepNext w:val="0"/>
              <w:keepLines w:val="0"/>
              <w:pageBreakBefore w:val="0"/>
              <w:widowControl/>
              <w:kinsoku w:val="0"/>
              <w:wordWrap/>
              <w:overflowPunct/>
              <w:topLinePunct w:val="0"/>
              <w:autoSpaceDE w:val="0"/>
              <w:autoSpaceDN w:val="0"/>
              <w:bidi w:val="0"/>
              <w:adjustRightInd w:val="0"/>
              <w:snapToGrid w:val="0"/>
              <w:ind w:firstLine="408" w:firstLineChars="200"/>
              <w:textAlignment w:val="baseline"/>
              <w:rPr>
                <w:rFonts w:hint="default" w:ascii="Times New Roman" w:hAnsi="Times New Roman" w:eastAsia="宋体" w:cs="Times New Roman"/>
                <w:snapToGrid w:val="0"/>
                <w:color w:val="auto"/>
                <w:spacing w:val="-3"/>
                <w:kern w:val="0"/>
                <w:sz w:val="21"/>
                <w:szCs w:val="21"/>
                <w:lang w:val="en-US" w:eastAsia="en-US" w:bidi="ar-SA"/>
              </w:rPr>
            </w:pPr>
            <w:r>
              <w:rPr>
                <w:rFonts w:hint="default" w:ascii="Times New Roman" w:hAnsi="Times New Roman" w:eastAsia="宋体" w:cs="Times New Roman"/>
                <w:snapToGrid w:val="0"/>
                <w:color w:val="auto"/>
                <w:spacing w:val="-3"/>
                <w:kern w:val="0"/>
                <w:sz w:val="21"/>
                <w:szCs w:val="21"/>
                <w:lang w:val="en-US" w:eastAsia="en-US" w:bidi="ar-SA"/>
              </w:rPr>
              <w:t>（8）组织制定符合本单位实际的灭火和应急疏散预案，并且至少每半年要组织员工进行一次逃生自救和扑救初期火灾的演练。</w:t>
            </w:r>
          </w:p>
          <w:p w14:paraId="41A88DCB">
            <w:pPr>
              <w:pStyle w:val="14"/>
              <w:rPr>
                <w:rFonts w:hint="default" w:ascii="Times New Roman" w:hAnsi="Times New Roman" w:eastAsia="宋体" w:cs="Times New Roman"/>
                <w:snapToGrid w:val="0"/>
                <w:color w:val="auto"/>
                <w:spacing w:val="-3"/>
                <w:kern w:val="0"/>
                <w:sz w:val="21"/>
                <w:szCs w:val="21"/>
                <w:lang w:val="en-US" w:eastAsia="en-US" w:bidi="ar-SA"/>
              </w:rPr>
            </w:pPr>
          </w:p>
          <w:p w14:paraId="4CB4A8FE">
            <w:pPr>
              <w:rPr>
                <w:rFonts w:hint="default" w:ascii="Times New Roman" w:hAnsi="Times New Roman" w:eastAsia="宋体" w:cs="Times New Roman"/>
                <w:snapToGrid w:val="0"/>
                <w:color w:val="auto"/>
                <w:spacing w:val="-3"/>
                <w:kern w:val="0"/>
                <w:sz w:val="21"/>
                <w:szCs w:val="21"/>
                <w:lang w:val="en-US" w:eastAsia="en-US" w:bidi="ar-SA"/>
              </w:rPr>
            </w:pPr>
          </w:p>
          <w:p w14:paraId="288EF657">
            <w:pPr>
              <w:pStyle w:val="14"/>
              <w:rPr>
                <w:rFonts w:hint="default" w:ascii="Times New Roman" w:hAnsi="Times New Roman" w:eastAsia="宋体" w:cs="Times New Roman"/>
                <w:snapToGrid w:val="0"/>
                <w:color w:val="auto"/>
                <w:spacing w:val="-3"/>
                <w:kern w:val="0"/>
                <w:sz w:val="21"/>
                <w:szCs w:val="21"/>
                <w:lang w:val="en-US" w:eastAsia="en-US" w:bidi="ar-SA"/>
              </w:rPr>
            </w:pPr>
          </w:p>
          <w:p w14:paraId="3BDB2982">
            <w:pPr>
              <w:rPr>
                <w:rFonts w:hint="default"/>
                <w:color w:val="auto"/>
                <w:lang w:val="en-US" w:eastAsia="en-US"/>
              </w:rPr>
            </w:pPr>
          </w:p>
        </w:tc>
      </w:tr>
      <w:tr w14:paraId="570D13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19" w:hRule="atLeast"/>
          <w:jc w:val="center"/>
        </w:trPr>
        <w:tc>
          <w:tcPr>
            <w:tcW w:w="1318" w:type="dxa"/>
            <w:vAlign w:val="center"/>
          </w:tcPr>
          <w:p w14:paraId="2EEFC8A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5"/>
                <w:sz w:val="24"/>
                <w:szCs w:val="24"/>
              </w:rPr>
              <w:t>其他环境</w:t>
            </w:r>
            <w:r>
              <w:rPr>
                <w:rFonts w:hint="default" w:ascii="Times New Roman" w:hAnsi="Times New Roman" w:eastAsia="宋体" w:cs="Times New Roman"/>
                <w:color w:val="auto"/>
                <w:spacing w:val="-16"/>
                <w:sz w:val="24"/>
                <w:szCs w:val="24"/>
              </w:rPr>
              <w:t>管理要求</w:t>
            </w:r>
          </w:p>
        </w:tc>
        <w:tc>
          <w:tcPr>
            <w:tcW w:w="8660" w:type="dxa"/>
            <w:gridSpan w:val="4"/>
            <w:vAlign w:val="top"/>
          </w:tcPr>
          <w:p w14:paraId="721865CA">
            <w:pPr>
              <w:keepNext w:val="0"/>
              <w:keepLines w:val="0"/>
              <w:pageBreakBefore w:val="0"/>
              <w:widowControl/>
              <w:kinsoku w:val="0"/>
              <w:wordWrap/>
              <w:overflowPunct/>
              <w:topLinePunct w:val="0"/>
              <w:autoSpaceDE w:val="0"/>
              <w:autoSpaceDN w:val="0"/>
              <w:bidi w:val="0"/>
              <w:adjustRightInd w:val="0"/>
              <w:snapToGrid w:val="0"/>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（1）一般原则</w:t>
            </w:r>
          </w:p>
          <w:p w14:paraId="7B554D16">
            <w:pPr>
              <w:keepNext w:val="0"/>
              <w:keepLines w:val="0"/>
              <w:pageBreakBefore w:val="0"/>
              <w:widowControl/>
              <w:kinsoku w:val="0"/>
              <w:wordWrap/>
              <w:overflowPunct/>
              <w:topLinePunct w:val="0"/>
              <w:autoSpaceDE w:val="0"/>
              <w:autoSpaceDN w:val="0"/>
              <w:bidi w:val="0"/>
              <w:adjustRightInd w:val="0"/>
              <w:snapToGrid w:val="0"/>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固体废物治理排污单位在申请排污许可证时，应按本标准规定，在《排污许可证申请表》中明确环境管理台账记录要求。有核发权的地方生态环境主管部门可以依据法律法规、标准规范增加和加严记录要求。排污单位也可自行增加和加严记录要求。排污单位应建立环境管理台账制度，落实环境管理台账记录的责任部门和责任人，明确工作职责，包括台账的记录、整理、维护和管理等。为实现台账便于携带、作为许可证执行情况佐证并长时间储存的目的以及导出原始数据，加工分析、综合判断运行情况的功能，台账应当按照电子化储存和纸质储存两种形式同步管理。</w:t>
            </w:r>
          </w:p>
          <w:p w14:paraId="78D705E3">
            <w:pPr>
              <w:keepNext w:val="0"/>
              <w:keepLines w:val="0"/>
              <w:pageBreakBefore w:val="0"/>
              <w:widowControl/>
              <w:kinsoku w:val="0"/>
              <w:wordWrap/>
              <w:overflowPunct/>
              <w:topLinePunct w:val="0"/>
              <w:autoSpaceDE w:val="0"/>
              <w:autoSpaceDN w:val="0"/>
              <w:bidi w:val="0"/>
              <w:adjustRightInd w:val="0"/>
              <w:snapToGrid w:val="0"/>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一般工业固体废物贮存、处置排污单位，应满足GB18599，HJ2035等标准中关于台账记录和报告的要求。</w:t>
            </w:r>
          </w:p>
          <w:p w14:paraId="2EE8E696">
            <w:pPr>
              <w:keepNext w:val="0"/>
              <w:keepLines w:val="0"/>
              <w:pageBreakBefore w:val="0"/>
              <w:widowControl/>
              <w:kinsoku w:val="0"/>
              <w:wordWrap/>
              <w:overflowPunct/>
              <w:topLinePunct w:val="0"/>
              <w:autoSpaceDE w:val="0"/>
              <w:autoSpaceDN w:val="0"/>
              <w:bidi w:val="0"/>
              <w:adjustRightInd w:val="0"/>
              <w:snapToGrid w:val="0"/>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（2）排污口规范化管理</w:t>
            </w:r>
          </w:p>
          <w:p w14:paraId="427E3C9C">
            <w:pPr>
              <w:keepNext w:val="0"/>
              <w:keepLines w:val="0"/>
              <w:pageBreakBefore w:val="0"/>
              <w:widowControl/>
              <w:kinsoku w:val="0"/>
              <w:wordWrap/>
              <w:overflowPunct/>
              <w:topLinePunct w:val="0"/>
              <w:autoSpaceDE w:val="0"/>
              <w:autoSpaceDN w:val="0"/>
              <w:bidi w:val="0"/>
              <w:adjustRightInd w:val="0"/>
              <w:snapToGrid w:val="0"/>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①基本原则：向环境排放污染物的排污口必须规范化；②排污口应便于采样与计量检测，便于日常现场监督检查。</w:t>
            </w:r>
          </w:p>
          <w:p w14:paraId="72B76EBC">
            <w:pPr>
              <w:keepNext w:val="0"/>
              <w:keepLines w:val="0"/>
              <w:pageBreakBefore w:val="0"/>
              <w:widowControl/>
              <w:kinsoku w:val="0"/>
              <w:wordWrap/>
              <w:overflowPunct/>
              <w:topLinePunct w:val="0"/>
              <w:autoSpaceDE w:val="0"/>
              <w:autoSpaceDN w:val="0"/>
              <w:bidi w:val="0"/>
              <w:adjustRightInd w:val="0"/>
              <w:snapToGrid w:val="0"/>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②技术要求：排污口的设置必须合理确定，进行规范化管理；设置规范的、便于测量流量、流速的测速段。</w:t>
            </w:r>
          </w:p>
          <w:p w14:paraId="768A034C">
            <w:pPr>
              <w:keepNext w:val="0"/>
              <w:keepLines w:val="0"/>
              <w:pageBreakBefore w:val="0"/>
              <w:widowControl/>
              <w:kinsoku w:val="0"/>
              <w:wordWrap/>
              <w:overflowPunct/>
              <w:topLinePunct w:val="0"/>
              <w:autoSpaceDE w:val="0"/>
              <w:autoSpaceDN w:val="0"/>
              <w:bidi w:val="0"/>
              <w:adjustRightInd w:val="0"/>
              <w:snapToGrid w:val="0"/>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立标管理：项目按照《环境保护图形标志—排放口（源）》（GB1556.1-1995）、《环境保护图形标志—固体废物贮存(处置)场》（GB1556.2-1995）以及《山东省污水排放口环境信息公开技术规范》（DB37/T2643-2014）中有关规定执行。</w:t>
            </w:r>
          </w:p>
          <w:p w14:paraId="15C732DC">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表5-1项目排污口要求一览表</w:t>
            </w:r>
          </w:p>
          <w:tbl>
            <w:tblPr>
              <w:tblStyle w:val="21"/>
              <w:tblW w:w="85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35"/>
              <w:gridCol w:w="1794"/>
              <w:gridCol w:w="2576"/>
              <w:gridCol w:w="3099"/>
            </w:tblGrid>
            <w:tr w14:paraId="00FED3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1035" w:type="dxa"/>
                  <w:vAlign w:val="center"/>
                </w:tcPr>
                <w:p w14:paraId="28DB236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类型</w:t>
                  </w:r>
                </w:p>
              </w:tc>
              <w:tc>
                <w:tcPr>
                  <w:tcW w:w="1794" w:type="dxa"/>
                  <w:vAlign w:val="center"/>
                </w:tcPr>
                <w:p w14:paraId="4684389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排污口</w:t>
                  </w:r>
                </w:p>
              </w:tc>
              <w:tc>
                <w:tcPr>
                  <w:tcW w:w="2576" w:type="dxa"/>
                  <w:vAlign w:val="center"/>
                </w:tcPr>
                <w:p w14:paraId="70D23D3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提示标志</w:t>
                  </w:r>
                </w:p>
              </w:tc>
              <w:tc>
                <w:tcPr>
                  <w:tcW w:w="3099" w:type="dxa"/>
                  <w:vAlign w:val="center"/>
                </w:tcPr>
                <w:p w14:paraId="1C63D81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警告标志</w:t>
                  </w:r>
                </w:p>
              </w:tc>
            </w:tr>
            <w:tr w14:paraId="4C1F16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83" w:hRule="atLeast"/>
                <w:jc w:val="center"/>
              </w:trPr>
              <w:tc>
                <w:tcPr>
                  <w:tcW w:w="1035" w:type="dxa"/>
                  <w:vAlign w:val="center"/>
                </w:tcPr>
                <w:p w14:paraId="3F04790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1794" w:type="dxa"/>
                  <w:vAlign w:val="center"/>
                </w:tcPr>
                <w:p w14:paraId="360A4C3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w:t>
                  </w:r>
                </w:p>
              </w:tc>
              <w:tc>
                <w:tcPr>
                  <w:tcW w:w="2576" w:type="dxa"/>
                  <w:vAlign w:val="center"/>
                </w:tcPr>
                <w:p w14:paraId="5BBAEF6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0" distR="0">
                        <wp:extent cx="866775" cy="866140"/>
                        <wp:effectExtent l="0" t="0" r="9525" b="1016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32"/>
                                <a:stretch>
                                  <a:fillRect/>
                                </a:stretch>
                              </pic:blipFill>
                              <pic:spPr>
                                <a:xfrm>
                                  <a:off x="0" y="0"/>
                                  <a:ext cx="867155" cy="866774"/>
                                </a:xfrm>
                                <a:prstGeom prst="rect">
                                  <a:avLst/>
                                </a:prstGeom>
                              </pic:spPr>
                            </pic:pic>
                          </a:graphicData>
                        </a:graphic>
                      </wp:inline>
                    </w:drawing>
                  </w:r>
                </w:p>
              </w:tc>
              <w:tc>
                <w:tcPr>
                  <w:tcW w:w="3099" w:type="dxa"/>
                  <w:vAlign w:val="center"/>
                </w:tcPr>
                <w:p w14:paraId="21E8B28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0" distR="0">
                        <wp:extent cx="1037590" cy="860425"/>
                        <wp:effectExtent l="0" t="0" r="10160" b="15875"/>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33"/>
                                <a:stretch>
                                  <a:fillRect/>
                                </a:stretch>
                              </pic:blipFill>
                              <pic:spPr>
                                <a:xfrm>
                                  <a:off x="0" y="0"/>
                                  <a:ext cx="1037844" cy="860678"/>
                                </a:xfrm>
                                <a:prstGeom prst="rect">
                                  <a:avLst/>
                                </a:prstGeom>
                              </pic:spPr>
                            </pic:pic>
                          </a:graphicData>
                        </a:graphic>
                      </wp:inline>
                    </w:drawing>
                  </w:r>
                </w:p>
              </w:tc>
            </w:tr>
            <w:tr w14:paraId="73C50E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84" w:hRule="atLeast"/>
                <w:jc w:val="center"/>
              </w:trPr>
              <w:tc>
                <w:tcPr>
                  <w:tcW w:w="1035" w:type="dxa"/>
                  <w:vAlign w:val="center"/>
                </w:tcPr>
                <w:p w14:paraId="41D0153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1794" w:type="dxa"/>
                  <w:vAlign w:val="center"/>
                </w:tcPr>
                <w:p w14:paraId="5AA0359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各风机、泵类、压缩机等噪声源</w:t>
                  </w:r>
                </w:p>
              </w:tc>
              <w:tc>
                <w:tcPr>
                  <w:tcW w:w="2576" w:type="dxa"/>
                  <w:vAlign w:val="center"/>
                </w:tcPr>
                <w:p w14:paraId="4B51CC2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0" distR="0">
                        <wp:extent cx="877570" cy="857885"/>
                        <wp:effectExtent l="0" t="0" r="17780" b="18415"/>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34"/>
                                <a:stretch>
                                  <a:fillRect/>
                                </a:stretch>
                              </pic:blipFill>
                              <pic:spPr>
                                <a:xfrm>
                                  <a:off x="0" y="0"/>
                                  <a:ext cx="877823" cy="858011"/>
                                </a:xfrm>
                                <a:prstGeom prst="rect">
                                  <a:avLst/>
                                </a:prstGeom>
                              </pic:spPr>
                            </pic:pic>
                          </a:graphicData>
                        </a:graphic>
                      </wp:inline>
                    </w:drawing>
                  </w:r>
                </w:p>
              </w:tc>
              <w:tc>
                <w:tcPr>
                  <w:tcW w:w="3099" w:type="dxa"/>
                  <w:vAlign w:val="center"/>
                </w:tcPr>
                <w:p w14:paraId="4F85AEA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0" distR="0">
                        <wp:extent cx="1040765" cy="845185"/>
                        <wp:effectExtent l="0" t="0" r="6985" b="12065"/>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35"/>
                                <a:stretch>
                                  <a:fillRect/>
                                </a:stretch>
                              </pic:blipFill>
                              <pic:spPr>
                                <a:xfrm>
                                  <a:off x="0" y="0"/>
                                  <a:ext cx="1040891" cy="845819"/>
                                </a:xfrm>
                                <a:prstGeom prst="rect">
                                  <a:avLst/>
                                </a:prstGeom>
                              </pic:spPr>
                            </pic:pic>
                          </a:graphicData>
                        </a:graphic>
                      </wp:inline>
                    </w:drawing>
                  </w:r>
                </w:p>
              </w:tc>
            </w:tr>
            <w:tr w14:paraId="5CBC6F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5" w:hRule="atLeast"/>
                <w:jc w:val="center"/>
              </w:trPr>
              <w:tc>
                <w:tcPr>
                  <w:tcW w:w="1035" w:type="dxa"/>
                  <w:vMerge w:val="restart"/>
                  <w:tcBorders>
                    <w:bottom w:val="nil"/>
                  </w:tcBorders>
                  <w:vAlign w:val="center"/>
                </w:tcPr>
                <w:p w14:paraId="26911B4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w:t>
                  </w:r>
                </w:p>
              </w:tc>
              <w:tc>
                <w:tcPr>
                  <w:tcW w:w="1794" w:type="dxa"/>
                  <w:vAlign w:val="center"/>
                </w:tcPr>
                <w:p w14:paraId="73288A0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一般固废临时贮存区</w:t>
                  </w:r>
                </w:p>
              </w:tc>
              <w:tc>
                <w:tcPr>
                  <w:tcW w:w="2576" w:type="dxa"/>
                  <w:vAlign w:val="center"/>
                </w:tcPr>
                <w:p w14:paraId="7E64472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0" distR="0">
                        <wp:extent cx="889635" cy="889635"/>
                        <wp:effectExtent l="0" t="0" r="5715" b="5715"/>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36"/>
                                <a:stretch>
                                  <a:fillRect/>
                                </a:stretch>
                              </pic:blipFill>
                              <pic:spPr>
                                <a:xfrm>
                                  <a:off x="0" y="0"/>
                                  <a:ext cx="890016" cy="889635"/>
                                </a:xfrm>
                                <a:prstGeom prst="rect">
                                  <a:avLst/>
                                </a:prstGeom>
                              </pic:spPr>
                            </pic:pic>
                          </a:graphicData>
                        </a:graphic>
                      </wp:inline>
                    </w:drawing>
                  </w:r>
                </w:p>
              </w:tc>
              <w:tc>
                <w:tcPr>
                  <w:tcW w:w="3099" w:type="dxa"/>
                  <w:vAlign w:val="center"/>
                </w:tcPr>
                <w:p w14:paraId="2E55F23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drawing>
                      <wp:inline distT="0" distB="0" distL="114300" distR="114300">
                        <wp:extent cx="1103630" cy="1292860"/>
                        <wp:effectExtent l="0" t="0" r="1270" b="2540"/>
                        <wp:docPr id="224" name="图片 224" descr="170677278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1706772788544"/>
                                <pic:cNvPicPr>
                                  <a:picLocks noChangeAspect="1"/>
                                </pic:cNvPicPr>
                              </pic:nvPicPr>
                              <pic:blipFill>
                                <a:blip r:embed="rId37"/>
                                <a:stretch>
                                  <a:fillRect/>
                                </a:stretch>
                              </pic:blipFill>
                              <pic:spPr>
                                <a:xfrm>
                                  <a:off x="0" y="0"/>
                                  <a:ext cx="1103630" cy="1292860"/>
                                </a:xfrm>
                                <a:prstGeom prst="rect">
                                  <a:avLst/>
                                </a:prstGeom>
                              </pic:spPr>
                            </pic:pic>
                          </a:graphicData>
                        </a:graphic>
                      </wp:inline>
                    </w:drawing>
                  </w:r>
                </w:p>
              </w:tc>
            </w:tr>
            <w:tr w14:paraId="3B88F4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08" w:hRule="atLeast"/>
                <w:jc w:val="center"/>
              </w:trPr>
              <w:tc>
                <w:tcPr>
                  <w:tcW w:w="1035" w:type="dxa"/>
                  <w:vMerge w:val="continue"/>
                  <w:tcBorders>
                    <w:top w:val="nil"/>
                  </w:tcBorders>
                  <w:vAlign w:val="center"/>
                </w:tcPr>
                <w:p w14:paraId="200357A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794" w:type="dxa"/>
                  <w:vAlign w:val="center"/>
                </w:tcPr>
                <w:p w14:paraId="042063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危险废物临时贮存区</w:t>
                  </w:r>
                </w:p>
              </w:tc>
              <w:tc>
                <w:tcPr>
                  <w:tcW w:w="2576" w:type="dxa"/>
                  <w:vAlign w:val="center"/>
                </w:tcPr>
                <w:p w14:paraId="0318880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099" w:type="dxa"/>
                  <w:vAlign w:val="center"/>
                </w:tcPr>
                <w:p w14:paraId="54692CA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1102995" cy="1312545"/>
                        <wp:effectExtent l="0" t="0" r="1905" b="190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38"/>
                                <a:srcRect l="47010" b="-486"/>
                                <a:stretch>
                                  <a:fillRect/>
                                </a:stretch>
                              </pic:blipFill>
                              <pic:spPr>
                                <a:xfrm>
                                  <a:off x="0" y="0"/>
                                  <a:ext cx="1102995" cy="1312545"/>
                                </a:xfrm>
                                <a:prstGeom prst="rect">
                                  <a:avLst/>
                                </a:prstGeom>
                                <a:noFill/>
                                <a:ln>
                                  <a:noFill/>
                                </a:ln>
                              </pic:spPr>
                            </pic:pic>
                          </a:graphicData>
                        </a:graphic>
                      </wp:inline>
                    </w:drawing>
                  </w:r>
                </w:p>
              </w:tc>
            </w:tr>
          </w:tbl>
          <w:p w14:paraId="609AA10A">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表5-2标志的形状及颜色说明</w:t>
            </w:r>
          </w:p>
          <w:tbl>
            <w:tblPr>
              <w:tblStyle w:val="21"/>
              <w:tblW w:w="85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28"/>
              <w:gridCol w:w="2124"/>
              <w:gridCol w:w="2123"/>
              <w:gridCol w:w="2129"/>
            </w:tblGrid>
            <w:tr w14:paraId="1D88B9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jc w:val="center"/>
              </w:trPr>
              <w:tc>
                <w:tcPr>
                  <w:tcW w:w="2128" w:type="dxa"/>
                  <w:vAlign w:val="center"/>
                </w:tcPr>
                <w:p w14:paraId="75F1CDC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项目</w:t>
                  </w:r>
                </w:p>
              </w:tc>
              <w:tc>
                <w:tcPr>
                  <w:tcW w:w="2124" w:type="dxa"/>
                  <w:vAlign w:val="center"/>
                </w:tcPr>
                <w:p w14:paraId="57A5254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形状</w:t>
                  </w:r>
                </w:p>
              </w:tc>
              <w:tc>
                <w:tcPr>
                  <w:tcW w:w="2123" w:type="dxa"/>
                  <w:vAlign w:val="center"/>
                </w:tcPr>
                <w:p w14:paraId="033F97F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背景颜色</w:t>
                  </w:r>
                </w:p>
              </w:tc>
              <w:tc>
                <w:tcPr>
                  <w:tcW w:w="2129" w:type="dxa"/>
                  <w:vAlign w:val="center"/>
                </w:tcPr>
                <w:p w14:paraId="2965E38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图形颜色</w:t>
                  </w:r>
                </w:p>
              </w:tc>
            </w:tr>
            <w:tr w14:paraId="6BA031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2128" w:type="dxa"/>
                  <w:vAlign w:val="center"/>
                </w:tcPr>
                <w:p w14:paraId="7DA0C2E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警告标志</w:t>
                  </w:r>
                </w:p>
              </w:tc>
              <w:tc>
                <w:tcPr>
                  <w:tcW w:w="2124" w:type="dxa"/>
                  <w:vAlign w:val="center"/>
                </w:tcPr>
                <w:p w14:paraId="5C0F33D0">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三角形边框</w:t>
                  </w:r>
                </w:p>
              </w:tc>
              <w:tc>
                <w:tcPr>
                  <w:tcW w:w="2123" w:type="dxa"/>
                  <w:vAlign w:val="center"/>
                </w:tcPr>
                <w:p w14:paraId="12D0EC1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黄色</w:t>
                  </w:r>
                </w:p>
              </w:tc>
              <w:tc>
                <w:tcPr>
                  <w:tcW w:w="2129" w:type="dxa"/>
                  <w:vAlign w:val="center"/>
                </w:tcPr>
                <w:p w14:paraId="68D1CFD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黑色</w:t>
                  </w:r>
                </w:p>
              </w:tc>
            </w:tr>
            <w:tr w14:paraId="152504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jc w:val="center"/>
              </w:trPr>
              <w:tc>
                <w:tcPr>
                  <w:tcW w:w="2128" w:type="dxa"/>
                  <w:vAlign w:val="center"/>
                </w:tcPr>
                <w:p w14:paraId="66FE817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提示标志</w:t>
                  </w:r>
                </w:p>
              </w:tc>
              <w:tc>
                <w:tcPr>
                  <w:tcW w:w="2124" w:type="dxa"/>
                  <w:vAlign w:val="center"/>
                </w:tcPr>
                <w:p w14:paraId="18DC88D6">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正方形边框</w:t>
                  </w:r>
                </w:p>
              </w:tc>
              <w:tc>
                <w:tcPr>
                  <w:tcW w:w="2123" w:type="dxa"/>
                  <w:vAlign w:val="center"/>
                </w:tcPr>
                <w:p w14:paraId="3F532FFE">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绿色</w:t>
                  </w:r>
                </w:p>
              </w:tc>
              <w:tc>
                <w:tcPr>
                  <w:tcW w:w="2129" w:type="dxa"/>
                  <w:vAlign w:val="center"/>
                </w:tcPr>
                <w:p w14:paraId="0D35C3E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白色</w:t>
                  </w:r>
                </w:p>
              </w:tc>
            </w:tr>
          </w:tbl>
          <w:p w14:paraId="281C70C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（3）采样断面、采样点位及采样平台的规范化建设</w:t>
            </w:r>
          </w:p>
          <w:p w14:paraId="3632005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根据《固定污染源废气监测点位设置技术规范》(DB37/T3535-2019)等要求，项目采样口位置应分别满足如下要求：</w:t>
            </w:r>
          </w:p>
          <w:p w14:paraId="442B0145">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①对于颗粒态污染物，监测断面优先设置在垂直管段，应避开烟道弯头和断面急剧变化的部位，设置在距弯头、阀门、变径管下游方向不小于4倍直径，和距上述部件上游方向不小于2倍直径处；对于气态污染物，监测断面的设置可不受上述限制。</w:t>
            </w:r>
          </w:p>
          <w:p w14:paraId="748C8816">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②在选定的监测断面上开设监测孔，监测孔的内径应不小于90mm，不使用时应用盖板或管帽封闭，使用时应易打开；③烟道直径≤1m的圆形烟道，设置一个监测孔；烟道直径大于1m不大于4m的圆形烟道，设置相互垂直的两个监测孔；</w:t>
            </w:r>
          </w:p>
          <w:p w14:paraId="5CACE11B">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④监测平台应设置在监测孔的正下方1.2m～1.3m处，应永久、安全、便于监测及采样。监测平台可操作面积应≥2m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单边长度应≥1.2m，且不小于监测断面直径的1/3。若监测断面有多个监测孔且水平排列，自监测平台区域应涵盖所有监测孔；若监测断面有多个监测孔且竖直排列，则应设置多层监测平台。通往监测平台的通道宽度应≥0.9m。</w:t>
            </w:r>
          </w:p>
          <w:p w14:paraId="58C87D5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（4）竣工环境保护验收</w:t>
            </w:r>
          </w:p>
          <w:p w14:paraId="5B3F9A7C">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根据《建设项目环境保护管理条例》要求，编制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编制环境影响报告表的建设项目，其配套建设的环境保护设施经验收合格，方可投入生产或者使用；未经验收或者验收不合格的，不得投入生产或者使用。</w:t>
            </w:r>
          </w:p>
          <w:p w14:paraId="18935E06">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表5-3项目“三同时”验收一览表</w:t>
            </w:r>
          </w:p>
          <w:tbl>
            <w:tblPr>
              <w:tblStyle w:val="21"/>
              <w:tblW w:w="8504"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698"/>
              <w:gridCol w:w="1344"/>
              <w:gridCol w:w="1418"/>
              <w:gridCol w:w="1342"/>
              <w:gridCol w:w="625"/>
              <w:gridCol w:w="932"/>
              <w:gridCol w:w="2145"/>
            </w:tblGrid>
            <w:tr w14:paraId="7EA5A42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tcBorders>
                    <w:tl2br w:val="nil"/>
                    <w:tr2bl w:val="nil"/>
                  </w:tcBorders>
                  <w:vAlign w:val="center"/>
                </w:tcPr>
                <w:p w14:paraId="49D0189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类别</w:t>
                  </w:r>
                </w:p>
              </w:tc>
              <w:tc>
                <w:tcPr>
                  <w:tcW w:w="1344" w:type="dxa"/>
                  <w:tcBorders>
                    <w:tl2br w:val="nil"/>
                    <w:tr2bl w:val="nil"/>
                  </w:tcBorders>
                  <w:vAlign w:val="center"/>
                </w:tcPr>
                <w:p w14:paraId="4095976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产污环节</w:t>
                  </w:r>
                </w:p>
              </w:tc>
              <w:tc>
                <w:tcPr>
                  <w:tcW w:w="1418" w:type="dxa"/>
                  <w:tcBorders>
                    <w:tl2br w:val="nil"/>
                    <w:tr2bl w:val="nil"/>
                  </w:tcBorders>
                  <w:vAlign w:val="center"/>
                </w:tcPr>
                <w:p w14:paraId="40E94D9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污染因子</w:t>
                  </w:r>
                </w:p>
              </w:tc>
              <w:tc>
                <w:tcPr>
                  <w:tcW w:w="1342" w:type="dxa"/>
                  <w:tcBorders>
                    <w:tl2br w:val="nil"/>
                    <w:tr2bl w:val="nil"/>
                  </w:tcBorders>
                  <w:vAlign w:val="center"/>
                </w:tcPr>
                <w:p w14:paraId="2C3335D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环保措施</w:t>
                  </w:r>
                </w:p>
              </w:tc>
              <w:tc>
                <w:tcPr>
                  <w:tcW w:w="1557" w:type="dxa"/>
                  <w:gridSpan w:val="2"/>
                  <w:tcBorders>
                    <w:tl2br w:val="nil"/>
                    <w:tr2bl w:val="nil"/>
                  </w:tcBorders>
                  <w:vAlign w:val="center"/>
                </w:tcPr>
                <w:p w14:paraId="4670032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验收指标</w:t>
                  </w:r>
                </w:p>
              </w:tc>
              <w:tc>
                <w:tcPr>
                  <w:tcW w:w="2145" w:type="dxa"/>
                  <w:tcBorders>
                    <w:tl2br w:val="nil"/>
                    <w:tr2bl w:val="nil"/>
                  </w:tcBorders>
                  <w:vAlign w:val="center"/>
                </w:tcPr>
                <w:p w14:paraId="7ADB32F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验收标准</w:t>
                  </w:r>
                </w:p>
              </w:tc>
            </w:tr>
            <w:tr w14:paraId="24B5A9E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restart"/>
                  <w:tcBorders>
                    <w:tl2br w:val="nil"/>
                    <w:tr2bl w:val="nil"/>
                  </w:tcBorders>
                  <w:vAlign w:val="center"/>
                </w:tcPr>
                <w:p w14:paraId="7259DF2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1344" w:type="dxa"/>
                  <w:vMerge w:val="restart"/>
                  <w:tcBorders>
                    <w:tl2br w:val="nil"/>
                    <w:tr2bl w:val="nil"/>
                  </w:tcBorders>
                  <w:vAlign w:val="center"/>
                </w:tcPr>
                <w:p w14:paraId="5DA1480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DA001排气筒</w:t>
                  </w:r>
                </w:p>
              </w:tc>
              <w:tc>
                <w:tcPr>
                  <w:tcW w:w="1418" w:type="dxa"/>
                  <w:tcBorders>
                    <w:tl2br w:val="nil"/>
                    <w:tr2bl w:val="nil"/>
                  </w:tcBorders>
                  <w:shd w:val="clear" w:color="auto" w:fill="auto"/>
                  <w:vAlign w:val="center"/>
                </w:tcPr>
                <w:p w14:paraId="1F0EF14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VOCs</w:t>
                  </w:r>
                </w:p>
              </w:tc>
              <w:tc>
                <w:tcPr>
                  <w:tcW w:w="1342" w:type="dxa"/>
                  <w:vMerge w:val="restart"/>
                  <w:tcBorders>
                    <w:tl2br w:val="nil"/>
                    <w:tr2bl w:val="nil"/>
                  </w:tcBorders>
                  <w:shd w:val="clear" w:color="auto" w:fill="auto"/>
                  <w:vAlign w:val="center"/>
                </w:tcPr>
                <w:p w14:paraId="348EAAC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r>
                    <w:rPr>
                      <w:rFonts w:hint="default" w:ascii="Times New Roman" w:hAnsi="Times New Roman" w:eastAsia="宋体" w:cs="Times New Roman"/>
                      <w:color w:val="auto"/>
                      <w:spacing w:val="-2"/>
                      <w:sz w:val="21"/>
                      <w:szCs w:val="21"/>
                    </w:rPr>
                    <w:t>集气罩+</w:t>
                  </w:r>
                  <w:r>
                    <w:rPr>
                      <w:rFonts w:hint="eastAsia" w:ascii="Times New Roman" w:hAnsi="Times New Roman" w:cs="Times New Roman"/>
                      <w:color w:val="auto"/>
                      <w:spacing w:val="-2"/>
                      <w:sz w:val="21"/>
                      <w:szCs w:val="21"/>
                      <w:lang w:val="en-US" w:eastAsia="zh-CN"/>
                    </w:rPr>
                    <w:t>布袋除尘器+</w:t>
                  </w:r>
                  <w:r>
                    <w:rPr>
                      <w:rFonts w:hint="default" w:ascii="Times New Roman" w:hAnsi="Times New Roman" w:eastAsia="宋体" w:cs="Times New Roman"/>
                      <w:color w:val="auto"/>
                      <w:spacing w:val="-2"/>
                      <w:sz w:val="21"/>
                      <w:szCs w:val="21"/>
                    </w:rPr>
                    <w:t>二级活性炭吸附装置+15m</w:t>
                  </w:r>
                  <w:r>
                    <w:rPr>
                      <w:rFonts w:hint="default" w:ascii="Times New Roman" w:hAnsi="Times New Roman" w:eastAsia="宋体" w:cs="Times New Roman"/>
                      <w:color w:val="auto"/>
                      <w:spacing w:val="-3"/>
                      <w:sz w:val="21"/>
                      <w:szCs w:val="21"/>
                    </w:rPr>
                    <w:t>高排气筒</w:t>
                  </w:r>
                </w:p>
                <w:p w14:paraId="2C5112D4">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p>
              </w:tc>
              <w:tc>
                <w:tcPr>
                  <w:tcW w:w="1557" w:type="dxa"/>
                  <w:gridSpan w:val="2"/>
                  <w:tcBorders>
                    <w:tl2br w:val="nil"/>
                    <w:tr2bl w:val="nil"/>
                  </w:tcBorders>
                  <w:shd w:val="clear" w:color="auto" w:fill="auto"/>
                  <w:vAlign w:val="center"/>
                </w:tcPr>
                <w:p w14:paraId="686CEBD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vertAlign w:val="baseline"/>
                      <w:lang w:eastAsia="zh-CN"/>
                    </w:rPr>
                    <w:t>、</w:t>
                  </w:r>
                  <w:r>
                    <w:rPr>
                      <w:rFonts w:hint="eastAsia" w:ascii="Times New Roman" w:hAnsi="Times New Roman" w:cs="Times New Roman"/>
                      <w:color w:val="auto"/>
                      <w:sz w:val="21"/>
                      <w:szCs w:val="21"/>
                      <w:lang w:val="en-US" w:eastAsia="zh-CN"/>
                    </w:rPr>
                    <w:t>3.0</w:t>
                  </w:r>
                  <w:r>
                    <w:rPr>
                      <w:rFonts w:hint="default" w:ascii="Times New Roman" w:hAnsi="Times New Roman" w:cs="Times New Roman"/>
                      <w:color w:val="auto"/>
                      <w:sz w:val="21"/>
                      <w:szCs w:val="21"/>
                    </w:rPr>
                    <w:t>kg/h</w:t>
                  </w:r>
                </w:p>
              </w:tc>
              <w:tc>
                <w:tcPr>
                  <w:tcW w:w="2145" w:type="dxa"/>
                  <w:tcBorders>
                    <w:tl2br w:val="nil"/>
                    <w:tr2bl w:val="nil"/>
                  </w:tcBorders>
                  <w:shd w:val="clear" w:color="auto" w:fill="auto"/>
                  <w:vAlign w:val="center"/>
                </w:tcPr>
                <w:p w14:paraId="1E99148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pacing w:val="-6"/>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表2排放限值</w:t>
                  </w:r>
                  <w:r>
                    <w:rPr>
                      <w:rFonts w:hint="default" w:ascii="Times New Roman" w:hAnsi="Times New Roman" w:eastAsia="宋体" w:cs="Times New Roman"/>
                      <w:color w:val="auto"/>
                      <w:spacing w:val="-1"/>
                      <w:sz w:val="21"/>
                      <w:szCs w:val="21"/>
                    </w:rPr>
                    <w:t>要求</w:t>
                  </w:r>
                </w:p>
              </w:tc>
            </w:tr>
            <w:tr w14:paraId="4401A41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7E445C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70B882D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6B23591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342" w:type="dxa"/>
                  <w:vMerge w:val="continue"/>
                  <w:tcBorders>
                    <w:tl2br w:val="nil"/>
                    <w:tr2bl w:val="nil"/>
                  </w:tcBorders>
                  <w:vAlign w:val="center"/>
                </w:tcPr>
                <w:p w14:paraId="7AB5914B">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rPr>
                  </w:pPr>
                </w:p>
              </w:tc>
              <w:tc>
                <w:tcPr>
                  <w:tcW w:w="1557" w:type="dxa"/>
                  <w:gridSpan w:val="2"/>
                  <w:tcBorders>
                    <w:tl2br w:val="nil"/>
                    <w:tr2bl w:val="nil"/>
                  </w:tcBorders>
                  <w:shd w:val="clear" w:color="auto" w:fill="auto"/>
                  <w:vAlign w:val="center"/>
                </w:tcPr>
                <w:p w14:paraId="74E299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2145" w:type="dxa"/>
                  <w:tcBorders>
                    <w:tl2br w:val="nil"/>
                    <w:tr2bl w:val="nil"/>
                  </w:tcBorders>
                  <w:shd w:val="clear" w:color="auto" w:fill="auto"/>
                  <w:vAlign w:val="center"/>
                </w:tcPr>
                <w:p w14:paraId="06CD18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《区域性大气污染物综合排放标准》（DB37/2376-2019）表1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重点控制区</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大气污染物排放浓度限值</w:t>
                  </w:r>
                </w:p>
              </w:tc>
            </w:tr>
            <w:tr w14:paraId="465DE1D5">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2C36B46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22D2D4A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5660145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snapToGrid w:val="0"/>
                      <w:color w:val="auto"/>
                      <w:spacing w:val="-1"/>
                      <w:kern w:val="0"/>
                      <w:sz w:val="21"/>
                      <w:szCs w:val="21"/>
                      <w:lang w:val="en-US" w:eastAsia="zh-CN" w:bidi="ar-SA"/>
                    </w:rPr>
                    <w:t>苯乙烯</w:t>
                  </w:r>
                </w:p>
              </w:tc>
              <w:tc>
                <w:tcPr>
                  <w:tcW w:w="1342" w:type="dxa"/>
                  <w:vMerge w:val="continue"/>
                  <w:tcBorders>
                    <w:tl2br w:val="nil"/>
                    <w:tr2bl w:val="nil"/>
                  </w:tcBorders>
                  <w:vAlign w:val="center"/>
                </w:tcPr>
                <w:p w14:paraId="1BECC37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rPr>
                  </w:pPr>
                </w:p>
              </w:tc>
              <w:tc>
                <w:tcPr>
                  <w:tcW w:w="1557" w:type="dxa"/>
                  <w:gridSpan w:val="2"/>
                  <w:tcBorders>
                    <w:tl2br w:val="nil"/>
                    <w:tr2bl w:val="nil"/>
                  </w:tcBorders>
                  <w:shd w:val="clear" w:color="auto" w:fill="auto"/>
                  <w:vAlign w:val="center"/>
                </w:tcPr>
                <w:p w14:paraId="7FDBD31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6.5kg/h</w:t>
                  </w:r>
                </w:p>
              </w:tc>
              <w:tc>
                <w:tcPr>
                  <w:tcW w:w="2145" w:type="dxa"/>
                  <w:vMerge w:val="restart"/>
                  <w:tcBorders>
                    <w:tl2br w:val="nil"/>
                    <w:tr2bl w:val="nil"/>
                  </w:tcBorders>
                  <w:shd w:val="clear" w:color="auto" w:fill="auto"/>
                  <w:vAlign w:val="center"/>
                </w:tcPr>
                <w:p w14:paraId="3239564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《恶臭污染物排放标准》（GB14554-93）</w:t>
                  </w:r>
                </w:p>
              </w:tc>
            </w:tr>
            <w:tr w14:paraId="5CC9132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2917E00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324CCFD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20DDC6B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snapToGrid w:val="0"/>
                      <w:color w:val="auto"/>
                      <w:spacing w:val="-1"/>
                      <w:kern w:val="0"/>
                      <w:sz w:val="21"/>
                      <w:szCs w:val="21"/>
                      <w:lang w:val="en-US" w:eastAsia="zh-CN" w:bidi="ar-SA"/>
                    </w:rPr>
                    <w:t>臭气浓度</w:t>
                  </w:r>
                </w:p>
              </w:tc>
              <w:tc>
                <w:tcPr>
                  <w:tcW w:w="1342" w:type="dxa"/>
                  <w:vMerge w:val="continue"/>
                  <w:tcBorders>
                    <w:tl2br w:val="nil"/>
                    <w:tr2bl w:val="nil"/>
                  </w:tcBorders>
                  <w:vAlign w:val="center"/>
                </w:tcPr>
                <w:p w14:paraId="7347E079">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rPr>
                  </w:pPr>
                </w:p>
              </w:tc>
              <w:tc>
                <w:tcPr>
                  <w:tcW w:w="1557" w:type="dxa"/>
                  <w:gridSpan w:val="2"/>
                  <w:tcBorders>
                    <w:tl2br w:val="nil"/>
                    <w:tr2bl w:val="nil"/>
                  </w:tcBorders>
                  <w:shd w:val="clear" w:color="auto" w:fill="auto"/>
                  <w:vAlign w:val="center"/>
                </w:tcPr>
                <w:p w14:paraId="3EC07B5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2000（无量纲）</w:t>
                  </w:r>
                </w:p>
              </w:tc>
              <w:tc>
                <w:tcPr>
                  <w:tcW w:w="2145" w:type="dxa"/>
                  <w:vMerge w:val="continue"/>
                  <w:tcBorders>
                    <w:tl2br w:val="nil"/>
                    <w:tr2bl w:val="nil"/>
                  </w:tcBorders>
                  <w:shd w:val="clear" w:color="auto" w:fill="auto"/>
                  <w:vAlign w:val="center"/>
                </w:tcPr>
                <w:p w14:paraId="5821DF6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p>
              </w:tc>
            </w:tr>
            <w:tr w14:paraId="294E7E6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5D86EDA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4AD361B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194FB64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342" w:type="dxa"/>
                  <w:vMerge w:val="continue"/>
                  <w:tcBorders>
                    <w:tl2br w:val="nil"/>
                    <w:tr2bl w:val="nil"/>
                  </w:tcBorders>
                  <w:vAlign w:val="center"/>
                </w:tcPr>
                <w:p w14:paraId="72EC427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rPr>
                  </w:pPr>
                </w:p>
              </w:tc>
              <w:tc>
                <w:tcPr>
                  <w:tcW w:w="1557" w:type="dxa"/>
                  <w:gridSpan w:val="2"/>
                  <w:tcBorders>
                    <w:tl2br w:val="nil"/>
                    <w:tr2bl w:val="nil"/>
                  </w:tcBorders>
                  <w:shd w:val="clear" w:color="auto" w:fill="auto"/>
                  <w:vAlign w:val="center"/>
                </w:tcPr>
                <w:p w14:paraId="6B1DC82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highlight w:val="none"/>
                    </w:rPr>
                    <w:t>25</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、0.26kg/h</w:t>
                  </w:r>
                </w:p>
              </w:tc>
              <w:tc>
                <w:tcPr>
                  <w:tcW w:w="2145" w:type="dxa"/>
                  <w:vMerge w:val="restart"/>
                  <w:tcBorders>
                    <w:tl2br w:val="nil"/>
                    <w:tr2bl w:val="nil"/>
                  </w:tcBorders>
                  <w:shd w:val="clear" w:color="auto" w:fill="auto"/>
                  <w:vAlign w:val="center"/>
                </w:tcPr>
                <w:p w14:paraId="42487EC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highlight w:val="none"/>
                    </w:rPr>
                    <w:t>《大气污染物综合排放标准》</w:t>
                  </w:r>
                  <w:r>
                    <w:rPr>
                      <w:rFonts w:hint="default" w:ascii="Times New Roman" w:hAnsi="Times New Roman" w:cs="Times New Roman"/>
                      <w:bCs/>
                      <w:color w:val="auto"/>
                      <w:sz w:val="21"/>
                      <w:szCs w:val="21"/>
                      <w:highlight w:val="none"/>
                      <w:lang w:val="en-GB"/>
                    </w:rPr>
                    <w:t xml:space="preserve"> (GB16297-1996)表2</w:t>
                  </w:r>
                </w:p>
              </w:tc>
            </w:tr>
            <w:tr w14:paraId="741F9AF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69B58FC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691F383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59AA566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342" w:type="dxa"/>
                  <w:vMerge w:val="continue"/>
                  <w:tcBorders>
                    <w:tl2br w:val="nil"/>
                    <w:tr2bl w:val="nil"/>
                  </w:tcBorders>
                  <w:vAlign w:val="center"/>
                </w:tcPr>
                <w:p w14:paraId="2FBDC5F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2"/>
                      <w:sz w:val="21"/>
                      <w:szCs w:val="21"/>
                    </w:rPr>
                  </w:pPr>
                </w:p>
              </w:tc>
              <w:tc>
                <w:tcPr>
                  <w:tcW w:w="1557" w:type="dxa"/>
                  <w:gridSpan w:val="2"/>
                  <w:tcBorders>
                    <w:tl2br w:val="nil"/>
                    <w:tr2bl w:val="nil"/>
                  </w:tcBorders>
                  <w:shd w:val="clear" w:color="auto" w:fill="auto"/>
                  <w:vAlign w:val="center"/>
                </w:tcPr>
                <w:p w14:paraId="6012195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bCs/>
                      <w:color w:val="auto"/>
                      <w:sz w:val="21"/>
                      <w:szCs w:val="21"/>
                      <w:highlight w:val="none"/>
                    </w:rPr>
                    <w:t>100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、0.10kg/h</w:t>
                  </w:r>
                </w:p>
              </w:tc>
              <w:tc>
                <w:tcPr>
                  <w:tcW w:w="2145" w:type="dxa"/>
                  <w:vMerge w:val="continue"/>
                  <w:tcBorders>
                    <w:tl2br w:val="nil"/>
                    <w:tr2bl w:val="nil"/>
                  </w:tcBorders>
                  <w:shd w:val="clear" w:color="auto" w:fill="auto"/>
                  <w:vAlign w:val="center"/>
                </w:tcPr>
                <w:p w14:paraId="28AD991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p>
              </w:tc>
            </w:tr>
            <w:tr w14:paraId="4206909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6D7A2E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restart"/>
                  <w:tcBorders>
                    <w:tl2br w:val="nil"/>
                    <w:tr2bl w:val="nil"/>
                  </w:tcBorders>
                  <w:vAlign w:val="center"/>
                </w:tcPr>
                <w:p w14:paraId="6828E1E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DA00</w:t>
                  </w: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排气筒</w:t>
                  </w:r>
                </w:p>
              </w:tc>
              <w:tc>
                <w:tcPr>
                  <w:tcW w:w="1418" w:type="dxa"/>
                  <w:tcBorders>
                    <w:tl2br w:val="nil"/>
                    <w:tr2bl w:val="nil"/>
                  </w:tcBorders>
                  <w:shd w:val="clear" w:color="auto" w:fill="auto"/>
                  <w:vAlign w:val="center"/>
                </w:tcPr>
                <w:p w14:paraId="3CAA97E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VOCs</w:t>
                  </w:r>
                </w:p>
              </w:tc>
              <w:tc>
                <w:tcPr>
                  <w:tcW w:w="1342" w:type="dxa"/>
                  <w:vMerge w:val="restart"/>
                  <w:tcBorders>
                    <w:tl2br w:val="nil"/>
                    <w:tr2bl w:val="nil"/>
                  </w:tcBorders>
                  <w:vAlign w:val="center"/>
                </w:tcPr>
                <w:p w14:paraId="64232918">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pacing w:val="-2"/>
                      <w:sz w:val="21"/>
                      <w:szCs w:val="21"/>
                    </w:rPr>
                    <w:t>集气罩+</w:t>
                  </w:r>
                  <w:r>
                    <w:rPr>
                      <w:rFonts w:hint="eastAsia" w:ascii="Times New Roman" w:hAnsi="Times New Roman" w:cs="Times New Roman"/>
                      <w:color w:val="auto"/>
                      <w:spacing w:val="-2"/>
                      <w:sz w:val="21"/>
                      <w:szCs w:val="21"/>
                      <w:lang w:val="en-US" w:eastAsia="zh-CN"/>
                    </w:rPr>
                    <w:t>布袋除尘器+</w:t>
                  </w:r>
                  <w:r>
                    <w:rPr>
                      <w:rFonts w:hint="default" w:ascii="Times New Roman" w:hAnsi="Times New Roman" w:eastAsia="宋体" w:cs="Times New Roman"/>
                      <w:color w:val="auto"/>
                      <w:spacing w:val="-2"/>
                      <w:sz w:val="21"/>
                      <w:szCs w:val="21"/>
                    </w:rPr>
                    <w:t>二级活性炭吸附装置+15m</w:t>
                  </w:r>
                  <w:r>
                    <w:rPr>
                      <w:rFonts w:hint="default" w:ascii="Times New Roman" w:hAnsi="Times New Roman" w:eastAsia="宋体" w:cs="Times New Roman"/>
                      <w:color w:val="auto"/>
                      <w:spacing w:val="-3"/>
                      <w:sz w:val="21"/>
                      <w:szCs w:val="21"/>
                    </w:rPr>
                    <w:t>高排气筒</w:t>
                  </w:r>
                </w:p>
              </w:tc>
              <w:tc>
                <w:tcPr>
                  <w:tcW w:w="1557" w:type="dxa"/>
                  <w:gridSpan w:val="2"/>
                  <w:tcBorders>
                    <w:tl2br w:val="nil"/>
                    <w:tr2bl w:val="nil"/>
                  </w:tcBorders>
                  <w:vAlign w:val="center"/>
                </w:tcPr>
                <w:p w14:paraId="4675AD5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60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vertAlign w:val="baseline"/>
                      <w:lang w:eastAsia="zh-CN"/>
                    </w:rPr>
                    <w:t>、</w:t>
                  </w:r>
                  <w:r>
                    <w:rPr>
                      <w:rFonts w:hint="eastAsia" w:ascii="Times New Roman" w:hAnsi="Times New Roman" w:cs="Times New Roman"/>
                      <w:color w:val="auto"/>
                      <w:sz w:val="21"/>
                      <w:szCs w:val="21"/>
                      <w:lang w:val="en-US" w:eastAsia="zh-CN"/>
                    </w:rPr>
                    <w:t>3.0</w:t>
                  </w:r>
                  <w:r>
                    <w:rPr>
                      <w:rFonts w:hint="default" w:ascii="Times New Roman" w:hAnsi="Times New Roman" w:cs="Times New Roman"/>
                      <w:color w:val="auto"/>
                      <w:sz w:val="21"/>
                      <w:szCs w:val="21"/>
                    </w:rPr>
                    <w:t>kg/h</w:t>
                  </w:r>
                </w:p>
              </w:tc>
              <w:tc>
                <w:tcPr>
                  <w:tcW w:w="2145" w:type="dxa"/>
                  <w:tcBorders>
                    <w:tl2br w:val="nil"/>
                    <w:tr2bl w:val="nil"/>
                  </w:tcBorders>
                  <w:shd w:val="clear" w:color="auto" w:fill="auto"/>
                  <w:vAlign w:val="center"/>
                </w:tcPr>
                <w:p w14:paraId="0F5BBFCF">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pacing w:val="-6"/>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表2排放限值</w:t>
                  </w:r>
                  <w:r>
                    <w:rPr>
                      <w:rFonts w:hint="default" w:ascii="Times New Roman" w:hAnsi="Times New Roman" w:eastAsia="宋体" w:cs="Times New Roman"/>
                      <w:color w:val="auto"/>
                      <w:spacing w:val="-1"/>
                      <w:sz w:val="21"/>
                      <w:szCs w:val="21"/>
                    </w:rPr>
                    <w:t>要求</w:t>
                  </w:r>
                </w:p>
              </w:tc>
            </w:tr>
            <w:tr w14:paraId="3F0EA49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4141601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536FEE0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46A13B2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342" w:type="dxa"/>
                  <w:vMerge w:val="continue"/>
                  <w:tcBorders>
                    <w:tl2br w:val="nil"/>
                    <w:tr2bl w:val="nil"/>
                  </w:tcBorders>
                  <w:vAlign w:val="center"/>
                </w:tcPr>
                <w:p w14:paraId="06B66FD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vAlign w:val="center"/>
                </w:tcPr>
                <w:p w14:paraId="6713174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2145" w:type="dxa"/>
                  <w:tcBorders>
                    <w:tl2br w:val="nil"/>
                    <w:tr2bl w:val="nil"/>
                  </w:tcBorders>
                  <w:shd w:val="clear" w:color="auto" w:fill="auto"/>
                  <w:vAlign w:val="center"/>
                </w:tcPr>
                <w:p w14:paraId="508F0CD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《区域性大气污染物综合排放标准》（DB37/2376-2019）表1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重点控制区</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大气污染物排放浓度限值</w:t>
                  </w:r>
                </w:p>
              </w:tc>
            </w:tr>
            <w:tr w14:paraId="4675ECC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6139CB6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26ACF4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4644D5F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1"/>
                      <w:kern w:val="0"/>
                      <w:sz w:val="21"/>
                      <w:szCs w:val="21"/>
                      <w:lang w:val="en-US" w:eastAsia="zh-CN" w:bidi="ar-SA"/>
                    </w:rPr>
                    <w:t>苯乙烯</w:t>
                  </w:r>
                </w:p>
              </w:tc>
              <w:tc>
                <w:tcPr>
                  <w:tcW w:w="1342" w:type="dxa"/>
                  <w:vMerge w:val="continue"/>
                  <w:tcBorders>
                    <w:tl2br w:val="nil"/>
                    <w:tr2bl w:val="nil"/>
                  </w:tcBorders>
                  <w:shd w:val="clear" w:color="auto" w:fill="auto"/>
                  <w:vAlign w:val="center"/>
                </w:tcPr>
                <w:p w14:paraId="6AFF176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2"/>
                      <w:kern w:val="0"/>
                      <w:sz w:val="21"/>
                      <w:szCs w:val="21"/>
                      <w:lang w:val="en-US" w:eastAsia="en-US" w:bidi="ar-SA"/>
                    </w:rPr>
                  </w:pPr>
                </w:p>
              </w:tc>
              <w:tc>
                <w:tcPr>
                  <w:tcW w:w="1557" w:type="dxa"/>
                  <w:gridSpan w:val="2"/>
                  <w:tcBorders>
                    <w:tl2br w:val="nil"/>
                    <w:tr2bl w:val="nil"/>
                  </w:tcBorders>
                  <w:shd w:val="clear" w:color="auto" w:fill="auto"/>
                  <w:vAlign w:val="center"/>
                </w:tcPr>
                <w:p w14:paraId="14DE8C5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6.5kg/h</w:t>
                  </w:r>
                </w:p>
              </w:tc>
              <w:tc>
                <w:tcPr>
                  <w:tcW w:w="2145" w:type="dxa"/>
                  <w:vMerge w:val="restart"/>
                  <w:tcBorders>
                    <w:tl2br w:val="nil"/>
                    <w:tr2bl w:val="nil"/>
                  </w:tcBorders>
                  <w:shd w:val="clear" w:color="auto" w:fill="auto"/>
                  <w:vAlign w:val="center"/>
                </w:tcPr>
                <w:p w14:paraId="648828D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《恶臭污染物排放标准》（GB14554-93）</w:t>
                  </w:r>
                </w:p>
              </w:tc>
            </w:tr>
            <w:tr w14:paraId="5777AED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C5D9AF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01EE9BB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196F77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1"/>
                      <w:kern w:val="0"/>
                      <w:sz w:val="21"/>
                      <w:szCs w:val="21"/>
                      <w:lang w:val="en-US" w:eastAsia="zh-CN" w:bidi="ar-SA"/>
                    </w:rPr>
                    <w:t>臭气浓度</w:t>
                  </w:r>
                </w:p>
              </w:tc>
              <w:tc>
                <w:tcPr>
                  <w:tcW w:w="1342" w:type="dxa"/>
                  <w:vMerge w:val="continue"/>
                  <w:tcBorders>
                    <w:tl2br w:val="nil"/>
                    <w:tr2bl w:val="nil"/>
                  </w:tcBorders>
                  <w:vAlign w:val="center"/>
                </w:tcPr>
                <w:p w14:paraId="0917626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6E4E6C5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2000（无量纲）</w:t>
                  </w:r>
                </w:p>
              </w:tc>
              <w:tc>
                <w:tcPr>
                  <w:tcW w:w="2145" w:type="dxa"/>
                  <w:vMerge w:val="continue"/>
                  <w:tcBorders>
                    <w:tl2br w:val="nil"/>
                    <w:tr2bl w:val="nil"/>
                  </w:tcBorders>
                  <w:shd w:val="clear" w:color="auto" w:fill="auto"/>
                  <w:vAlign w:val="center"/>
                </w:tcPr>
                <w:p w14:paraId="4A7B23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p>
              </w:tc>
            </w:tr>
            <w:tr w14:paraId="7E19601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6D47B7D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0A5ADAD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4037A51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342" w:type="dxa"/>
                  <w:vMerge w:val="continue"/>
                  <w:tcBorders>
                    <w:tl2br w:val="nil"/>
                    <w:tr2bl w:val="nil"/>
                  </w:tcBorders>
                  <w:vAlign w:val="center"/>
                </w:tcPr>
                <w:p w14:paraId="7E75955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7938907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bCs/>
                      <w:color w:val="auto"/>
                      <w:sz w:val="21"/>
                      <w:szCs w:val="21"/>
                      <w:highlight w:val="none"/>
                    </w:rPr>
                    <w:t>25</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、0.26kg/h</w:t>
                  </w:r>
                </w:p>
              </w:tc>
              <w:tc>
                <w:tcPr>
                  <w:tcW w:w="2145" w:type="dxa"/>
                  <w:vMerge w:val="restart"/>
                  <w:tcBorders>
                    <w:tl2br w:val="nil"/>
                    <w:tr2bl w:val="nil"/>
                  </w:tcBorders>
                  <w:shd w:val="clear" w:color="auto" w:fill="auto"/>
                  <w:vAlign w:val="center"/>
                </w:tcPr>
                <w:p w14:paraId="0AB3AE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《大气污染物综合排放标准》</w:t>
                  </w:r>
                  <w:r>
                    <w:rPr>
                      <w:rFonts w:hint="default" w:ascii="Times New Roman" w:hAnsi="Times New Roman" w:cs="Times New Roman"/>
                      <w:bCs/>
                      <w:color w:val="auto"/>
                      <w:sz w:val="21"/>
                      <w:szCs w:val="21"/>
                      <w:highlight w:val="none"/>
                      <w:lang w:val="en-GB"/>
                    </w:rPr>
                    <w:t xml:space="preserve"> (GB16297-1996)表2</w:t>
                  </w:r>
                </w:p>
              </w:tc>
            </w:tr>
            <w:tr w14:paraId="03A8D46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5C18B1E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696A976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0ED9D4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342" w:type="dxa"/>
                  <w:vMerge w:val="continue"/>
                  <w:tcBorders>
                    <w:tl2br w:val="nil"/>
                    <w:tr2bl w:val="nil"/>
                  </w:tcBorders>
                  <w:vAlign w:val="center"/>
                </w:tcPr>
                <w:p w14:paraId="35C823F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1D17A4F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bCs/>
                      <w:color w:val="auto"/>
                      <w:sz w:val="21"/>
                      <w:szCs w:val="21"/>
                      <w:highlight w:val="none"/>
                    </w:rPr>
                    <w:t>100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、0.10kg/h</w:t>
                  </w:r>
                </w:p>
              </w:tc>
              <w:tc>
                <w:tcPr>
                  <w:tcW w:w="2145" w:type="dxa"/>
                  <w:vMerge w:val="continue"/>
                  <w:tcBorders>
                    <w:tl2br w:val="nil"/>
                    <w:tr2bl w:val="nil"/>
                  </w:tcBorders>
                  <w:shd w:val="clear" w:color="auto" w:fill="auto"/>
                  <w:vAlign w:val="center"/>
                </w:tcPr>
                <w:p w14:paraId="79AFB53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p>
              </w:tc>
            </w:tr>
            <w:tr w14:paraId="6530405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6FF429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restart"/>
                  <w:tcBorders>
                    <w:tl2br w:val="nil"/>
                    <w:tr2bl w:val="nil"/>
                  </w:tcBorders>
                  <w:vAlign w:val="center"/>
                </w:tcPr>
                <w:p w14:paraId="3D7902E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DA00</w:t>
                  </w:r>
                  <w:r>
                    <w:rPr>
                      <w:rFonts w:hint="eastAsia"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排气筒</w:t>
                  </w:r>
                </w:p>
              </w:tc>
              <w:tc>
                <w:tcPr>
                  <w:tcW w:w="1418" w:type="dxa"/>
                  <w:tcBorders>
                    <w:tl2br w:val="nil"/>
                    <w:tr2bl w:val="nil"/>
                  </w:tcBorders>
                  <w:shd w:val="clear" w:color="auto" w:fill="auto"/>
                  <w:vAlign w:val="center"/>
                </w:tcPr>
                <w:p w14:paraId="483213B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VOCs</w:t>
                  </w:r>
                </w:p>
              </w:tc>
              <w:tc>
                <w:tcPr>
                  <w:tcW w:w="1342" w:type="dxa"/>
                  <w:vMerge w:val="restart"/>
                  <w:tcBorders>
                    <w:tl2br w:val="nil"/>
                    <w:tr2bl w:val="nil"/>
                  </w:tcBorders>
                  <w:shd w:val="clear" w:color="auto" w:fill="auto"/>
                  <w:vAlign w:val="center"/>
                </w:tcPr>
                <w:p w14:paraId="79402283">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pacing w:val="-2"/>
                      <w:sz w:val="21"/>
                      <w:szCs w:val="21"/>
                    </w:rPr>
                    <w:t>集气罩+</w:t>
                  </w:r>
                  <w:r>
                    <w:rPr>
                      <w:rFonts w:hint="eastAsia" w:ascii="Times New Roman" w:hAnsi="Times New Roman" w:cs="Times New Roman"/>
                      <w:color w:val="auto"/>
                      <w:spacing w:val="-2"/>
                      <w:sz w:val="21"/>
                      <w:szCs w:val="21"/>
                      <w:lang w:val="en-US" w:eastAsia="zh-CN"/>
                    </w:rPr>
                    <w:t>布袋除尘器+</w:t>
                  </w:r>
                  <w:r>
                    <w:rPr>
                      <w:rFonts w:hint="default" w:ascii="Times New Roman" w:hAnsi="Times New Roman" w:eastAsia="宋体" w:cs="Times New Roman"/>
                      <w:color w:val="auto"/>
                      <w:spacing w:val="-2"/>
                      <w:sz w:val="21"/>
                      <w:szCs w:val="21"/>
                    </w:rPr>
                    <w:t>二级活性炭吸附装置+15m</w:t>
                  </w:r>
                  <w:r>
                    <w:rPr>
                      <w:rFonts w:hint="default" w:ascii="Times New Roman" w:hAnsi="Times New Roman" w:eastAsia="宋体" w:cs="Times New Roman"/>
                      <w:color w:val="auto"/>
                      <w:spacing w:val="-3"/>
                      <w:sz w:val="21"/>
                      <w:szCs w:val="21"/>
                    </w:rPr>
                    <w:t>高排气筒</w:t>
                  </w:r>
                </w:p>
              </w:tc>
              <w:tc>
                <w:tcPr>
                  <w:tcW w:w="1557" w:type="dxa"/>
                  <w:gridSpan w:val="2"/>
                  <w:tcBorders>
                    <w:tl2br w:val="nil"/>
                    <w:tr2bl w:val="nil"/>
                  </w:tcBorders>
                  <w:shd w:val="clear" w:color="auto" w:fill="auto"/>
                  <w:vAlign w:val="center"/>
                </w:tcPr>
                <w:p w14:paraId="4AC5A7F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vertAlign w:val="baseline"/>
                      <w:lang w:eastAsia="zh-CN"/>
                    </w:rPr>
                    <w:t>、</w:t>
                  </w:r>
                  <w:r>
                    <w:rPr>
                      <w:rFonts w:hint="eastAsia" w:ascii="Times New Roman" w:hAnsi="Times New Roman" w:cs="Times New Roman"/>
                      <w:color w:val="auto"/>
                      <w:sz w:val="21"/>
                      <w:szCs w:val="21"/>
                      <w:lang w:val="en-US" w:eastAsia="zh-CN"/>
                    </w:rPr>
                    <w:t>3.0</w:t>
                  </w:r>
                  <w:r>
                    <w:rPr>
                      <w:rFonts w:hint="default" w:ascii="Times New Roman" w:hAnsi="Times New Roman" w:cs="Times New Roman"/>
                      <w:color w:val="auto"/>
                      <w:sz w:val="21"/>
                      <w:szCs w:val="21"/>
                    </w:rPr>
                    <w:t>kg/h</w:t>
                  </w:r>
                </w:p>
              </w:tc>
              <w:tc>
                <w:tcPr>
                  <w:tcW w:w="2145" w:type="dxa"/>
                  <w:tcBorders>
                    <w:tl2br w:val="nil"/>
                    <w:tr2bl w:val="nil"/>
                  </w:tcBorders>
                  <w:shd w:val="clear" w:color="auto" w:fill="auto"/>
                  <w:vAlign w:val="center"/>
                </w:tcPr>
                <w:p w14:paraId="77638F7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pacing w:val="-6"/>
                      <w:sz w:val="21"/>
                      <w:szCs w:val="21"/>
                      <w:lang w:eastAsia="zh-CN"/>
                    </w:rPr>
                    <w:t>《挥发性有机物排放标准第7部分：其他行业》（DB37/2801.7-2019）</w:t>
                  </w:r>
                  <w:r>
                    <w:rPr>
                      <w:rFonts w:hint="default" w:ascii="Times New Roman" w:hAnsi="Times New Roman" w:cs="Times New Roman"/>
                      <w:color w:val="auto"/>
                      <w:spacing w:val="-2"/>
                      <w:sz w:val="21"/>
                      <w:szCs w:val="21"/>
                      <w:lang w:eastAsia="zh-CN"/>
                    </w:rPr>
                    <w:t>表2排放限值</w:t>
                  </w:r>
                  <w:r>
                    <w:rPr>
                      <w:rFonts w:hint="default" w:ascii="Times New Roman" w:hAnsi="Times New Roman" w:eastAsia="宋体" w:cs="Times New Roman"/>
                      <w:color w:val="auto"/>
                      <w:spacing w:val="-1"/>
                      <w:sz w:val="21"/>
                      <w:szCs w:val="21"/>
                    </w:rPr>
                    <w:t>要求</w:t>
                  </w:r>
                </w:p>
              </w:tc>
            </w:tr>
            <w:tr w14:paraId="5E11FB4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7B33F18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184E159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5F1C6E6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342" w:type="dxa"/>
                  <w:vMerge w:val="continue"/>
                  <w:tcBorders>
                    <w:tl2br w:val="nil"/>
                    <w:tr2bl w:val="nil"/>
                  </w:tcBorders>
                  <w:vAlign w:val="center"/>
                </w:tcPr>
                <w:p w14:paraId="5392687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75EFA58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2145" w:type="dxa"/>
                  <w:tcBorders>
                    <w:tl2br w:val="nil"/>
                    <w:tr2bl w:val="nil"/>
                  </w:tcBorders>
                  <w:shd w:val="clear" w:color="auto" w:fill="auto"/>
                  <w:vAlign w:val="center"/>
                </w:tcPr>
                <w:p w14:paraId="0DD3C5B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《区域性大气污染物综合排放标准》（DB37/2376-2019）表1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重点控制区</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大气污染物排放浓度限值</w:t>
                  </w:r>
                </w:p>
              </w:tc>
            </w:tr>
            <w:tr w14:paraId="5E158FD1">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6F736E6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6347E4A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788A559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1"/>
                      <w:kern w:val="0"/>
                      <w:sz w:val="21"/>
                      <w:szCs w:val="21"/>
                      <w:lang w:val="en-US" w:eastAsia="zh-CN" w:bidi="ar-SA"/>
                    </w:rPr>
                    <w:t>苯乙烯</w:t>
                  </w:r>
                </w:p>
              </w:tc>
              <w:tc>
                <w:tcPr>
                  <w:tcW w:w="1342" w:type="dxa"/>
                  <w:vMerge w:val="continue"/>
                  <w:tcBorders>
                    <w:tl2br w:val="nil"/>
                    <w:tr2bl w:val="nil"/>
                  </w:tcBorders>
                  <w:shd w:val="clear" w:color="auto" w:fill="auto"/>
                  <w:vAlign w:val="center"/>
                </w:tcPr>
                <w:p w14:paraId="414387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0E878BA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6.5kg/h</w:t>
                  </w:r>
                </w:p>
              </w:tc>
              <w:tc>
                <w:tcPr>
                  <w:tcW w:w="2145" w:type="dxa"/>
                  <w:vMerge w:val="restart"/>
                  <w:tcBorders>
                    <w:tl2br w:val="nil"/>
                    <w:tr2bl w:val="nil"/>
                  </w:tcBorders>
                  <w:shd w:val="clear" w:color="auto" w:fill="auto"/>
                  <w:vAlign w:val="center"/>
                </w:tcPr>
                <w:p w14:paraId="3871A23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lang w:val="en-US" w:eastAsia="zh-CN"/>
                    </w:rPr>
                    <w:t>《恶臭污染物排放标准》（GB14554-93）</w:t>
                  </w:r>
                </w:p>
              </w:tc>
            </w:tr>
            <w:tr w14:paraId="015A6A64">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57B6E92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4A260C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2879FBD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pacing w:val="-1"/>
                      <w:kern w:val="0"/>
                      <w:sz w:val="21"/>
                      <w:szCs w:val="21"/>
                      <w:lang w:val="en-US" w:eastAsia="zh-CN" w:bidi="ar-SA"/>
                    </w:rPr>
                    <w:t>臭气浓度</w:t>
                  </w:r>
                </w:p>
              </w:tc>
              <w:tc>
                <w:tcPr>
                  <w:tcW w:w="1342" w:type="dxa"/>
                  <w:vMerge w:val="continue"/>
                  <w:tcBorders>
                    <w:tl2br w:val="nil"/>
                    <w:tr2bl w:val="nil"/>
                  </w:tcBorders>
                  <w:vAlign w:val="center"/>
                </w:tcPr>
                <w:p w14:paraId="43B0B0C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5ACF309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2000（无量纲）</w:t>
                  </w:r>
                </w:p>
              </w:tc>
              <w:tc>
                <w:tcPr>
                  <w:tcW w:w="2145" w:type="dxa"/>
                  <w:vMerge w:val="continue"/>
                  <w:tcBorders>
                    <w:tl2br w:val="nil"/>
                    <w:tr2bl w:val="nil"/>
                  </w:tcBorders>
                  <w:shd w:val="clear" w:color="auto" w:fill="auto"/>
                  <w:vAlign w:val="center"/>
                </w:tcPr>
                <w:p w14:paraId="66A76CF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rPr>
                  </w:pPr>
                </w:p>
              </w:tc>
            </w:tr>
            <w:tr w14:paraId="1AF5D7B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4A1AD2A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0C1CDA4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639BB2A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甲醛</w:t>
                  </w:r>
                </w:p>
              </w:tc>
              <w:tc>
                <w:tcPr>
                  <w:tcW w:w="1342" w:type="dxa"/>
                  <w:vMerge w:val="continue"/>
                  <w:tcBorders>
                    <w:tl2br w:val="nil"/>
                    <w:tr2bl w:val="nil"/>
                  </w:tcBorders>
                  <w:vAlign w:val="center"/>
                </w:tcPr>
                <w:p w14:paraId="55CDA3D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5A3B29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bCs/>
                      <w:color w:val="auto"/>
                      <w:sz w:val="21"/>
                      <w:szCs w:val="21"/>
                      <w:highlight w:val="none"/>
                    </w:rPr>
                    <w:t>25</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、0.26kg/h</w:t>
                  </w:r>
                </w:p>
              </w:tc>
              <w:tc>
                <w:tcPr>
                  <w:tcW w:w="2145" w:type="dxa"/>
                  <w:vMerge w:val="restart"/>
                  <w:tcBorders>
                    <w:tl2br w:val="nil"/>
                    <w:tr2bl w:val="nil"/>
                  </w:tcBorders>
                  <w:shd w:val="clear" w:color="auto" w:fill="auto"/>
                  <w:vAlign w:val="center"/>
                </w:tcPr>
                <w:p w14:paraId="6C8EA5A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《大气污染物综合排放标准》</w:t>
                  </w:r>
                  <w:r>
                    <w:rPr>
                      <w:rFonts w:hint="default" w:ascii="Times New Roman" w:hAnsi="Times New Roman" w:cs="Times New Roman"/>
                      <w:bCs/>
                      <w:color w:val="auto"/>
                      <w:sz w:val="21"/>
                      <w:szCs w:val="21"/>
                      <w:highlight w:val="none"/>
                      <w:lang w:val="en-GB"/>
                    </w:rPr>
                    <w:t xml:space="preserve"> (GB16297-1996)表2</w:t>
                  </w:r>
                </w:p>
              </w:tc>
            </w:tr>
            <w:tr w14:paraId="71CFA58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182703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6892162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5302B36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酚类</w:t>
                  </w:r>
                </w:p>
              </w:tc>
              <w:tc>
                <w:tcPr>
                  <w:tcW w:w="1342" w:type="dxa"/>
                  <w:vMerge w:val="continue"/>
                  <w:tcBorders>
                    <w:tl2br w:val="nil"/>
                    <w:tr2bl w:val="nil"/>
                  </w:tcBorders>
                  <w:vAlign w:val="center"/>
                </w:tcPr>
                <w:p w14:paraId="51FA733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2DEEDD5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bCs/>
                      <w:color w:val="auto"/>
                      <w:sz w:val="21"/>
                      <w:szCs w:val="21"/>
                      <w:highlight w:val="none"/>
                    </w:rPr>
                    <w:t>100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、0.10kg/h</w:t>
                  </w:r>
                </w:p>
              </w:tc>
              <w:tc>
                <w:tcPr>
                  <w:tcW w:w="2145" w:type="dxa"/>
                  <w:vMerge w:val="continue"/>
                  <w:tcBorders>
                    <w:tl2br w:val="nil"/>
                    <w:tr2bl w:val="nil"/>
                  </w:tcBorders>
                  <w:shd w:val="clear" w:color="auto" w:fill="auto"/>
                  <w:vAlign w:val="center"/>
                </w:tcPr>
                <w:p w14:paraId="3D63EEB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p>
              </w:tc>
            </w:tr>
            <w:tr w14:paraId="2CB4126C">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63CF3E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restart"/>
                  <w:tcBorders>
                    <w:tl2br w:val="nil"/>
                    <w:tr2bl w:val="nil"/>
                  </w:tcBorders>
                  <w:vAlign w:val="center"/>
                </w:tcPr>
                <w:p w14:paraId="6E7A0EE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w:t>
                  </w:r>
                </w:p>
              </w:tc>
              <w:tc>
                <w:tcPr>
                  <w:tcW w:w="1418" w:type="dxa"/>
                  <w:tcBorders>
                    <w:tl2br w:val="nil"/>
                    <w:tr2bl w:val="nil"/>
                  </w:tcBorders>
                  <w:shd w:val="clear" w:color="auto" w:fill="auto"/>
                  <w:vAlign w:val="center"/>
                </w:tcPr>
                <w:p w14:paraId="481867A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z w:val="21"/>
                      <w:szCs w:val="21"/>
                      <w:lang w:val="en-US" w:eastAsia="zh-CN"/>
                    </w:rPr>
                    <w:t>颗粒物</w:t>
                  </w:r>
                </w:p>
              </w:tc>
              <w:tc>
                <w:tcPr>
                  <w:tcW w:w="1342" w:type="dxa"/>
                  <w:vMerge w:val="restart"/>
                  <w:tcBorders>
                    <w:tl2br w:val="nil"/>
                    <w:tr2bl w:val="nil"/>
                  </w:tcBorders>
                  <w:shd w:val="clear" w:color="auto" w:fill="auto"/>
                  <w:vAlign w:val="center"/>
                </w:tcPr>
                <w:p w14:paraId="1AE4B24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车间密闭</w:t>
                  </w:r>
                </w:p>
              </w:tc>
              <w:tc>
                <w:tcPr>
                  <w:tcW w:w="1557" w:type="dxa"/>
                  <w:gridSpan w:val="2"/>
                  <w:tcBorders>
                    <w:tl2br w:val="nil"/>
                    <w:tr2bl w:val="nil"/>
                  </w:tcBorders>
                  <w:shd w:val="clear" w:color="auto" w:fill="auto"/>
                  <w:vAlign w:val="center"/>
                </w:tcPr>
                <w:p w14:paraId="343F94D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.0mg/m</w:t>
                  </w:r>
                  <w:r>
                    <w:rPr>
                      <w:rFonts w:hint="default" w:ascii="Times New Roman" w:hAnsi="Times New Roman" w:cs="Times New Roman"/>
                      <w:color w:val="auto"/>
                      <w:sz w:val="21"/>
                      <w:szCs w:val="21"/>
                      <w:highlight w:val="none"/>
                      <w:vertAlign w:val="superscript"/>
                    </w:rPr>
                    <w:t>3</w:t>
                  </w:r>
                </w:p>
              </w:tc>
              <w:tc>
                <w:tcPr>
                  <w:tcW w:w="2145" w:type="dxa"/>
                  <w:vMerge w:val="restart"/>
                  <w:tcBorders>
                    <w:tl2br w:val="nil"/>
                    <w:tr2bl w:val="nil"/>
                  </w:tcBorders>
                  <w:shd w:val="clear" w:color="auto" w:fill="auto"/>
                  <w:vAlign w:val="center"/>
                </w:tcPr>
                <w:p w14:paraId="25B9678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eastAsia="zh-CN"/>
                    </w:rPr>
                    <w:t>《大气污染物综合排放标准》（GB16297-1996）表2</w:t>
                  </w:r>
                  <w:r>
                    <w:rPr>
                      <w:rFonts w:hint="eastAsia" w:ascii="Times New Roman" w:hAnsi="Times New Roman" w:cs="Times New Roman"/>
                      <w:color w:val="auto"/>
                      <w:sz w:val="21"/>
                      <w:szCs w:val="21"/>
                      <w:lang w:val="en-US" w:eastAsia="zh-CN"/>
                    </w:rPr>
                    <w:t>限值要求</w:t>
                  </w:r>
                </w:p>
              </w:tc>
            </w:tr>
            <w:tr w14:paraId="29AED297">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5BDBA5C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0571317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6C40702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酚类</w:t>
                  </w:r>
                </w:p>
              </w:tc>
              <w:tc>
                <w:tcPr>
                  <w:tcW w:w="1342" w:type="dxa"/>
                  <w:vMerge w:val="continue"/>
                  <w:tcBorders>
                    <w:tl2br w:val="nil"/>
                    <w:tr2bl w:val="nil"/>
                  </w:tcBorders>
                  <w:shd w:val="clear" w:color="auto" w:fill="auto"/>
                  <w:vAlign w:val="center"/>
                </w:tcPr>
                <w:p w14:paraId="4D8F82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776B43A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0.08</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2145" w:type="dxa"/>
                  <w:vMerge w:val="continue"/>
                  <w:tcBorders>
                    <w:tl2br w:val="nil"/>
                    <w:tr2bl w:val="nil"/>
                  </w:tcBorders>
                  <w:shd w:val="clear" w:color="auto" w:fill="auto"/>
                  <w:vAlign w:val="center"/>
                </w:tcPr>
                <w:p w14:paraId="1FB2EF2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eastAsia="zh-CN"/>
                    </w:rPr>
                  </w:pPr>
                </w:p>
              </w:tc>
            </w:tr>
            <w:tr w14:paraId="3A090A3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1AB07B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34B0002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261402F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p>
              </w:tc>
              <w:tc>
                <w:tcPr>
                  <w:tcW w:w="1342" w:type="dxa"/>
                  <w:vMerge w:val="continue"/>
                  <w:tcBorders>
                    <w:tl2br w:val="nil"/>
                    <w:tr2bl w:val="nil"/>
                  </w:tcBorders>
                  <w:shd w:val="clear" w:color="auto" w:fill="auto"/>
                  <w:vAlign w:val="center"/>
                </w:tcPr>
                <w:p w14:paraId="0A0A67D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704CFD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2145" w:type="dxa"/>
                  <w:vMerge w:val="restart"/>
                  <w:tcBorders>
                    <w:tl2br w:val="nil"/>
                    <w:tr2bl w:val="nil"/>
                  </w:tcBorders>
                  <w:shd w:val="clear" w:color="auto" w:fill="auto"/>
                  <w:vAlign w:val="center"/>
                </w:tcPr>
                <w:p w14:paraId="1070592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《挥发性有机物排放标准第7部分：其他行业》（DB37/2801.7-2019）</w:t>
                  </w:r>
                  <w:r>
                    <w:rPr>
                      <w:rFonts w:hint="default" w:ascii="Times New Roman" w:hAnsi="Times New Roman" w:cs="Times New Roman"/>
                      <w:color w:val="auto"/>
                      <w:sz w:val="21"/>
                      <w:szCs w:val="21"/>
                      <w:lang w:eastAsia="zh-CN"/>
                    </w:rPr>
                    <w:t>表</w:t>
                  </w:r>
                  <w:r>
                    <w:rPr>
                      <w:rFonts w:hint="eastAsia" w:ascii="Times New Roman" w:hAnsi="Times New Roman" w:cs="Times New Roman"/>
                      <w:color w:val="auto"/>
                      <w:sz w:val="21"/>
                      <w:szCs w:val="21"/>
                      <w:lang w:val="en-US" w:eastAsia="zh-CN"/>
                    </w:rPr>
                    <w:t>2</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lang w:eastAsia="zh-CN"/>
                    </w:rPr>
                    <w:t>表3厂界无组织排放限值</w:t>
                  </w:r>
                  <w:r>
                    <w:rPr>
                      <w:rFonts w:hint="default" w:ascii="Times New Roman" w:hAnsi="Times New Roman" w:cs="Times New Roman"/>
                      <w:color w:val="auto"/>
                      <w:sz w:val="21"/>
                      <w:szCs w:val="21"/>
                    </w:rPr>
                    <w:t>要求</w:t>
                  </w:r>
                </w:p>
              </w:tc>
            </w:tr>
            <w:tr w14:paraId="11790C0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43CE15F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435A7C8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73BCA98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臭气浓度</w:t>
                  </w:r>
                </w:p>
              </w:tc>
              <w:tc>
                <w:tcPr>
                  <w:tcW w:w="1342" w:type="dxa"/>
                  <w:vMerge w:val="continue"/>
                  <w:tcBorders>
                    <w:tl2br w:val="nil"/>
                    <w:tr2bl w:val="nil"/>
                  </w:tcBorders>
                  <w:shd w:val="clear" w:color="auto" w:fill="auto"/>
                  <w:vAlign w:val="center"/>
                </w:tcPr>
                <w:p w14:paraId="6CD3992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14B31BA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w:t>
                  </w:r>
                </w:p>
                <w:p w14:paraId="4D6FCAE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（无量纲）</w:t>
                  </w:r>
                </w:p>
              </w:tc>
              <w:tc>
                <w:tcPr>
                  <w:tcW w:w="2145" w:type="dxa"/>
                  <w:vMerge w:val="continue"/>
                  <w:tcBorders>
                    <w:tl2br w:val="nil"/>
                    <w:tr2bl w:val="nil"/>
                  </w:tcBorders>
                  <w:shd w:val="clear" w:color="auto" w:fill="auto"/>
                  <w:vAlign w:val="center"/>
                </w:tcPr>
                <w:p w14:paraId="5B06FD6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eastAsia="zh-CN"/>
                    </w:rPr>
                  </w:pPr>
                </w:p>
              </w:tc>
            </w:tr>
            <w:tr w14:paraId="00AEF0F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701F377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4707FF2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41AAFB4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苯乙烯</w:t>
                  </w:r>
                </w:p>
              </w:tc>
              <w:tc>
                <w:tcPr>
                  <w:tcW w:w="1342" w:type="dxa"/>
                  <w:vMerge w:val="continue"/>
                  <w:tcBorders>
                    <w:tl2br w:val="nil"/>
                    <w:tr2bl w:val="nil"/>
                  </w:tcBorders>
                  <w:shd w:val="clear" w:color="auto" w:fill="auto"/>
                  <w:vAlign w:val="center"/>
                </w:tcPr>
                <w:p w14:paraId="584C9E4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23520B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2145" w:type="dxa"/>
                  <w:vMerge w:val="continue"/>
                  <w:tcBorders>
                    <w:tl2br w:val="nil"/>
                    <w:tr2bl w:val="nil"/>
                  </w:tcBorders>
                  <w:shd w:val="clear" w:color="auto" w:fill="auto"/>
                  <w:vAlign w:val="center"/>
                </w:tcPr>
                <w:p w14:paraId="2A26035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eastAsia="zh-CN"/>
                    </w:rPr>
                  </w:pPr>
                </w:p>
              </w:tc>
            </w:tr>
            <w:tr w14:paraId="6FEA6D4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5D3BC51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585C831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418" w:type="dxa"/>
                  <w:tcBorders>
                    <w:tl2br w:val="nil"/>
                    <w:tr2bl w:val="nil"/>
                  </w:tcBorders>
                  <w:shd w:val="clear" w:color="auto" w:fill="auto"/>
                  <w:vAlign w:val="center"/>
                </w:tcPr>
                <w:p w14:paraId="6D28CA9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甲醛</w:t>
                  </w:r>
                </w:p>
              </w:tc>
              <w:tc>
                <w:tcPr>
                  <w:tcW w:w="1342" w:type="dxa"/>
                  <w:vMerge w:val="continue"/>
                  <w:tcBorders>
                    <w:tl2br w:val="nil"/>
                    <w:tr2bl w:val="nil"/>
                  </w:tcBorders>
                  <w:shd w:val="clear" w:color="auto" w:fill="auto"/>
                  <w:vAlign w:val="center"/>
                </w:tcPr>
                <w:p w14:paraId="0FFF898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557" w:type="dxa"/>
                  <w:gridSpan w:val="2"/>
                  <w:tcBorders>
                    <w:tl2br w:val="nil"/>
                    <w:tr2bl w:val="nil"/>
                  </w:tcBorders>
                  <w:shd w:val="clear" w:color="auto" w:fill="auto"/>
                  <w:vAlign w:val="center"/>
                </w:tcPr>
                <w:p w14:paraId="43EDE13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0.05</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2145" w:type="dxa"/>
                  <w:vMerge w:val="continue"/>
                  <w:tcBorders>
                    <w:tl2br w:val="nil"/>
                    <w:tr2bl w:val="nil"/>
                  </w:tcBorders>
                  <w:shd w:val="clear" w:color="auto" w:fill="auto"/>
                  <w:vAlign w:val="center"/>
                </w:tcPr>
                <w:p w14:paraId="3F4A54A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eastAsia="zh-CN"/>
                    </w:rPr>
                  </w:pPr>
                </w:p>
              </w:tc>
            </w:tr>
            <w:tr w14:paraId="43A8937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0982AC4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restart"/>
                  <w:tcBorders>
                    <w:tl2br w:val="nil"/>
                    <w:tr2bl w:val="nil"/>
                  </w:tcBorders>
                  <w:vAlign w:val="center"/>
                </w:tcPr>
                <w:p w14:paraId="6119449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厂房外</w:t>
                  </w:r>
                </w:p>
              </w:tc>
              <w:tc>
                <w:tcPr>
                  <w:tcW w:w="1418" w:type="dxa"/>
                  <w:vMerge w:val="restart"/>
                  <w:tcBorders>
                    <w:tl2br w:val="nil"/>
                    <w:tr2bl w:val="nil"/>
                  </w:tcBorders>
                  <w:vAlign w:val="center"/>
                </w:tcPr>
                <w:p w14:paraId="398C3B7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VOCs</w:t>
                  </w:r>
                </w:p>
              </w:tc>
              <w:tc>
                <w:tcPr>
                  <w:tcW w:w="1342" w:type="dxa"/>
                  <w:vMerge w:val="restart"/>
                  <w:tcBorders>
                    <w:tl2br w:val="nil"/>
                    <w:tr2bl w:val="nil"/>
                  </w:tcBorders>
                  <w:vAlign w:val="center"/>
                </w:tcPr>
                <w:p w14:paraId="37DA543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车间密闭</w:t>
                  </w:r>
                </w:p>
              </w:tc>
              <w:tc>
                <w:tcPr>
                  <w:tcW w:w="625" w:type="dxa"/>
                  <w:tcBorders>
                    <w:tl2br w:val="nil"/>
                    <w:tr2bl w:val="nil"/>
                  </w:tcBorders>
                  <w:vAlign w:val="center"/>
                </w:tcPr>
                <w:p w14:paraId="55C6458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10</w:t>
                  </w:r>
                  <w:r>
                    <w:rPr>
                      <w:rFonts w:hint="default" w:ascii="Times New Roman" w:hAnsi="Times New Roman" w:eastAsia="宋体" w:cs="Times New Roman"/>
                      <w:color w:val="auto"/>
                      <w:spacing w:val="-1"/>
                      <w:sz w:val="21"/>
                      <w:szCs w:val="21"/>
                    </w:rPr>
                    <w:t>mg/m</w:t>
                  </w:r>
                  <w:r>
                    <w:rPr>
                      <w:rFonts w:hint="default" w:ascii="Times New Roman" w:hAnsi="Times New Roman" w:eastAsia="宋体" w:cs="Times New Roman"/>
                      <w:color w:val="auto"/>
                      <w:spacing w:val="-1"/>
                      <w:sz w:val="21"/>
                      <w:szCs w:val="21"/>
                      <w:vertAlign w:val="superscript"/>
                      <w:lang w:val="en-US" w:eastAsia="zh-CN"/>
                    </w:rPr>
                    <w:t>3</w:t>
                  </w:r>
                </w:p>
              </w:tc>
              <w:tc>
                <w:tcPr>
                  <w:tcW w:w="932" w:type="dxa"/>
                  <w:tcBorders>
                    <w:tl2br w:val="nil"/>
                    <w:tr2bl w:val="nil"/>
                  </w:tcBorders>
                  <w:vAlign w:val="center"/>
                </w:tcPr>
                <w:p w14:paraId="52FE62B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lang w:val="en-US" w:eastAsia="zh-CN"/>
                    </w:rPr>
                    <w:t>监控点处1h平均浓度值</w:t>
                  </w:r>
                </w:p>
              </w:tc>
              <w:tc>
                <w:tcPr>
                  <w:tcW w:w="2145" w:type="dxa"/>
                  <w:vMerge w:val="restart"/>
                  <w:tcBorders>
                    <w:tl2br w:val="nil"/>
                    <w:tr2bl w:val="nil"/>
                  </w:tcBorders>
                  <w:vAlign w:val="center"/>
                </w:tcPr>
                <w:p w14:paraId="41606B7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spacing w:val="-6"/>
                      <w:kern w:val="0"/>
                      <w:sz w:val="21"/>
                      <w:szCs w:val="21"/>
                      <w:lang w:val="en-US" w:eastAsia="zh-CN" w:bidi="ar-SA"/>
                    </w:rPr>
                    <w:t>《</w:t>
                  </w:r>
                  <w:r>
                    <w:rPr>
                      <w:rFonts w:hint="eastAsia" w:ascii="Times New Roman" w:hAnsi="Times New Roman" w:eastAsia="宋体" w:cs="Times New Roman"/>
                      <w:snapToGrid w:val="0"/>
                      <w:color w:val="auto"/>
                      <w:spacing w:val="-6"/>
                      <w:kern w:val="0"/>
                      <w:sz w:val="21"/>
                      <w:szCs w:val="21"/>
                      <w:lang w:val="en-US" w:eastAsia="zh-CN" w:bidi="ar-SA"/>
                    </w:rPr>
                    <w:t>铸</w:t>
                  </w:r>
                  <w:r>
                    <w:rPr>
                      <w:rFonts w:hint="eastAsia" w:ascii="Times New Roman" w:hAnsi="Times New Roman" w:cs="Times New Roman"/>
                      <w:color w:val="auto"/>
                      <w:sz w:val="21"/>
                      <w:szCs w:val="21"/>
                      <w:lang w:val="en-US" w:eastAsia="zh-CN"/>
                    </w:rPr>
                    <w:t>造工业大气污染物排放标准</w:t>
                  </w:r>
                  <w:r>
                    <w:rPr>
                      <w:rFonts w:hint="default"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val="en-US" w:eastAsia="zh-CN"/>
                    </w:rPr>
                    <w:t>GB39726-2020</w:t>
                  </w:r>
                  <w:r>
                    <w:rPr>
                      <w:rFonts w:hint="default" w:ascii="Times New Roman" w:hAnsi="Times New Roman" w:cs="Times New Roman"/>
                      <w:color w:val="auto"/>
                      <w:sz w:val="21"/>
                      <w:szCs w:val="21"/>
                      <w:lang w:val="en-US" w:eastAsia="zh-CN"/>
                    </w:rPr>
                    <w:t>）附录A</w:t>
                  </w:r>
                </w:p>
              </w:tc>
            </w:tr>
            <w:tr w14:paraId="34A79128">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2D95057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5FDDB6E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lang w:val="en-US" w:eastAsia="zh-CN"/>
                    </w:rPr>
                  </w:pPr>
                </w:p>
              </w:tc>
              <w:tc>
                <w:tcPr>
                  <w:tcW w:w="1418" w:type="dxa"/>
                  <w:vMerge w:val="continue"/>
                  <w:tcBorders>
                    <w:tl2br w:val="nil"/>
                    <w:tr2bl w:val="nil"/>
                  </w:tcBorders>
                  <w:vAlign w:val="center"/>
                </w:tcPr>
                <w:p w14:paraId="0210D3D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2" w:type="dxa"/>
                  <w:vMerge w:val="continue"/>
                  <w:tcBorders>
                    <w:tl2br w:val="nil"/>
                    <w:tr2bl w:val="nil"/>
                  </w:tcBorders>
                  <w:vAlign w:val="center"/>
                </w:tcPr>
                <w:p w14:paraId="517C9E2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625" w:type="dxa"/>
                  <w:tcBorders>
                    <w:tl2br w:val="nil"/>
                    <w:tr2bl w:val="nil"/>
                  </w:tcBorders>
                  <w:vAlign w:val="center"/>
                </w:tcPr>
                <w:p w14:paraId="0A60661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30</w:t>
                  </w:r>
                  <w:r>
                    <w:rPr>
                      <w:rFonts w:hint="default" w:ascii="Times New Roman" w:hAnsi="Times New Roman" w:eastAsia="宋体" w:cs="Times New Roman"/>
                      <w:color w:val="auto"/>
                      <w:spacing w:val="-1"/>
                      <w:sz w:val="21"/>
                      <w:szCs w:val="21"/>
                    </w:rPr>
                    <w:t>mg/m</w:t>
                  </w:r>
                  <w:r>
                    <w:rPr>
                      <w:rFonts w:hint="default" w:ascii="Times New Roman" w:hAnsi="Times New Roman" w:eastAsia="宋体" w:cs="Times New Roman"/>
                      <w:color w:val="auto"/>
                      <w:spacing w:val="-1"/>
                      <w:sz w:val="21"/>
                      <w:szCs w:val="21"/>
                      <w:vertAlign w:val="superscript"/>
                      <w:lang w:val="en-US" w:eastAsia="zh-CN"/>
                    </w:rPr>
                    <w:t>3</w:t>
                  </w:r>
                </w:p>
              </w:tc>
              <w:tc>
                <w:tcPr>
                  <w:tcW w:w="932" w:type="dxa"/>
                  <w:tcBorders>
                    <w:tl2br w:val="nil"/>
                    <w:tr2bl w:val="nil"/>
                  </w:tcBorders>
                  <w:vAlign w:val="center"/>
                </w:tcPr>
                <w:p w14:paraId="6B50C53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lang w:val="en-US" w:eastAsia="zh-CN"/>
                    </w:rPr>
                    <w:t>监控点处任意一次浓度值</w:t>
                  </w:r>
                </w:p>
              </w:tc>
              <w:tc>
                <w:tcPr>
                  <w:tcW w:w="2145" w:type="dxa"/>
                  <w:vMerge w:val="continue"/>
                  <w:tcBorders>
                    <w:tl2br w:val="nil"/>
                    <w:tr2bl w:val="nil"/>
                  </w:tcBorders>
                  <w:vAlign w:val="center"/>
                </w:tcPr>
                <w:p w14:paraId="583EEA0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spacing w:val="-6"/>
                      <w:kern w:val="0"/>
                      <w:sz w:val="21"/>
                      <w:szCs w:val="21"/>
                      <w:lang w:val="en-US" w:eastAsia="zh-CN" w:bidi="ar-SA"/>
                    </w:rPr>
                  </w:pPr>
                </w:p>
              </w:tc>
            </w:tr>
            <w:tr w14:paraId="0F13CFB0">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6993FD3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vMerge w:val="continue"/>
                  <w:tcBorders>
                    <w:tl2br w:val="nil"/>
                    <w:tr2bl w:val="nil"/>
                  </w:tcBorders>
                  <w:vAlign w:val="center"/>
                </w:tcPr>
                <w:p w14:paraId="71C33E2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p>
              </w:tc>
              <w:tc>
                <w:tcPr>
                  <w:tcW w:w="1418" w:type="dxa"/>
                  <w:tcBorders>
                    <w:tl2br w:val="nil"/>
                    <w:tr2bl w:val="nil"/>
                  </w:tcBorders>
                  <w:vAlign w:val="center"/>
                </w:tcPr>
                <w:p w14:paraId="6FF5963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z w:val="21"/>
                      <w:szCs w:val="21"/>
                      <w:lang w:val="en-US" w:eastAsia="zh-CN"/>
                    </w:rPr>
                    <w:t>颗粒物</w:t>
                  </w:r>
                </w:p>
              </w:tc>
              <w:tc>
                <w:tcPr>
                  <w:tcW w:w="1342" w:type="dxa"/>
                  <w:vMerge w:val="continue"/>
                  <w:tcBorders>
                    <w:tl2br w:val="nil"/>
                    <w:tr2bl w:val="nil"/>
                  </w:tcBorders>
                  <w:vAlign w:val="center"/>
                </w:tcPr>
                <w:p w14:paraId="0134E71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p>
              </w:tc>
              <w:tc>
                <w:tcPr>
                  <w:tcW w:w="625" w:type="dxa"/>
                  <w:tcBorders>
                    <w:tl2br w:val="nil"/>
                    <w:tr2bl w:val="nil"/>
                  </w:tcBorders>
                  <w:vAlign w:val="center"/>
                </w:tcPr>
                <w:p w14:paraId="62193FA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cs="Times New Roman"/>
                      <w:color w:val="auto"/>
                      <w:spacing w:val="-1"/>
                      <w:sz w:val="21"/>
                      <w:szCs w:val="21"/>
                      <w:lang w:val="en-US" w:eastAsia="zh-CN"/>
                    </w:rPr>
                    <w:t>5</w:t>
                  </w:r>
                  <w:r>
                    <w:rPr>
                      <w:rFonts w:hint="default" w:ascii="Times New Roman" w:hAnsi="Times New Roman" w:eastAsia="宋体" w:cs="Times New Roman"/>
                      <w:color w:val="auto"/>
                      <w:spacing w:val="-1"/>
                      <w:sz w:val="21"/>
                      <w:szCs w:val="21"/>
                    </w:rPr>
                    <w:t>mg/m</w:t>
                  </w:r>
                  <w:r>
                    <w:rPr>
                      <w:rFonts w:hint="default" w:ascii="Times New Roman" w:hAnsi="Times New Roman" w:eastAsia="宋体" w:cs="Times New Roman"/>
                      <w:color w:val="auto"/>
                      <w:spacing w:val="-1"/>
                      <w:sz w:val="21"/>
                      <w:szCs w:val="21"/>
                      <w:vertAlign w:val="superscript"/>
                      <w:lang w:val="en-US" w:eastAsia="zh-CN"/>
                    </w:rPr>
                    <w:t>3</w:t>
                  </w:r>
                </w:p>
              </w:tc>
              <w:tc>
                <w:tcPr>
                  <w:tcW w:w="932" w:type="dxa"/>
                  <w:tcBorders>
                    <w:tl2br w:val="nil"/>
                    <w:tr2bl w:val="nil"/>
                  </w:tcBorders>
                  <w:vAlign w:val="center"/>
                </w:tcPr>
                <w:p w14:paraId="5FD38B5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1"/>
                      <w:sz w:val="21"/>
                      <w:szCs w:val="21"/>
                      <w:lang w:val="en-US" w:eastAsia="zh-CN"/>
                    </w:rPr>
                    <w:t>监控点处1h平均浓度值</w:t>
                  </w:r>
                </w:p>
              </w:tc>
              <w:tc>
                <w:tcPr>
                  <w:tcW w:w="2145" w:type="dxa"/>
                  <w:vMerge w:val="continue"/>
                  <w:tcBorders>
                    <w:tl2br w:val="nil"/>
                    <w:tr2bl w:val="nil"/>
                  </w:tcBorders>
                  <w:vAlign w:val="center"/>
                </w:tcPr>
                <w:p w14:paraId="7342A40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p>
              </w:tc>
            </w:tr>
            <w:tr w14:paraId="72BCA0A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tcBorders>
                    <w:tl2br w:val="nil"/>
                    <w:tr2bl w:val="nil"/>
                  </w:tcBorders>
                  <w:vAlign w:val="center"/>
                </w:tcPr>
                <w:p w14:paraId="43AD7E9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1344" w:type="dxa"/>
                  <w:tcBorders>
                    <w:tl2br w:val="nil"/>
                    <w:tr2bl w:val="nil"/>
                  </w:tcBorders>
                  <w:vAlign w:val="center"/>
                </w:tcPr>
                <w:p w14:paraId="5C5D6E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生活污水</w:t>
                  </w:r>
                </w:p>
              </w:tc>
              <w:tc>
                <w:tcPr>
                  <w:tcW w:w="1418" w:type="dxa"/>
                  <w:tcBorders>
                    <w:tl2br w:val="nil"/>
                    <w:tr2bl w:val="nil"/>
                  </w:tcBorders>
                  <w:vAlign w:val="center"/>
                </w:tcPr>
                <w:p w14:paraId="3712B78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COD、氨氮</w:t>
                  </w:r>
                </w:p>
              </w:tc>
              <w:tc>
                <w:tcPr>
                  <w:tcW w:w="1342" w:type="dxa"/>
                  <w:tcBorders>
                    <w:tl2br w:val="nil"/>
                    <w:tr2bl w:val="nil"/>
                  </w:tcBorders>
                  <w:vAlign w:val="center"/>
                </w:tcPr>
                <w:p w14:paraId="0C3FBE1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557" w:type="dxa"/>
                  <w:gridSpan w:val="2"/>
                  <w:tcBorders>
                    <w:tl2br w:val="nil"/>
                    <w:tr2bl w:val="nil"/>
                  </w:tcBorders>
                  <w:vAlign w:val="center"/>
                </w:tcPr>
                <w:p w14:paraId="3C9B211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2145" w:type="dxa"/>
                  <w:tcBorders>
                    <w:tl2br w:val="nil"/>
                    <w:tr2bl w:val="nil"/>
                  </w:tcBorders>
                  <w:vAlign w:val="center"/>
                </w:tcPr>
                <w:p w14:paraId="35646F6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0A7DA8EA">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tcBorders>
                    <w:tl2br w:val="nil"/>
                    <w:tr2bl w:val="nil"/>
                  </w:tcBorders>
                  <w:vAlign w:val="center"/>
                </w:tcPr>
                <w:p w14:paraId="6A995B8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1344" w:type="dxa"/>
                  <w:tcBorders>
                    <w:tl2br w:val="nil"/>
                    <w:tr2bl w:val="nil"/>
                  </w:tcBorders>
                  <w:vAlign w:val="center"/>
                </w:tcPr>
                <w:p w14:paraId="1D56EE6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机械设备</w:t>
                  </w:r>
                </w:p>
              </w:tc>
              <w:tc>
                <w:tcPr>
                  <w:tcW w:w="1418" w:type="dxa"/>
                  <w:tcBorders>
                    <w:tl2br w:val="nil"/>
                    <w:tr2bl w:val="nil"/>
                  </w:tcBorders>
                  <w:vAlign w:val="center"/>
                </w:tcPr>
                <w:p w14:paraId="1CD1535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1342" w:type="dxa"/>
                  <w:tcBorders>
                    <w:tl2br w:val="nil"/>
                    <w:tr2bl w:val="nil"/>
                  </w:tcBorders>
                  <w:vAlign w:val="center"/>
                </w:tcPr>
                <w:p w14:paraId="5794BC6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基础减震隔声消声</w:t>
                  </w:r>
                </w:p>
              </w:tc>
              <w:tc>
                <w:tcPr>
                  <w:tcW w:w="1557" w:type="dxa"/>
                  <w:gridSpan w:val="2"/>
                  <w:tcBorders>
                    <w:tl2br w:val="nil"/>
                    <w:tr2bl w:val="nil"/>
                  </w:tcBorders>
                  <w:vAlign w:val="center"/>
                </w:tcPr>
                <w:p w14:paraId="5649BA2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昼：</w:t>
                  </w:r>
                  <w:r>
                    <w:rPr>
                      <w:rFonts w:hint="eastAsia" w:ascii="Times New Roman" w:hAnsi="Times New Roman" w:cs="Times New Roman"/>
                      <w:color w:val="auto"/>
                      <w:sz w:val="21"/>
                      <w:szCs w:val="21"/>
                      <w:lang w:val="en-US" w:eastAsia="zh-CN"/>
                    </w:rPr>
                    <w:t>60</w:t>
                  </w:r>
                </w:p>
                <w:p w14:paraId="015D1F6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dB（A）</w:t>
                  </w:r>
                </w:p>
              </w:tc>
              <w:tc>
                <w:tcPr>
                  <w:tcW w:w="2145" w:type="dxa"/>
                  <w:tcBorders>
                    <w:tl2br w:val="nil"/>
                    <w:tr2bl w:val="nil"/>
                  </w:tcBorders>
                  <w:vAlign w:val="center"/>
                </w:tcPr>
                <w:p w14:paraId="3BA1F15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《工业企业厂界环境噪声排放标准》（GB12348-2008）表1中</w:t>
                  </w: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类区标准要求</w:t>
                  </w:r>
                </w:p>
              </w:tc>
            </w:tr>
            <w:tr w14:paraId="2941999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restart"/>
                  <w:tcBorders>
                    <w:tl2br w:val="nil"/>
                    <w:tr2bl w:val="nil"/>
                  </w:tcBorders>
                  <w:vAlign w:val="center"/>
                </w:tcPr>
                <w:p w14:paraId="6D684DD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w:t>
                  </w:r>
                </w:p>
              </w:tc>
              <w:tc>
                <w:tcPr>
                  <w:tcW w:w="1344" w:type="dxa"/>
                  <w:tcBorders>
                    <w:tl2br w:val="nil"/>
                    <w:tr2bl w:val="nil"/>
                  </w:tcBorders>
                  <w:shd w:val="clear" w:color="auto" w:fill="auto"/>
                  <w:vAlign w:val="center"/>
                </w:tcPr>
                <w:p w14:paraId="71E16FB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包装过程</w:t>
                  </w:r>
                </w:p>
              </w:tc>
              <w:tc>
                <w:tcPr>
                  <w:tcW w:w="1418" w:type="dxa"/>
                  <w:tcBorders>
                    <w:tl2br w:val="nil"/>
                    <w:tr2bl w:val="nil"/>
                  </w:tcBorders>
                  <w:shd w:val="clear" w:color="auto" w:fill="auto"/>
                  <w:vAlign w:val="center"/>
                </w:tcPr>
                <w:p w14:paraId="23EFECE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废包装材料</w:t>
                  </w:r>
                </w:p>
              </w:tc>
              <w:tc>
                <w:tcPr>
                  <w:tcW w:w="1342" w:type="dxa"/>
                  <w:vMerge w:val="restart"/>
                  <w:tcBorders>
                    <w:tl2br w:val="nil"/>
                    <w:tr2bl w:val="nil"/>
                  </w:tcBorders>
                  <w:vAlign w:val="center"/>
                </w:tcPr>
                <w:p w14:paraId="3FF8332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pacing w:val="-3"/>
                      <w:sz w:val="21"/>
                      <w:szCs w:val="21"/>
                    </w:rPr>
                    <w:t>资源化利用</w:t>
                  </w:r>
                </w:p>
              </w:tc>
              <w:tc>
                <w:tcPr>
                  <w:tcW w:w="3702" w:type="dxa"/>
                  <w:gridSpan w:val="3"/>
                  <w:vMerge w:val="restart"/>
                  <w:tcBorders>
                    <w:tl2br w:val="nil"/>
                    <w:tr2bl w:val="nil"/>
                  </w:tcBorders>
                  <w:vAlign w:val="center"/>
                </w:tcPr>
                <w:p w14:paraId="12B43A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highlight w:val="none"/>
                    </w:rPr>
                    <w:t>《中华人民共和国固体废物污染环境防治法（2020修订）》</w:t>
                  </w:r>
                </w:p>
              </w:tc>
            </w:tr>
            <w:tr w14:paraId="6563C86B">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44C2167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tcBorders>
                    <w:tl2br w:val="nil"/>
                    <w:tr2bl w:val="nil"/>
                  </w:tcBorders>
                  <w:shd w:val="clear" w:color="auto" w:fill="auto"/>
                  <w:vAlign w:val="center"/>
                </w:tcPr>
                <w:p w14:paraId="769DBA3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环保设施</w:t>
                  </w:r>
                </w:p>
              </w:tc>
              <w:tc>
                <w:tcPr>
                  <w:tcW w:w="1418" w:type="dxa"/>
                  <w:tcBorders>
                    <w:tl2br w:val="nil"/>
                    <w:tr2bl w:val="nil"/>
                  </w:tcBorders>
                  <w:shd w:val="clear" w:color="auto" w:fill="auto"/>
                  <w:vAlign w:val="center"/>
                </w:tcPr>
                <w:p w14:paraId="4E9AD55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除尘器收尘</w:t>
                  </w:r>
                </w:p>
              </w:tc>
              <w:tc>
                <w:tcPr>
                  <w:tcW w:w="1342" w:type="dxa"/>
                  <w:vMerge w:val="continue"/>
                  <w:tcBorders>
                    <w:tl2br w:val="nil"/>
                    <w:tr2bl w:val="nil"/>
                  </w:tcBorders>
                  <w:vAlign w:val="center"/>
                </w:tcPr>
                <w:p w14:paraId="2E1C545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3702" w:type="dxa"/>
                  <w:gridSpan w:val="3"/>
                  <w:vMerge w:val="continue"/>
                  <w:tcBorders>
                    <w:tl2br w:val="nil"/>
                    <w:tr2bl w:val="nil"/>
                  </w:tcBorders>
                  <w:vAlign w:val="center"/>
                </w:tcPr>
                <w:p w14:paraId="28ED33A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r>
            <w:tr w14:paraId="604F0AA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220F783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tcBorders>
                    <w:tl2br w:val="nil"/>
                    <w:tr2bl w:val="nil"/>
                  </w:tcBorders>
                  <w:shd w:val="clear" w:color="auto" w:fill="auto"/>
                  <w:vAlign w:val="center"/>
                </w:tcPr>
                <w:p w14:paraId="204D287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清模过程</w:t>
                  </w:r>
                </w:p>
              </w:tc>
              <w:tc>
                <w:tcPr>
                  <w:tcW w:w="1418" w:type="dxa"/>
                  <w:tcBorders>
                    <w:tl2br w:val="nil"/>
                    <w:tr2bl w:val="nil"/>
                  </w:tcBorders>
                  <w:shd w:val="clear" w:color="auto" w:fill="auto"/>
                  <w:vAlign w:val="center"/>
                </w:tcPr>
                <w:p w14:paraId="43C90CB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废覆膜砂</w:t>
                  </w:r>
                </w:p>
              </w:tc>
              <w:tc>
                <w:tcPr>
                  <w:tcW w:w="1342" w:type="dxa"/>
                  <w:vMerge w:val="continue"/>
                  <w:tcBorders>
                    <w:tl2br w:val="nil"/>
                    <w:tr2bl w:val="nil"/>
                  </w:tcBorders>
                  <w:vAlign w:val="center"/>
                </w:tcPr>
                <w:p w14:paraId="5EB5CB8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3702" w:type="dxa"/>
                  <w:gridSpan w:val="3"/>
                  <w:vMerge w:val="continue"/>
                  <w:tcBorders>
                    <w:tl2br w:val="nil"/>
                    <w:tr2bl w:val="nil"/>
                  </w:tcBorders>
                  <w:vAlign w:val="center"/>
                </w:tcPr>
                <w:p w14:paraId="0898328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r>
            <w:tr w14:paraId="0B9FF31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4EA4F60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tcBorders>
                    <w:tl2br w:val="nil"/>
                    <w:tr2bl w:val="nil"/>
                  </w:tcBorders>
                  <w:shd w:val="clear" w:color="auto" w:fill="auto"/>
                  <w:vAlign w:val="center"/>
                </w:tcPr>
                <w:p w14:paraId="06AA1C6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去冒口</w:t>
                  </w:r>
                </w:p>
              </w:tc>
              <w:tc>
                <w:tcPr>
                  <w:tcW w:w="1418" w:type="dxa"/>
                  <w:tcBorders>
                    <w:tl2br w:val="nil"/>
                    <w:tr2bl w:val="nil"/>
                  </w:tcBorders>
                  <w:shd w:val="clear" w:color="auto" w:fill="auto"/>
                  <w:vAlign w:val="center"/>
                </w:tcPr>
                <w:p w14:paraId="609D026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废浇冒口</w:t>
                  </w:r>
                </w:p>
              </w:tc>
              <w:tc>
                <w:tcPr>
                  <w:tcW w:w="1342" w:type="dxa"/>
                  <w:tcBorders>
                    <w:tl2br w:val="nil"/>
                    <w:tr2bl w:val="nil"/>
                  </w:tcBorders>
                  <w:vAlign w:val="center"/>
                </w:tcPr>
                <w:p w14:paraId="43116B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回用于生产</w:t>
                  </w:r>
                </w:p>
              </w:tc>
              <w:tc>
                <w:tcPr>
                  <w:tcW w:w="3702" w:type="dxa"/>
                  <w:gridSpan w:val="3"/>
                  <w:vMerge w:val="continue"/>
                  <w:tcBorders>
                    <w:tl2br w:val="nil"/>
                    <w:tr2bl w:val="nil"/>
                  </w:tcBorders>
                  <w:vAlign w:val="center"/>
                </w:tcPr>
                <w:p w14:paraId="42572B3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r>
            <w:tr w14:paraId="2E0512F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1F5C619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tcBorders>
                    <w:tl2br w:val="nil"/>
                    <w:tr2bl w:val="nil"/>
                  </w:tcBorders>
                  <w:shd w:val="clear" w:color="auto" w:fill="auto"/>
                  <w:vAlign w:val="center"/>
                </w:tcPr>
                <w:p w14:paraId="574D46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环保设施</w:t>
                  </w:r>
                </w:p>
              </w:tc>
              <w:tc>
                <w:tcPr>
                  <w:tcW w:w="1418" w:type="dxa"/>
                  <w:tcBorders>
                    <w:tl2br w:val="nil"/>
                    <w:tr2bl w:val="nil"/>
                  </w:tcBorders>
                  <w:shd w:val="clear" w:color="auto" w:fill="auto"/>
                  <w:vAlign w:val="center"/>
                </w:tcPr>
                <w:p w14:paraId="64A970F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lang w:val="en-US" w:eastAsia="zh-CN"/>
                    </w:rPr>
                    <w:t>废活性炭</w:t>
                  </w:r>
                </w:p>
              </w:tc>
              <w:tc>
                <w:tcPr>
                  <w:tcW w:w="1342" w:type="dxa"/>
                  <w:vMerge w:val="restart"/>
                  <w:tcBorders>
                    <w:tl2br w:val="nil"/>
                    <w:tr2bl w:val="nil"/>
                  </w:tcBorders>
                  <w:shd w:val="clear" w:color="auto" w:fill="auto"/>
                  <w:vAlign w:val="center"/>
                </w:tcPr>
                <w:p w14:paraId="79AC915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委托有资质单位处置</w:t>
                  </w:r>
                </w:p>
              </w:tc>
              <w:tc>
                <w:tcPr>
                  <w:tcW w:w="3702" w:type="dxa"/>
                  <w:gridSpan w:val="3"/>
                  <w:vMerge w:val="restart"/>
                  <w:tcBorders>
                    <w:tl2br w:val="nil"/>
                    <w:tr2bl w:val="nil"/>
                  </w:tcBorders>
                  <w:shd w:val="clear" w:color="auto" w:fill="auto"/>
                  <w:vAlign w:val="center"/>
                </w:tcPr>
                <w:p w14:paraId="50FD2B8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《危险废物贮存污染控制标准》</w:t>
                  </w:r>
                </w:p>
                <w:p w14:paraId="5C87C0E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rPr>
                    <w:t>（GB18597-20</w:t>
                  </w:r>
                  <w:r>
                    <w:rPr>
                      <w:rFonts w:hint="default" w:ascii="Times New Roman" w:hAnsi="Times New Roman" w:cs="Times New Roman"/>
                      <w:color w:val="auto"/>
                      <w:sz w:val="21"/>
                      <w:szCs w:val="21"/>
                      <w:lang w:val="en-US" w:eastAsia="zh-CN"/>
                    </w:rPr>
                    <w:t>23</w:t>
                  </w:r>
                  <w:r>
                    <w:rPr>
                      <w:rFonts w:hint="default" w:ascii="Times New Roman" w:hAnsi="Times New Roman" w:cs="Times New Roman"/>
                      <w:color w:val="auto"/>
                      <w:sz w:val="21"/>
                      <w:szCs w:val="21"/>
                    </w:rPr>
                    <w:t>）要求</w:t>
                  </w:r>
                </w:p>
              </w:tc>
            </w:tr>
            <w:tr w14:paraId="79F8AC56">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739406A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tcBorders>
                    <w:tl2br w:val="nil"/>
                    <w:tr2bl w:val="nil"/>
                  </w:tcBorders>
                  <w:shd w:val="clear" w:color="auto" w:fill="auto"/>
                  <w:vAlign w:val="center"/>
                </w:tcPr>
                <w:p w14:paraId="61E9246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设备维护</w:t>
                  </w:r>
                </w:p>
              </w:tc>
              <w:tc>
                <w:tcPr>
                  <w:tcW w:w="1418" w:type="dxa"/>
                  <w:tcBorders>
                    <w:tl2br w:val="nil"/>
                    <w:tr2bl w:val="nil"/>
                  </w:tcBorders>
                  <w:shd w:val="clear" w:color="auto" w:fill="auto"/>
                  <w:vAlign w:val="center"/>
                </w:tcPr>
                <w:p w14:paraId="3141F51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废机油</w:t>
                  </w:r>
                </w:p>
              </w:tc>
              <w:tc>
                <w:tcPr>
                  <w:tcW w:w="1342" w:type="dxa"/>
                  <w:vMerge w:val="continue"/>
                  <w:tcBorders>
                    <w:tl2br w:val="nil"/>
                    <w:tr2bl w:val="nil"/>
                  </w:tcBorders>
                  <w:vAlign w:val="center"/>
                </w:tcPr>
                <w:p w14:paraId="7E3AB96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3702" w:type="dxa"/>
                  <w:gridSpan w:val="3"/>
                  <w:vMerge w:val="continue"/>
                  <w:tcBorders>
                    <w:tl2br w:val="nil"/>
                    <w:tr2bl w:val="nil"/>
                  </w:tcBorders>
                  <w:vAlign w:val="center"/>
                </w:tcPr>
                <w:p w14:paraId="252ED34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r>
            <w:tr w14:paraId="54BD5999">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698" w:type="dxa"/>
                  <w:vMerge w:val="continue"/>
                  <w:tcBorders>
                    <w:tl2br w:val="nil"/>
                    <w:tr2bl w:val="nil"/>
                  </w:tcBorders>
                  <w:vAlign w:val="center"/>
                </w:tcPr>
                <w:p w14:paraId="6D18AA3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1344" w:type="dxa"/>
                  <w:tcBorders>
                    <w:tl2br w:val="nil"/>
                    <w:tr2bl w:val="nil"/>
                  </w:tcBorders>
                  <w:shd w:val="clear" w:color="auto" w:fill="auto"/>
                  <w:vAlign w:val="center"/>
                </w:tcPr>
                <w:p w14:paraId="04D1129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设备维护</w:t>
                  </w:r>
                </w:p>
              </w:tc>
              <w:tc>
                <w:tcPr>
                  <w:tcW w:w="1418" w:type="dxa"/>
                  <w:tcBorders>
                    <w:tl2br w:val="nil"/>
                    <w:tr2bl w:val="nil"/>
                  </w:tcBorders>
                  <w:shd w:val="clear" w:color="auto" w:fill="auto"/>
                  <w:vAlign w:val="center"/>
                </w:tcPr>
                <w:p w14:paraId="68DB260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废机油桶</w:t>
                  </w:r>
                </w:p>
              </w:tc>
              <w:tc>
                <w:tcPr>
                  <w:tcW w:w="1342" w:type="dxa"/>
                  <w:vMerge w:val="continue"/>
                  <w:tcBorders>
                    <w:tl2br w:val="nil"/>
                    <w:tr2bl w:val="nil"/>
                  </w:tcBorders>
                  <w:vAlign w:val="center"/>
                </w:tcPr>
                <w:p w14:paraId="3B8C767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c>
                <w:tcPr>
                  <w:tcW w:w="3702" w:type="dxa"/>
                  <w:gridSpan w:val="3"/>
                  <w:vMerge w:val="continue"/>
                  <w:tcBorders>
                    <w:tl2br w:val="nil"/>
                    <w:tr2bl w:val="nil"/>
                  </w:tcBorders>
                  <w:vAlign w:val="center"/>
                </w:tcPr>
                <w:p w14:paraId="4CF389D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color w:val="auto"/>
                      <w:sz w:val="21"/>
                      <w:szCs w:val="21"/>
                    </w:rPr>
                  </w:pPr>
                </w:p>
              </w:tc>
            </w:tr>
          </w:tbl>
          <w:p w14:paraId="7CDE2AB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4DEF6D5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04935342">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65203027">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3FEB22AA">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1B8DD29D">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58B91761">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6A14C83C">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p w14:paraId="65E8CB95">
            <w:pPr>
              <w:pStyle w:val="2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80" w:firstLineChars="200"/>
              <w:jc w:val="both"/>
              <w:textAlignment w:val="baseline"/>
              <w:rPr>
                <w:rFonts w:hint="default" w:ascii="Times New Roman" w:hAnsi="Times New Roman" w:eastAsia="宋体" w:cs="Times New Roman"/>
                <w:color w:val="auto"/>
                <w:sz w:val="24"/>
                <w:szCs w:val="24"/>
              </w:rPr>
            </w:pPr>
          </w:p>
        </w:tc>
      </w:tr>
    </w:tbl>
    <w:p w14:paraId="7F91AEDB">
      <w:pPr>
        <w:pStyle w:val="5"/>
        <w:spacing w:line="132" w:lineRule="exact"/>
        <w:rPr>
          <w:rFonts w:hint="default" w:ascii="Times New Roman" w:hAnsi="Times New Roman" w:cs="Times New Roman"/>
          <w:color w:val="auto"/>
          <w:sz w:val="11"/>
        </w:rPr>
      </w:pPr>
    </w:p>
    <w:p w14:paraId="6948B5F4">
      <w:pPr>
        <w:spacing w:line="132" w:lineRule="exact"/>
        <w:rPr>
          <w:rFonts w:hint="default" w:ascii="Times New Roman" w:hAnsi="Times New Roman" w:cs="Times New Roman"/>
          <w:color w:val="auto"/>
          <w:sz w:val="11"/>
          <w:szCs w:val="11"/>
        </w:rPr>
        <w:sectPr>
          <w:footerReference r:id="rId8" w:type="default"/>
          <w:pgSz w:w="11905" w:h="16839"/>
          <w:pgMar w:top="1440" w:right="1080" w:bottom="1440" w:left="1080" w:header="0" w:footer="1079" w:gutter="0"/>
          <w:pgBorders>
            <w:top w:val="none" w:sz="0" w:space="0"/>
            <w:left w:val="none" w:sz="0" w:space="0"/>
            <w:bottom w:val="none" w:sz="0" w:space="0"/>
            <w:right w:val="none" w:sz="0" w:space="0"/>
          </w:pgBorders>
          <w:pgNumType w:fmt="decimal"/>
          <w:cols w:space="720" w:num="1"/>
        </w:sectPr>
      </w:pPr>
    </w:p>
    <w:p w14:paraId="5A6019DB">
      <w:pPr>
        <w:spacing w:before="60" w:line="223" w:lineRule="auto"/>
        <w:ind w:left="4356"/>
        <w:rPr>
          <w:rFonts w:hint="default" w:ascii="Times New Roman" w:hAnsi="Times New Roman" w:eastAsia="黑体" w:cs="Times New Roman"/>
          <w:color w:val="auto"/>
          <w:sz w:val="30"/>
          <w:szCs w:val="30"/>
        </w:rPr>
      </w:pPr>
      <w:r>
        <w:rPr>
          <w:rFonts w:hint="default" w:ascii="Times New Roman" w:hAnsi="Times New Roman" w:eastAsia="黑体" w:cs="Times New Roman"/>
          <w:color w:val="auto"/>
          <w:spacing w:val="-4"/>
          <w:sz w:val="30"/>
          <w:szCs w:val="30"/>
        </w:rPr>
        <w:t>六、结论</w:t>
      </w:r>
    </w:p>
    <w:tbl>
      <w:tblPr>
        <w:tblStyle w:val="21"/>
        <w:tblW w:w="9864" w:type="dxa"/>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9864"/>
      </w:tblGrid>
      <w:tr w14:paraId="3AE340D4">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12744" w:hRule="atLeast"/>
          <w:jc w:val="center"/>
        </w:trPr>
        <w:tc>
          <w:tcPr>
            <w:tcW w:w="9864" w:type="dxa"/>
            <w:vAlign w:val="top"/>
          </w:tcPr>
          <w:p w14:paraId="619257DE">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p>
          <w:p w14:paraId="5FE4D049">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p>
          <w:p w14:paraId="2030A3A8">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p>
          <w:p w14:paraId="28C5640C">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p>
          <w:p w14:paraId="784E3D5C">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p>
          <w:p w14:paraId="785EC15A">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一、评价结论</w:t>
            </w:r>
          </w:p>
          <w:p w14:paraId="5E5F2813">
            <w:pPr>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综上所述，</w:t>
            </w:r>
            <w:r>
              <w:rPr>
                <w:rFonts w:hint="eastAsia" w:ascii="Times New Roman" w:hAnsi="Times New Roman" w:cs="Times New Roman"/>
                <w:color w:val="auto"/>
                <w:lang w:eastAsia="zh-CN"/>
              </w:rPr>
              <w:t>淄博淄阀工贸有限公司年产4000吨机械阀门及泵类配件技改项目</w:t>
            </w:r>
            <w:r>
              <w:rPr>
                <w:rFonts w:hint="default" w:ascii="Times New Roman" w:hAnsi="Times New Roman" w:eastAsia="宋体" w:cs="Times New Roman"/>
                <w:color w:val="auto"/>
              </w:rPr>
              <w:t>建设符合国家产业政策，</w:t>
            </w:r>
            <w:r>
              <w:rPr>
                <w:rFonts w:hint="default" w:ascii="Times New Roman" w:hAnsi="Times New Roman" w:eastAsia="宋体" w:cs="Times New Roman"/>
                <w:snapToGrid w:val="0"/>
                <w:color w:val="auto"/>
                <w:kern w:val="0"/>
                <w:sz w:val="24"/>
                <w:szCs w:val="24"/>
                <w:lang w:val="en-US" w:eastAsia="en-US" w:bidi="ar-SA"/>
              </w:rPr>
              <w:t>项目选址</w:t>
            </w:r>
            <w:r>
              <w:rPr>
                <w:rFonts w:hint="default" w:ascii="Times New Roman" w:hAnsi="Times New Roman" w:cs="Times New Roman"/>
                <w:bCs/>
                <w:color w:val="auto"/>
                <w:sz w:val="24"/>
              </w:rPr>
              <w:t>用地不属于“国土资源部、国家发展和改革委员会关于发布实施《自然资源要素支撑产业高质量发展指导目录（2024年本）》的通知”中的限制类和禁止类</w:t>
            </w:r>
            <w:r>
              <w:rPr>
                <w:rFonts w:hint="default" w:ascii="Times New Roman" w:hAnsi="Times New Roman" w:eastAsia="宋体" w:cs="Times New Roman"/>
                <w:color w:val="auto"/>
              </w:rPr>
              <w:t>，拟采取的环保措施技术可靠、经济可行，污染物满足达标排放、总量控制的基本原则，厂址附近环境质量现状适合项目建设，污染物排放分析结果表明项目对周围环境影响较小，环境风险可接受。在各项污染防治措施得到落实的前提下，从环境保护的角度分析，项目建设可行。</w:t>
            </w:r>
          </w:p>
          <w:p w14:paraId="76F8EA95">
            <w:pPr>
              <w:keepNext w:val="0"/>
              <w:keepLines w:val="0"/>
              <w:pageBreakBefore w:val="0"/>
              <w:widowControl/>
              <w:kinsoku w:val="0"/>
              <w:wordWrap/>
              <w:overflowPunct/>
              <w:topLinePunct w:val="0"/>
              <w:autoSpaceDE w:val="0"/>
              <w:autoSpaceDN w:val="0"/>
              <w:bidi w:val="0"/>
              <w:adjustRightInd w:val="0"/>
              <w:snapToGrid w:val="0"/>
              <w:ind w:firstLine="482" w:firstLineChars="200"/>
              <w:textAlignment w:val="baseline"/>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二、建议</w:t>
            </w:r>
          </w:p>
          <w:p w14:paraId="071423EE">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建设项目在生产过程中应最大限度地减轻对周围环境的影响，建议加强如下污染防治措施：</w:t>
            </w:r>
          </w:p>
          <w:p w14:paraId="28AB7FAC">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（1）做好厂区分区防渗工作，防渗处理工作过程中应加强监督管理，对防水混凝土、防渗膜质量以及施工质量进行严格检查，防渗工程施工完成后应对其进行验收，确保防渗工程达到预期效果；</w:t>
            </w:r>
          </w:p>
          <w:p w14:paraId="5412A28A">
            <w:pPr>
              <w:keepNext w:val="0"/>
              <w:keepLines w:val="0"/>
              <w:pageBreakBefore w:val="0"/>
              <w:widowControl/>
              <w:kinsoku/>
              <w:wordWrap/>
              <w:overflowPunct/>
              <w:topLinePunct w:val="0"/>
              <w:autoSpaceDE w:val="0"/>
              <w:autoSpaceDN w:val="0"/>
              <w:bidi w:val="0"/>
              <w:adjustRightInd w:val="0"/>
              <w:snapToGrid w:val="0"/>
              <w:ind w:firstLine="480" w:firstLineChars="200"/>
              <w:textAlignment w:val="baseline"/>
              <w:rPr>
                <w:rFonts w:hint="default" w:ascii="Times New Roman" w:hAnsi="Times New Roman" w:cs="Times New Roman"/>
                <w:color w:val="auto"/>
              </w:rPr>
            </w:pPr>
            <w:r>
              <w:rPr>
                <w:rFonts w:hint="default" w:ascii="Times New Roman" w:hAnsi="Times New Roman" w:eastAsia="宋体" w:cs="Times New Roman"/>
                <w:color w:val="auto"/>
              </w:rPr>
              <w:t>（2）严格落实环保措施，环境管理制度，按规范制定环境监测计划，规范排污口设置，建立先进的环保管理模式，完善管理制度，强化职工自身环保意识。</w:t>
            </w:r>
          </w:p>
        </w:tc>
      </w:tr>
    </w:tbl>
    <w:p w14:paraId="7ACDE200">
      <w:pPr>
        <w:pStyle w:val="5"/>
        <w:spacing w:line="183" w:lineRule="exact"/>
        <w:rPr>
          <w:rFonts w:hint="default" w:ascii="Times New Roman" w:hAnsi="Times New Roman" w:cs="Times New Roman"/>
          <w:color w:val="auto"/>
          <w:sz w:val="15"/>
        </w:rPr>
      </w:pPr>
    </w:p>
    <w:p w14:paraId="6F0DCE66">
      <w:pPr>
        <w:spacing w:line="183" w:lineRule="exact"/>
        <w:rPr>
          <w:rFonts w:hint="default" w:ascii="Times New Roman" w:hAnsi="Times New Roman" w:cs="Times New Roman"/>
          <w:color w:val="auto"/>
          <w:sz w:val="15"/>
          <w:szCs w:val="15"/>
        </w:rPr>
        <w:sectPr>
          <w:footerReference r:id="rId9" w:type="default"/>
          <w:pgSz w:w="11905" w:h="16839"/>
          <w:pgMar w:top="1440" w:right="1080" w:bottom="1440" w:left="1080" w:header="0" w:footer="1079" w:gutter="0"/>
          <w:pgBorders>
            <w:top w:val="none" w:sz="0" w:space="0"/>
            <w:left w:val="none" w:sz="0" w:space="0"/>
            <w:bottom w:val="none" w:sz="0" w:space="0"/>
            <w:right w:val="none" w:sz="0" w:space="0"/>
          </w:pgBorders>
          <w:pgNumType w:fmt="decimal"/>
          <w:cols w:space="720" w:num="1"/>
        </w:sectPr>
      </w:pPr>
    </w:p>
    <w:p w14:paraId="2F2C83F4">
      <w:pPr>
        <w:spacing w:before="63" w:line="226" w:lineRule="auto"/>
        <w:ind w:left="145"/>
        <w:rPr>
          <w:rFonts w:hint="default" w:ascii="Times New Roman" w:hAnsi="Times New Roman" w:eastAsia="黑体" w:cs="Times New Roman"/>
          <w:color w:val="auto"/>
          <w:sz w:val="31"/>
          <w:szCs w:val="31"/>
        </w:rPr>
      </w:pPr>
      <w:r>
        <w:rPr>
          <w:rFonts w:hint="default" w:ascii="Times New Roman" w:hAnsi="Times New Roman" w:eastAsia="黑体" w:cs="Times New Roman"/>
          <w:color w:val="auto"/>
          <w:spacing w:val="-3"/>
          <w:sz w:val="31"/>
          <w:szCs w:val="31"/>
        </w:rPr>
        <w:t>附表</w:t>
      </w:r>
    </w:p>
    <w:p w14:paraId="15A92DC4">
      <w:pPr>
        <w:spacing w:before="162" w:line="182" w:lineRule="auto"/>
        <w:ind w:left="5219"/>
        <w:rPr>
          <w:rFonts w:hint="default" w:ascii="Times New Roman" w:hAnsi="Times New Roman" w:eastAsia="微软雅黑" w:cs="Times New Roman"/>
          <w:color w:val="auto"/>
          <w:sz w:val="37"/>
          <w:szCs w:val="37"/>
        </w:rPr>
      </w:pPr>
      <w:r>
        <w:rPr>
          <w:rFonts w:hint="default" w:ascii="Times New Roman" w:hAnsi="Times New Roman" w:eastAsia="微软雅黑" w:cs="Times New Roman"/>
          <w:color w:val="auto"/>
          <w:spacing w:val="9"/>
          <w:sz w:val="37"/>
          <w:szCs w:val="37"/>
        </w:rPr>
        <w:t>建设项目污染物排放量汇总表</w:t>
      </w:r>
    </w:p>
    <w:tbl>
      <w:tblPr>
        <w:tblStyle w:val="21"/>
        <w:tblW w:w="15354"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92"/>
        <w:gridCol w:w="1822"/>
        <w:gridCol w:w="1624"/>
        <w:gridCol w:w="1534"/>
        <w:gridCol w:w="1727"/>
        <w:gridCol w:w="2007"/>
        <w:gridCol w:w="1979"/>
        <w:gridCol w:w="1796"/>
        <w:gridCol w:w="1273"/>
      </w:tblGrid>
      <w:tr w14:paraId="7CB312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1592" w:type="dxa"/>
            <w:tcBorders>
              <w:top w:val="single" w:color="000000" w:sz="6" w:space="0"/>
              <w:left w:val="single" w:color="000000" w:sz="6" w:space="0"/>
              <w:tl2br w:val="single" w:color="000000" w:sz="2" w:space="0"/>
            </w:tcBorders>
            <w:vAlign w:val="center"/>
          </w:tcPr>
          <w:p w14:paraId="5719E2E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lang w:val="en-US" w:eastAsia="zh-CN"/>
              </w:rPr>
              <w:t xml:space="preserve">          </w:t>
            </w:r>
            <w:r>
              <w:rPr>
                <w:rFonts w:hint="default" w:ascii="Times New Roman" w:hAnsi="Times New Roman" w:eastAsia="宋体" w:cs="Times New Roman"/>
                <w:color w:val="auto"/>
                <w:spacing w:val="-6"/>
                <w:sz w:val="24"/>
                <w:szCs w:val="24"/>
              </w:rPr>
              <w:t>项目</w:t>
            </w:r>
          </w:p>
          <w:p w14:paraId="14C542E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7"/>
                <w:sz w:val="24"/>
                <w:szCs w:val="24"/>
              </w:rPr>
              <w:t>分类</w:t>
            </w:r>
          </w:p>
        </w:tc>
        <w:tc>
          <w:tcPr>
            <w:tcW w:w="1822" w:type="dxa"/>
            <w:tcBorders>
              <w:top w:val="single" w:color="000000" w:sz="6" w:space="0"/>
            </w:tcBorders>
            <w:vAlign w:val="center"/>
          </w:tcPr>
          <w:p w14:paraId="14CFE4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0"/>
                <w:sz w:val="24"/>
                <w:szCs w:val="24"/>
              </w:rPr>
              <w:t>污染物名称</w:t>
            </w:r>
          </w:p>
        </w:tc>
        <w:tc>
          <w:tcPr>
            <w:tcW w:w="1624" w:type="dxa"/>
            <w:tcBorders>
              <w:top w:val="single" w:color="000000" w:sz="6" w:space="0"/>
            </w:tcBorders>
            <w:vAlign w:val="center"/>
          </w:tcPr>
          <w:p w14:paraId="6EB2AB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0"/>
                <w:sz w:val="24"/>
                <w:szCs w:val="24"/>
              </w:rPr>
              <w:t>现有工程排放</w:t>
            </w:r>
          </w:p>
          <w:p w14:paraId="2D393A1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5"/>
                <w:sz w:val="24"/>
                <w:szCs w:val="24"/>
              </w:rPr>
              <w:t>量（固体废</w:t>
            </w:r>
            <w:r>
              <w:rPr>
                <w:rFonts w:hint="default" w:ascii="Times New Roman" w:hAnsi="Times New Roman" w:eastAsia="宋体" w:cs="Times New Roman"/>
                <w:color w:val="auto"/>
                <w:spacing w:val="-10"/>
                <w:sz w:val="24"/>
                <w:szCs w:val="24"/>
              </w:rPr>
              <w:t>物产</w:t>
            </w:r>
          </w:p>
          <w:p w14:paraId="39BBFF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0"/>
                <w:sz w:val="24"/>
                <w:szCs w:val="24"/>
              </w:rPr>
              <w:t>生量）①</w:t>
            </w:r>
          </w:p>
        </w:tc>
        <w:tc>
          <w:tcPr>
            <w:tcW w:w="1534" w:type="dxa"/>
            <w:tcBorders>
              <w:top w:val="single" w:color="000000" w:sz="6" w:space="0"/>
            </w:tcBorders>
            <w:vAlign w:val="center"/>
          </w:tcPr>
          <w:p w14:paraId="622BF5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现有工程</w:t>
            </w:r>
          </w:p>
          <w:p w14:paraId="3CDD2A8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许可排放量②</w:t>
            </w:r>
          </w:p>
        </w:tc>
        <w:tc>
          <w:tcPr>
            <w:tcW w:w="1727" w:type="dxa"/>
            <w:tcBorders>
              <w:top w:val="single" w:color="000000" w:sz="6" w:space="0"/>
            </w:tcBorders>
            <w:vAlign w:val="center"/>
          </w:tcPr>
          <w:p w14:paraId="5A2EE78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在建工程排放量</w:t>
            </w:r>
          </w:p>
          <w:p w14:paraId="540BB8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（固体废物产生</w:t>
            </w:r>
          </w:p>
          <w:p w14:paraId="2BA14B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量）③</w:t>
            </w:r>
          </w:p>
        </w:tc>
        <w:tc>
          <w:tcPr>
            <w:tcW w:w="2007" w:type="dxa"/>
            <w:tcBorders>
              <w:top w:val="single" w:color="000000" w:sz="6" w:space="0"/>
            </w:tcBorders>
            <w:vAlign w:val="center"/>
          </w:tcPr>
          <w:p w14:paraId="15C843D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本项目排放量（固体废物产生量）④</w:t>
            </w:r>
          </w:p>
        </w:tc>
        <w:tc>
          <w:tcPr>
            <w:tcW w:w="1979" w:type="dxa"/>
            <w:tcBorders>
              <w:top w:val="single" w:color="000000" w:sz="6" w:space="0"/>
            </w:tcBorders>
            <w:vAlign w:val="center"/>
          </w:tcPr>
          <w:p w14:paraId="7CFA39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以新带老削减量（新建项目不填）⑤</w:t>
            </w:r>
          </w:p>
        </w:tc>
        <w:tc>
          <w:tcPr>
            <w:tcW w:w="1796" w:type="dxa"/>
            <w:tcBorders>
              <w:top w:val="single" w:color="000000" w:sz="6" w:space="0"/>
            </w:tcBorders>
            <w:vAlign w:val="center"/>
          </w:tcPr>
          <w:p w14:paraId="071B3D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本项目建成后全厂排放量（固体废物产生量）⑥</w:t>
            </w:r>
          </w:p>
        </w:tc>
        <w:tc>
          <w:tcPr>
            <w:tcW w:w="1273" w:type="dxa"/>
            <w:tcBorders>
              <w:top w:val="single" w:color="000000" w:sz="6" w:space="0"/>
              <w:right w:val="single" w:color="000000" w:sz="6" w:space="0"/>
            </w:tcBorders>
            <w:vAlign w:val="center"/>
          </w:tcPr>
          <w:p w14:paraId="2836D8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变化量</w:t>
            </w:r>
          </w:p>
          <w:p w14:paraId="5D7839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⑦</w:t>
            </w:r>
          </w:p>
        </w:tc>
      </w:tr>
      <w:tr w14:paraId="06225E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1592" w:type="dxa"/>
            <w:vMerge w:val="restart"/>
            <w:tcBorders>
              <w:left w:val="single" w:color="000000" w:sz="6" w:space="0"/>
            </w:tcBorders>
            <w:vAlign w:val="center"/>
          </w:tcPr>
          <w:p w14:paraId="47F913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废气</w:t>
            </w:r>
          </w:p>
        </w:tc>
        <w:tc>
          <w:tcPr>
            <w:tcW w:w="1822" w:type="dxa"/>
            <w:vAlign w:val="center"/>
          </w:tcPr>
          <w:p w14:paraId="70CD5F0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
                <w:sz w:val="21"/>
                <w:szCs w:val="21"/>
              </w:rPr>
              <w:t>VOCs</w:t>
            </w:r>
            <w:r>
              <w:rPr>
                <w:rFonts w:hint="eastAsia" w:ascii="Times New Roman" w:hAnsi="Times New Roman" w:cs="Times New Roman"/>
                <w:color w:val="auto"/>
                <w:spacing w:val="-1"/>
                <w:sz w:val="21"/>
                <w:szCs w:val="21"/>
                <w:lang w:eastAsia="zh-CN"/>
              </w:rPr>
              <w:t>（</w:t>
            </w:r>
            <w:r>
              <w:rPr>
                <w:rFonts w:hint="eastAsia" w:ascii="Times New Roman" w:hAnsi="Times New Roman" w:cs="Times New Roman"/>
                <w:color w:val="auto"/>
                <w:spacing w:val="-1"/>
                <w:sz w:val="21"/>
                <w:szCs w:val="21"/>
                <w:lang w:val="en-US" w:eastAsia="zh-CN"/>
              </w:rPr>
              <w:t>含甲醛、苯酚、苯乙烯）</w:t>
            </w:r>
          </w:p>
        </w:tc>
        <w:tc>
          <w:tcPr>
            <w:tcW w:w="1624" w:type="dxa"/>
            <w:vAlign w:val="center"/>
          </w:tcPr>
          <w:p w14:paraId="5041D9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0</w:t>
            </w:r>
          </w:p>
        </w:tc>
        <w:tc>
          <w:tcPr>
            <w:tcW w:w="1534" w:type="dxa"/>
            <w:vAlign w:val="center"/>
          </w:tcPr>
          <w:p w14:paraId="7E93B4E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rPr>
            </w:pPr>
          </w:p>
        </w:tc>
        <w:tc>
          <w:tcPr>
            <w:tcW w:w="1727" w:type="dxa"/>
            <w:vAlign w:val="center"/>
          </w:tcPr>
          <w:p w14:paraId="38E0EC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rPr>
            </w:pPr>
          </w:p>
        </w:tc>
        <w:tc>
          <w:tcPr>
            <w:tcW w:w="2007" w:type="dxa"/>
            <w:vAlign w:val="center"/>
          </w:tcPr>
          <w:p w14:paraId="02C8E7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snapToGrid w:val="0"/>
                <w:color w:val="0000FF"/>
                <w:kern w:val="0"/>
                <w:sz w:val="21"/>
                <w:szCs w:val="21"/>
                <w:lang w:val="en-US" w:eastAsia="zh-CN" w:bidi="ar-SA"/>
              </w:rPr>
              <w:t>0.222</w:t>
            </w:r>
            <w:r>
              <w:rPr>
                <w:rFonts w:hint="default" w:ascii="Times New Roman" w:hAnsi="Times New Roman" w:cs="Times New Roman"/>
                <w:color w:val="0000FF"/>
                <w:sz w:val="21"/>
                <w:szCs w:val="21"/>
                <w:lang w:val="en-US" w:eastAsia="zh-CN"/>
              </w:rPr>
              <w:t>t/a</w:t>
            </w:r>
          </w:p>
        </w:tc>
        <w:tc>
          <w:tcPr>
            <w:tcW w:w="1979" w:type="dxa"/>
            <w:vAlign w:val="center"/>
          </w:tcPr>
          <w:p w14:paraId="4C7620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0000FF"/>
                <w:sz w:val="21"/>
                <w:szCs w:val="21"/>
                <w:lang w:val="en-US" w:eastAsia="zh-CN"/>
              </w:rPr>
            </w:pPr>
          </w:p>
        </w:tc>
        <w:tc>
          <w:tcPr>
            <w:tcW w:w="1796" w:type="dxa"/>
            <w:shd w:val="clear" w:color="auto" w:fill="auto"/>
            <w:vAlign w:val="center"/>
          </w:tcPr>
          <w:p w14:paraId="48248C7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FF"/>
                <w:kern w:val="0"/>
                <w:sz w:val="21"/>
                <w:szCs w:val="21"/>
                <w:lang w:val="en-US" w:eastAsia="zh-CN" w:bidi="ar-SA"/>
              </w:rPr>
            </w:pPr>
            <w:r>
              <w:rPr>
                <w:rFonts w:hint="eastAsia" w:ascii="Times New Roman" w:hAnsi="Times New Roman" w:cs="Times New Roman"/>
                <w:snapToGrid w:val="0"/>
                <w:color w:val="0000FF"/>
                <w:kern w:val="0"/>
                <w:sz w:val="21"/>
                <w:szCs w:val="21"/>
                <w:lang w:val="en-US" w:eastAsia="zh-CN" w:bidi="ar-SA"/>
              </w:rPr>
              <w:t>0.222</w:t>
            </w:r>
            <w:r>
              <w:rPr>
                <w:rFonts w:hint="default" w:ascii="Times New Roman" w:hAnsi="Times New Roman" w:cs="Times New Roman"/>
                <w:color w:val="0000FF"/>
                <w:sz w:val="21"/>
                <w:szCs w:val="21"/>
                <w:lang w:val="en-US" w:eastAsia="zh-CN"/>
              </w:rPr>
              <w:t>t/a</w:t>
            </w:r>
          </w:p>
        </w:tc>
        <w:tc>
          <w:tcPr>
            <w:tcW w:w="1273" w:type="dxa"/>
            <w:tcBorders>
              <w:right w:val="single" w:color="000000" w:sz="6" w:space="0"/>
            </w:tcBorders>
            <w:shd w:val="clear" w:color="auto" w:fill="auto"/>
            <w:vAlign w:val="center"/>
          </w:tcPr>
          <w:p w14:paraId="1973E65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FF"/>
                <w:kern w:val="0"/>
                <w:sz w:val="21"/>
                <w:szCs w:val="21"/>
                <w:lang w:val="en-US" w:eastAsia="zh-CN" w:bidi="ar-SA"/>
              </w:rPr>
            </w:pPr>
            <w:r>
              <w:rPr>
                <w:rFonts w:hint="eastAsia" w:ascii="Times New Roman" w:hAnsi="Times New Roman" w:cs="Times New Roman"/>
                <w:snapToGrid w:val="0"/>
                <w:color w:val="0000FF"/>
                <w:kern w:val="0"/>
                <w:sz w:val="21"/>
                <w:szCs w:val="21"/>
                <w:lang w:val="en-US" w:eastAsia="zh-CN" w:bidi="ar-SA"/>
              </w:rPr>
              <w:t>+0.222</w:t>
            </w:r>
            <w:r>
              <w:rPr>
                <w:rFonts w:hint="default" w:ascii="Times New Roman" w:hAnsi="Times New Roman" w:cs="Times New Roman"/>
                <w:color w:val="0000FF"/>
                <w:sz w:val="21"/>
                <w:szCs w:val="21"/>
                <w:lang w:val="en-US" w:eastAsia="zh-CN"/>
              </w:rPr>
              <w:t>t/a</w:t>
            </w:r>
          </w:p>
        </w:tc>
      </w:tr>
      <w:tr w14:paraId="3C220F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1592" w:type="dxa"/>
            <w:vMerge w:val="continue"/>
            <w:tcBorders>
              <w:left w:val="single" w:color="000000" w:sz="6" w:space="0"/>
            </w:tcBorders>
            <w:vAlign w:val="center"/>
          </w:tcPr>
          <w:p w14:paraId="3A6EB0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c>
          <w:tcPr>
            <w:tcW w:w="1822" w:type="dxa"/>
            <w:vAlign w:val="center"/>
          </w:tcPr>
          <w:p w14:paraId="16775A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颗粒物</w:t>
            </w:r>
          </w:p>
        </w:tc>
        <w:tc>
          <w:tcPr>
            <w:tcW w:w="1624" w:type="dxa"/>
            <w:vAlign w:val="center"/>
          </w:tcPr>
          <w:p w14:paraId="4EEF1D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0.16</w:t>
            </w:r>
            <w:r>
              <w:rPr>
                <w:rFonts w:hint="default" w:ascii="Times New Roman" w:hAnsi="Times New Roman" w:cs="Times New Roman"/>
                <w:color w:val="0000FF"/>
                <w:sz w:val="21"/>
                <w:szCs w:val="21"/>
                <w:lang w:val="en-US" w:eastAsia="zh-CN"/>
              </w:rPr>
              <w:t>t/a</w:t>
            </w:r>
          </w:p>
        </w:tc>
        <w:tc>
          <w:tcPr>
            <w:tcW w:w="1534" w:type="dxa"/>
            <w:vAlign w:val="center"/>
          </w:tcPr>
          <w:p w14:paraId="7321C8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rPr>
            </w:pPr>
          </w:p>
        </w:tc>
        <w:tc>
          <w:tcPr>
            <w:tcW w:w="1727" w:type="dxa"/>
            <w:vAlign w:val="center"/>
          </w:tcPr>
          <w:p w14:paraId="6FD650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rPr>
            </w:pPr>
          </w:p>
        </w:tc>
        <w:tc>
          <w:tcPr>
            <w:tcW w:w="2007" w:type="dxa"/>
            <w:vAlign w:val="center"/>
          </w:tcPr>
          <w:p w14:paraId="7AD17D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snapToGrid w:val="0"/>
                <w:color w:val="0000FF"/>
                <w:kern w:val="0"/>
                <w:sz w:val="21"/>
                <w:szCs w:val="21"/>
                <w:lang w:val="en-US" w:eastAsia="zh-CN" w:bidi="ar-SA"/>
              </w:rPr>
              <w:t>0.696</w:t>
            </w:r>
            <w:r>
              <w:rPr>
                <w:rFonts w:hint="default" w:ascii="Times New Roman" w:hAnsi="Times New Roman" w:cs="Times New Roman"/>
                <w:color w:val="0000FF"/>
                <w:sz w:val="21"/>
                <w:szCs w:val="21"/>
                <w:lang w:val="en-US" w:eastAsia="zh-CN"/>
              </w:rPr>
              <w:t>t/a</w:t>
            </w:r>
          </w:p>
        </w:tc>
        <w:tc>
          <w:tcPr>
            <w:tcW w:w="1979" w:type="dxa"/>
            <w:vAlign w:val="center"/>
          </w:tcPr>
          <w:p w14:paraId="2ADB51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0.16</w:t>
            </w:r>
            <w:r>
              <w:rPr>
                <w:rFonts w:hint="default" w:ascii="Times New Roman" w:hAnsi="Times New Roman" w:cs="Times New Roman"/>
                <w:color w:val="0000FF"/>
                <w:sz w:val="21"/>
                <w:szCs w:val="21"/>
                <w:lang w:val="en-US" w:eastAsia="zh-CN"/>
              </w:rPr>
              <w:t>t/a</w:t>
            </w:r>
          </w:p>
        </w:tc>
        <w:tc>
          <w:tcPr>
            <w:tcW w:w="1796" w:type="dxa"/>
            <w:shd w:val="clear" w:color="auto" w:fill="auto"/>
            <w:vAlign w:val="center"/>
          </w:tcPr>
          <w:p w14:paraId="00460B4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FF"/>
                <w:kern w:val="0"/>
                <w:sz w:val="21"/>
                <w:szCs w:val="21"/>
                <w:lang w:val="en-US" w:eastAsia="zh-CN" w:bidi="ar-SA"/>
              </w:rPr>
            </w:pPr>
            <w:r>
              <w:rPr>
                <w:rFonts w:hint="eastAsia" w:ascii="Times New Roman" w:hAnsi="Times New Roman" w:cs="Times New Roman"/>
                <w:color w:val="0000FF"/>
                <w:sz w:val="21"/>
                <w:szCs w:val="21"/>
                <w:lang w:val="en-US" w:eastAsia="zh-CN"/>
              </w:rPr>
              <w:t>0.696</w:t>
            </w:r>
            <w:r>
              <w:rPr>
                <w:rFonts w:hint="default" w:ascii="Times New Roman" w:hAnsi="Times New Roman" w:cs="Times New Roman"/>
                <w:color w:val="0000FF"/>
                <w:sz w:val="21"/>
                <w:szCs w:val="21"/>
                <w:lang w:val="en-US" w:eastAsia="zh-CN"/>
              </w:rPr>
              <w:t>t/a</w:t>
            </w:r>
          </w:p>
        </w:tc>
        <w:tc>
          <w:tcPr>
            <w:tcW w:w="1273" w:type="dxa"/>
            <w:tcBorders>
              <w:right w:val="single" w:color="000000" w:sz="6" w:space="0"/>
            </w:tcBorders>
            <w:shd w:val="clear" w:color="auto" w:fill="auto"/>
            <w:vAlign w:val="center"/>
          </w:tcPr>
          <w:p w14:paraId="1B9B69D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FF"/>
                <w:kern w:val="0"/>
                <w:sz w:val="21"/>
                <w:szCs w:val="21"/>
                <w:lang w:val="en-US" w:eastAsia="zh-CN" w:bidi="ar-SA"/>
              </w:rPr>
            </w:pPr>
            <w:r>
              <w:rPr>
                <w:rFonts w:hint="eastAsia" w:ascii="Times New Roman" w:hAnsi="Times New Roman" w:cs="Times New Roman"/>
                <w:snapToGrid w:val="0"/>
                <w:color w:val="0000FF"/>
                <w:kern w:val="0"/>
                <w:sz w:val="21"/>
                <w:szCs w:val="21"/>
                <w:lang w:val="en-US" w:eastAsia="zh-CN" w:bidi="ar-SA"/>
              </w:rPr>
              <w:t>+0.536</w:t>
            </w:r>
            <w:r>
              <w:rPr>
                <w:rFonts w:hint="default" w:ascii="Times New Roman" w:hAnsi="Times New Roman" w:cs="Times New Roman"/>
                <w:color w:val="0000FF"/>
                <w:sz w:val="21"/>
                <w:szCs w:val="21"/>
                <w:lang w:val="en-US" w:eastAsia="zh-CN"/>
              </w:rPr>
              <w:t>t/a</w:t>
            </w:r>
          </w:p>
        </w:tc>
      </w:tr>
      <w:tr w14:paraId="0D044C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1592" w:type="dxa"/>
            <w:vMerge w:val="restart"/>
            <w:tcBorders>
              <w:left w:val="single" w:color="000000" w:sz="6" w:space="0"/>
              <w:bottom w:val="nil"/>
            </w:tcBorders>
            <w:vAlign w:val="center"/>
          </w:tcPr>
          <w:p w14:paraId="6AF2CD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废水</w:t>
            </w:r>
          </w:p>
        </w:tc>
        <w:tc>
          <w:tcPr>
            <w:tcW w:w="1822" w:type="dxa"/>
            <w:vAlign w:val="center"/>
          </w:tcPr>
          <w:p w14:paraId="45BCC7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COD</w:t>
            </w:r>
          </w:p>
        </w:tc>
        <w:tc>
          <w:tcPr>
            <w:tcW w:w="1624" w:type="dxa"/>
            <w:vAlign w:val="center"/>
          </w:tcPr>
          <w:p w14:paraId="7B30CF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1534" w:type="dxa"/>
            <w:vAlign w:val="center"/>
          </w:tcPr>
          <w:p w14:paraId="05725E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727" w:type="dxa"/>
            <w:vAlign w:val="center"/>
          </w:tcPr>
          <w:p w14:paraId="6F6885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2007" w:type="dxa"/>
            <w:shd w:val="clear" w:color="auto" w:fill="auto"/>
            <w:vAlign w:val="center"/>
          </w:tcPr>
          <w:p w14:paraId="3D7F030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1979" w:type="dxa"/>
            <w:vAlign w:val="center"/>
          </w:tcPr>
          <w:p w14:paraId="2E347F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p>
        </w:tc>
        <w:tc>
          <w:tcPr>
            <w:tcW w:w="1796" w:type="dxa"/>
            <w:shd w:val="clear" w:color="auto" w:fill="auto"/>
            <w:vAlign w:val="center"/>
          </w:tcPr>
          <w:p w14:paraId="5A56E6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1273" w:type="dxa"/>
            <w:tcBorders>
              <w:right w:val="single" w:color="000000" w:sz="6" w:space="0"/>
            </w:tcBorders>
            <w:shd w:val="clear" w:color="auto" w:fill="auto"/>
            <w:vAlign w:val="center"/>
          </w:tcPr>
          <w:p w14:paraId="1760C0A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p>
        </w:tc>
      </w:tr>
      <w:tr w14:paraId="4630CA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1592" w:type="dxa"/>
            <w:vMerge w:val="continue"/>
            <w:tcBorders>
              <w:top w:val="nil"/>
              <w:left w:val="single" w:color="000000" w:sz="6" w:space="0"/>
            </w:tcBorders>
            <w:vAlign w:val="center"/>
          </w:tcPr>
          <w:p w14:paraId="6AB888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vAlign w:val="center"/>
          </w:tcPr>
          <w:p w14:paraId="2F2BFF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氨氮</w:t>
            </w:r>
          </w:p>
        </w:tc>
        <w:tc>
          <w:tcPr>
            <w:tcW w:w="1624" w:type="dxa"/>
            <w:vAlign w:val="center"/>
          </w:tcPr>
          <w:p w14:paraId="1AD02D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1534" w:type="dxa"/>
            <w:vAlign w:val="center"/>
          </w:tcPr>
          <w:p w14:paraId="745457F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727" w:type="dxa"/>
            <w:vAlign w:val="center"/>
          </w:tcPr>
          <w:p w14:paraId="267331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2007" w:type="dxa"/>
            <w:shd w:val="clear" w:color="auto" w:fill="auto"/>
            <w:vAlign w:val="center"/>
          </w:tcPr>
          <w:p w14:paraId="12E483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1979" w:type="dxa"/>
            <w:vAlign w:val="center"/>
          </w:tcPr>
          <w:p w14:paraId="3941DFE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p>
        </w:tc>
        <w:tc>
          <w:tcPr>
            <w:tcW w:w="1796" w:type="dxa"/>
            <w:shd w:val="clear" w:color="auto" w:fill="auto"/>
            <w:vAlign w:val="center"/>
          </w:tcPr>
          <w:p w14:paraId="0CEE74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p>
        </w:tc>
        <w:tc>
          <w:tcPr>
            <w:tcW w:w="1273" w:type="dxa"/>
            <w:tcBorders>
              <w:right w:val="single" w:color="000000" w:sz="6" w:space="0"/>
            </w:tcBorders>
            <w:shd w:val="clear" w:color="auto" w:fill="auto"/>
            <w:vAlign w:val="center"/>
          </w:tcPr>
          <w:p w14:paraId="2054B3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p>
        </w:tc>
      </w:tr>
      <w:tr w14:paraId="13D809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restart"/>
            <w:tcBorders>
              <w:left w:val="single" w:color="000000" w:sz="6" w:space="0"/>
            </w:tcBorders>
            <w:vAlign w:val="center"/>
          </w:tcPr>
          <w:p w14:paraId="2338FC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一般工业</w:t>
            </w:r>
            <w:r>
              <w:rPr>
                <w:rFonts w:hint="default" w:ascii="Times New Roman" w:hAnsi="Times New Roman" w:eastAsia="宋体" w:cs="Times New Roman"/>
                <w:color w:val="auto"/>
                <w:spacing w:val="-6"/>
                <w:sz w:val="21"/>
                <w:szCs w:val="21"/>
              </w:rPr>
              <w:t>固体废物</w:t>
            </w:r>
          </w:p>
        </w:tc>
        <w:tc>
          <w:tcPr>
            <w:tcW w:w="1822" w:type="dxa"/>
            <w:shd w:val="clear" w:color="auto" w:fill="auto"/>
            <w:vAlign w:val="center"/>
          </w:tcPr>
          <w:p w14:paraId="7367876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废包装材料</w:t>
            </w:r>
          </w:p>
        </w:tc>
        <w:tc>
          <w:tcPr>
            <w:tcW w:w="1624" w:type="dxa"/>
            <w:vAlign w:val="center"/>
          </w:tcPr>
          <w:p w14:paraId="5543910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534" w:type="dxa"/>
            <w:vAlign w:val="center"/>
          </w:tcPr>
          <w:p w14:paraId="4F1F23A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52B8DD4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5878B85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1.0t/a</w:t>
            </w:r>
          </w:p>
        </w:tc>
        <w:tc>
          <w:tcPr>
            <w:tcW w:w="1979" w:type="dxa"/>
            <w:vAlign w:val="center"/>
          </w:tcPr>
          <w:p w14:paraId="7CB4827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p>
        </w:tc>
        <w:tc>
          <w:tcPr>
            <w:tcW w:w="1796" w:type="dxa"/>
            <w:shd w:val="clear" w:color="auto" w:fill="auto"/>
            <w:vAlign w:val="center"/>
          </w:tcPr>
          <w:p w14:paraId="5684C12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1.0t/a</w:t>
            </w:r>
          </w:p>
        </w:tc>
        <w:tc>
          <w:tcPr>
            <w:tcW w:w="1273" w:type="dxa"/>
            <w:tcBorders>
              <w:right w:val="single" w:color="000000" w:sz="6" w:space="0"/>
            </w:tcBorders>
            <w:shd w:val="clear" w:color="auto" w:fill="auto"/>
            <w:vAlign w:val="center"/>
          </w:tcPr>
          <w:p w14:paraId="4903E41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+1t/a</w:t>
            </w:r>
          </w:p>
        </w:tc>
      </w:tr>
      <w:tr w14:paraId="24BBA4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2" w:hRule="atLeast"/>
        </w:trPr>
        <w:tc>
          <w:tcPr>
            <w:tcW w:w="1592" w:type="dxa"/>
            <w:vMerge w:val="continue"/>
            <w:tcBorders>
              <w:left w:val="single" w:color="000000" w:sz="6" w:space="0"/>
            </w:tcBorders>
            <w:vAlign w:val="center"/>
          </w:tcPr>
          <w:p w14:paraId="53DB8C3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473FC56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除尘器收尘</w:t>
            </w:r>
          </w:p>
        </w:tc>
        <w:tc>
          <w:tcPr>
            <w:tcW w:w="1624" w:type="dxa"/>
            <w:vAlign w:val="center"/>
          </w:tcPr>
          <w:p w14:paraId="47E4F39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7.84</w:t>
            </w:r>
            <w:r>
              <w:rPr>
                <w:rFonts w:hint="default" w:ascii="Times New Roman" w:hAnsi="Times New Roman" w:cs="Times New Roman"/>
                <w:color w:val="auto"/>
                <w:sz w:val="21"/>
                <w:szCs w:val="21"/>
                <w:lang w:val="en-US" w:eastAsia="zh-CN"/>
              </w:rPr>
              <w:t>t/a</w:t>
            </w:r>
          </w:p>
        </w:tc>
        <w:tc>
          <w:tcPr>
            <w:tcW w:w="1534" w:type="dxa"/>
            <w:vAlign w:val="center"/>
          </w:tcPr>
          <w:p w14:paraId="0E186E4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5B29E74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6A18BD9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68.9t/a</w:t>
            </w:r>
          </w:p>
        </w:tc>
        <w:tc>
          <w:tcPr>
            <w:tcW w:w="1979" w:type="dxa"/>
            <w:vAlign w:val="center"/>
          </w:tcPr>
          <w:p w14:paraId="7E87469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7.84</w:t>
            </w:r>
            <w:r>
              <w:rPr>
                <w:rFonts w:hint="default" w:ascii="Times New Roman" w:hAnsi="Times New Roman" w:cs="Times New Roman"/>
                <w:color w:val="auto"/>
                <w:sz w:val="21"/>
                <w:szCs w:val="21"/>
                <w:lang w:val="en-US" w:eastAsia="zh-CN"/>
              </w:rPr>
              <w:t>t/a</w:t>
            </w:r>
          </w:p>
        </w:tc>
        <w:tc>
          <w:tcPr>
            <w:tcW w:w="1796" w:type="dxa"/>
            <w:shd w:val="clear" w:color="auto" w:fill="auto"/>
            <w:vAlign w:val="center"/>
          </w:tcPr>
          <w:p w14:paraId="3314F3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68.9t/a</w:t>
            </w:r>
          </w:p>
        </w:tc>
        <w:tc>
          <w:tcPr>
            <w:tcW w:w="1273" w:type="dxa"/>
            <w:tcBorders>
              <w:right w:val="single" w:color="000000" w:sz="6" w:space="0"/>
            </w:tcBorders>
            <w:shd w:val="clear" w:color="auto" w:fill="auto"/>
            <w:vAlign w:val="center"/>
          </w:tcPr>
          <w:p w14:paraId="09AB698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+61.06t/a</w:t>
            </w:r>
          </w:p>
        </w:tc>
      </w:tr>
      <w:tr w14:paraId="2A98EA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vAlign w:val="center"/>
          </w:tcPr>
          <w:p w14:paraId="1529A7D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3F92B3B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废覆膜砂</w:t>
            </w:r>
          </w:p>
        </w:tc>
        <w:tc>
          <w:tcPr>
            <w:tcW w:w="1624" w:type="dxa"/>
            <w:shd w:val="clear" w:color="auto" w:fill="auto"/>
            <w:vAlign w:val="center"/>
          </w:tcPr>
          <w:p w14:paraId="71A45D5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534" w:type="dxa"/>
            <w:shd w:val="clear" w:color="auto" w:fill="auto"/>
            <w:vAlign w:val="center"/>
          </w:tcPr>
          <w:p w14:paraId="3032ED1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shd w:val="clear" w:color="auto" w:fill="auto"/>
            <w:vAlign w:val="center"/>
          </w:tcPr>
          <w:p w14:paraId="4AF40A6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66BAF46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2.0t/a</w:t>
            </w:r>
          </w:p>
        </w:tc>
        <w:tc>
          <w:tcPr>
            <w:tcW w:w="1979" w:type="dxa"/>
            <w:shd w:val="clear" w:color="auto" w:fill="auto"/>
            <w:vAlign w:val="center"/>
          </w:tcPr>
          <w:p w14:paraId="59E3318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auto"/>
                <w:sz w:val="21"/>
                <w:szCs w:val="21"/>
                <w:lang w:val="en-US" w:eastAsia="zh-CN"/>
              </w:rPr>
            </w:pPr>
          </w:p>
        </w:tc>
        <w:tc>
          <w:tcPr>
            <w:tcW w:w="1796" w:type="dxa"/>
            <w:shd w:val="clear" w:color="auto" w:fill="auto"/>
            <w:vAlign w:val="center"/>
          </w:tcPr>
          <w:p w14:paraId="3976270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2.0t/a</w:t>
            </w:r>
          </w:p>
        </w:tc>
        <w:tc>
          <w:tcPr>
            <w:tcW w:w="1273" w:type="dxa"/>
            <w:tcBorders>
              <w:right w:val="single" w:color="000000" w:sz="6" w:space="0"/>
            </w:tcBorders>
            <w:shd w:val="clear" w:color="auto" w:fill="auto"/>
            <w:vAlign w:val="center"/>
          </w:tcPr>
          <w:p w14:paraId="24FA7CC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+2.0t/at/a</w:t>
            </w:r>
          </w:p>
        </w:tc>
      </w:tr>
      <w:tr w14:paraId="5067F4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vAlign w:val="center"/>
          </w:tcPr>
          <w:p w14:paraId="1F9B43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17CAF18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废浇冒口</w:t>
            </w:r>
          </w:p>
        </w:tc>
        <w:tc>
          <w:tcPr>
            <w:tcW w:w="1624" w:type="dxa"/>
            <w:vAlign w:val="center"/>
          </w:tcPr>
          <w:p w14:paraId="36B5F60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534" w:type="dxa"/>
            <w:vAlign w:val="center"/>
          </w:tcPr>
          <w:p w14:paraId="0AE15D2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4DE1C62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64480DC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1.0t/a</w:t>
            </w:r>
          </w:p>
        </w:tc>
        <w:tc>
          <w:tcPr>
            <w:tcW w:w="1979" w:type="dxa"/>
            <w:vAlign w:val="center"/>
          </w:tcPr>
          <w:p w14:paraId="6785EF8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5625480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1.0t/a</w:t>
            </w:r>
          </w:p>
        </w:tc>
        <w:tc>
          <w:tcPr>
            <w:tcW w:w="1273" w:type="dxa"/>
            <w:tcBorders>
              <w:right w:val="single" w:color="000000" w:sz="6" w:space="0"/>
            </w:tcBorders>
            <w:shd w:val="clear" w:color="auto" w:fill="auto"/>
            <w:vAlign w:val="center"/>
          </w:tcPr>
          <w:p w14:paraId="356E0D4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+1.0t/at/a</w:t>
            </w:r>
          </w:p>
        </w:tc>
      </w:tr>
      <w:tr w14:paraId="7D6D59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vAlign w:val="center"/>
          </w:tcPr>
          <w:p w14:paraId="76EBD1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61B957C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电炉残渣</w:t>
            </w:r>
          </w:p>
        </w:tc>
        <w:tc>
          <w:tcPr>
            <w:tcW w:w="1624" w:type="dxa"/>
            <w:shd w:val="clear" w:color="auto" w:fill="auto"/>
            <w:vAlign w:val="center"/>
          </w:tcPr>
          <w:p w14:paraId="715A3BB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lang w:val="en-US" w:eastAsia="zh-CN"/>
              </w:rPr>
              <w:t>t/a</w:t>
            </w:r>
          </w:p>
        </w:tc>
        <w:tc>
          <w:tcPr>
            <w:tcW w:w="1534" w:type="dxa"/>
            <w:vAlign w:val="center"/>
          </w:tcPr>
          <w:p w14:paraId="43C16C8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55BD218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2FBD412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9" w:type="dxa"/>
            <w:vAlign w:val="center"/>
          </w:tcPr>
          <w:p w14:paraId="19185A3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3736D11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lang w:val="en-US" w:eastAsia="zh-CN"/>
              </w:rPr>
              <w:t>t/a</w:t>
            </w:r>
          </w:p>
        </w:tc>
        <w:tc>
          <w:tcPr>
            <w:tcW w:w="1273" w:type="dxa"/>
            <w:tcBorders>
              <w:right w:val="single" w:color="000000" w:sz="6" w:space="0"/>
            </w:tcBorders>
            <w:shd w:val="clear" w:color="auto" w:fill="auto"/>
            <w:vAlign w:val="center"/>
          </w:tcPr>
          <w:p w14:paraId="49A62DD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14:paraId="056686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vAlign w:val="center"/>
          </w:tcPr>
          <w:p w14:paraId="775E02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70A62D7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废砂</w:t>
            </w:r>
          </w:p>
        </w:tc>
        <w:tc>
          <w:tcPr>
            <w:tcW w:w="1624" w:type="dxa"/>
            <w:shd w:val="clear" w:color="auto" w:fill="auto"/>
            <w:vAlign w:val="center"/>
          </w:tcPr>
          <w:p w14:paraId="7AB0436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198</w:t>
            </w:r>
            <w:r>
              <w:rPr>
                <w:rFonts w:hint="default" w:ascii="Times New Roman" w:hAnsi="Times New Roman" w:cs="Times New Roman"/>
                <w:color w:val="auto"/>
                <w:sz w:val="21"/>
                <w:szCs w:val="21"/>
                <w:lang w:val="en-US" w:eastAsia="zh-CN"/>
              </w:rPr>
              <w:t>t/a</w:t>
            </w:r>
          </w:p>
        </w:tc>
        <w:tc>
          <w:tcPr>
            <w:tcW w:w="1534" w:type="dxa"/>
            <w:vAlign w:val="center"/>
          </w:tcPr>
          <w:p w14:paraId="0E7B236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179BEDD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166894D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9" w:type="dxa"/>
            <w:vAlign w:val="center"/>
          </w:tcPr>
          <w:p w14:paraId="59CAE5F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17D6EC4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198</w:t>
            </w:r>
            <w:r>
              <w:rPr>
                <w:rFonts w:hint="default" w:ascii="Times New Roman" w:hAnsi="Times New Roman" w:cs="Times New Roman"/>
                <w:color w:val="auto"/>
                <w:sz w:val="21"/>
                <w:szCs w:val="21"/>
                <w:lang w:val="en-US" w:eastAsia="zh-CN"/>
              </w:rPr>
              <w:t>t/a</w:t>
            </w:r>
          </w:p>
        </w:tc>
        <w:tc>
          <w:tcPr>
            <w:tcW w:w="1273" w:type="dxa"/>
            <w:tcBorders>
              <w:right w:val="single" w:color="000000" w:sz="6" w:space="0"/>
            </w:tcBorders>
            <w:shd w:val="clear" w:color="auto" w:fill="auto"/>
            <w:vAlign w:val="center"/>
          </w:tcPr>
          <w:p w14:paraId="7B02929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14:paraId="319E40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vAlign w:val="center"/>
          </w:tcPr>
          <w:p w14:paraId="7A276F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223A5AB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抛丸碎屑</w:t>
            </w:r>
          </w:p>
        </w:tc>
        <w:tc>
          <w:tcPr>
            <w:tcW w:w="1624" w:type="dxa"/>
            <w:shd w:val="clear" w:color="auto" w:fill="auto"/>
            <w:vAlign w:val="center"/>
          </w:tcPr>
          <w:p w14:paraId="1B8FF51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lang w:val="en-US" w:eastAsia="zh-CN"/>
              </w:rPr>
              <w:t>t/a</w:t>
            </w:r>
          </w:p>
        </w:tc>
        <w:tc>
          <w:tcPr>
            <w:tcW w:w="1534" w:type="dxa"/>
            <w:vAlign w:val="center"/>
          </w:tcPr>
          <w:p w14:paraId="7BE78DF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582ED76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7F42368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9" w:type="dxa"/>
            <w:vAlign w:val="center"/>
          </w:tcPr>
          <w:p w14:paraId="65AC588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02863A6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lang w:val="en-US" w:eastAsia="zh-CN"/>
              </w:rPr>
              <w:t>t/a</w:t>
            </w:r>
          </w:p>
        </w:tc>
        <w:tc>
          <w:tcPr>
            <w:tcW w:w="1273" w:type="dxa"/>
            <w:tcBorders>
              <w:right w:val="single" w:color="000000" w:sz="6" w:space="0"/>
            </w:tcBorders>
            <w:shd w:val="clear" w:color="auto" w:fill="auto"/>
            <w:vAlign w:val="center"/>
          </w:tcPr>
          <w:p w14:paraId="13C477B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14:paraId="053DB1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vAlign w:val="center"/>
          </w:tcPr>
          <w:p w14:paraId="0BB889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702AA20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废钢丸</w:t>
            </w:r>
          </w:p>
        </w:tc>
        <w:tc>
          <w:tcPr>
            <w:tcW w:w="1624" w:type="dxa"/>
            <w:shd w:val="clear" w:color="auto" w:fill="auto"/>
            <w:vAlign w:val="center"/>
          </w:tcPr>
          <w:p w14:paraId="692FE05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t/a</w:t>
            </w:r>
          </w:p>
        </w:tc>
        <w:tc>
          <w:tcPr>
            <w:tcW w:w="1534" w:type="dxa"/>
            <w:vAlign w:val="center"/>
          </w:tcPr>
          <w:p w14:paraId="10B67D9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7F33AC4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012F942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9" w:type="dxa"/>
            <w:vAlign w:val="center"/>
          </w:tcPr>
          <w:p w14:paraId="5B9EE5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5398E0D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t/a</w:t>
            </w:r>
          </w:p>
        </w:tc>
        <w:tc>
          <w:tcPr>
            <w:tcW w:w="1273" w:type="dxa"/>
            <w:tcBorders>
              <w:right w:val="single" w:color="000000" w:sz="6" w:space="0"/>
            </w:tcBorders>
            <w:shd w:val="clear" w:color="auto" w:fill="auto"/>
            <w:vAlign w:val="center"/>
          </w:tcPr>
          <w:p w14:paraId="29099F7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14:paraId="662BCD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2" w:hRule="atLeast"/>
        </w:trPr>
        <w:tc>
          <w:tcPr>
            <w:tcW w:w="1592" w:type="dxa"/>
            <w:vMerge w:val="continue"/>
            <w:tcBorders>
              <w:left w:val="single" w:color="000000" w:sz="6" w:space="0"/>
            </w:tcBorders>
            <w:vAlign w:val="center"/>
          </w:tcPr>
          <w:p w14:paraId="012525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1822" w:type="dxa"/>
            <w:shd w:val="clear" w:color="auto" w:fill="auto"/>
            <w:vAlign w:val="center"/>
          </w:tcPr>
          <w:p w14:paraId="16B3D9E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残次品</w:t>
            </w:r>
          </w:p>
        </w:tc>
        <w:tc>
          <w:tcPr>
            <w:tcW w:w="1624" w:type="dxa"/>
            <w:shd w:val="clear" w:color="auto" w:fill="auto"/>
            <w:vAlign w:val="center"/>
          </w:tcPr>
          <w:p w14:paraId="1DEC7A2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400</w:t>
            </w:r>
            <w:r>
              <w:rPr>
                <w:rFonts w:hint="default" w:ascii="Times New Roman" w:hAnsi="Times New Roman" w:cs="Times New Roman"/>
                <w:color w:val="auto"/>
                <w:sz w:val="21"/>
                <w:szCs w:val="21"/>
                <w:lang w:val="en-US" w:eastAsia="zh-CN"/>
              </w:rPr>
              <w:t>t/a</w:t>
            </w:r>
          </w:p>
        </w:tc>
        <w:tc>
          <w:tcPr>
            <w:tcW w:w="1534" w:type="dxa"/>
            <w:vAlign w:val="center"/>
          </w:tcPr>
          <w:p w14:paraId="3DAABC7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6E92EC0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36F058E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9" w:type="dxa"/>
            <w:vAlign w:val="center"/>
          </w:tcPr>
          <w:p w14:paraId="6F4026E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5A041B0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400</w:t>
            </w:r>
            <w:r>
              <w:rPr>
                <w:rFonts w:hint="default" w:ascii="Times New Roman" w:hAnsi="Times New Roman" w:cs="Times New Roman"/>
                <w:color w:val="auto"/>
                <w:sz w:val="21"/>
                <w:szCs w:val="21"/>
                <w:lang w:val="en-US" w:eastAsia="zh-CN"/>
              </w:rPr>
              <w:t>t/a</w:t>
            </w:r>
          </w:p>
        </w:tc>
        <w:tc>
          <w:tcPr>
            <w:tcW w:w="1273" w:type="dxa"/>
            <w:tcBorders>
              <w:right w:val="single" w:color="000000" w:sz="6" w:space="0"/>
            </w:tcBorders>
            <w:shd w:val="clear" w:color="auto" w:fill="auto"/>
            <w:vAlign w:val="center"/>
          </w:tcPr>
          <w:p w14:paraId="1349DB6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14:paraId="0278DA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restart"/>
            <w:tcBorders>
              <w:left w:val="single" w:color="000000" w:sz="6" w:space="0"/>
            </w:tcBorders>
            <w:vAlign w:val="center"/>
          </w:tcPr>
          <w:p w14:paraId="664D6C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危险废物</w:t>
            </w:r>
          </w:p>
        </w:tc>
        <w:tc>
          <w:tcPr>
            <w:tcW w:w="1822" w:type="dxa"/>
            <w:shd w:val="clear" w:color="auto" w:fill="auto"/>
            <w:vAlign w:val="center"/>
          </w:tcPr>
          <w:p w14:paraId="4C47EBA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废活性炭</w:t>
            </w:r>
          </w:p>
        </w:tc>
        <w:tc>
          <w:tcPr>
            <w:tcW w:w="1624" w:type="dxa"/>
            <w:vAlign w:val="center"/>
          </w:tcPr>
          <w:p w14:paraId="1CC9FAC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534" w:type="dxa"/>
            <w:vAlign w:val="center"/>
          </w:tcPr>
          <w:p w14:paraId="76354FA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27" w:type="dxa"/>
            <w:vAlign w:val="center"/>
          </w:tcPr>
          <w:p w14:paraId="633D3F8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2007" w:type="dxa"/>
            <w:shd w:val="clear" w:color="auto" w:fill="auto"/>
            <w:vAlign w:val="center"/>
          </w:tcPr>
          <w:p w14:paraId="785C8FD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snapToGrid w:val="0"/>
                <w:color w:val="auto"/>
                <w:kern w:val="0"/>
                <w:sz w:val="21"/>
                <w:szCs w:val="21"/>
                <w:lang w:val="en-US" w:eastAsia="zh-CN" w:bidi="ar-SA"/>
              </w:rPr>
              <w:t>13.25</w:t>
            </w:r>
            <w:r>
              <w:rPr>
                <w:rFonts w:hint="eastAsia" w:ascii="Times New Roman" w:hAnsi="Times New Roman" w:cs="Times New Roman"/>
                <w:color w:val="auto"/>
                <w:sz w:val="21"/>
                <w:szCs w:val="21"/>
                <w:lang w:val="en-US" w:eastAsia="zh-CN"/>
              </w:rPr>
              <w:t>t/a</w:t>
            </w:r>
          </w:p>
        </w:tc>
        <w:tc>
          <w:tcPr>
            <w:tcW w:w="1979" w:type="dxa"/>
            <w:vAlign w:val="center"/>
          </w:tcPr>
          <w:p w14:paraId="6083B16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4434125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13.25</w:t>
            </w:r>
            <w:r>
              <w:rPr>
                <w:rFonts w:hint="eastAsia" w:ascii="Times New Roman" w:hAnsi="Times New Roman" w:cs="Times New Roman"/>
                <w:color w:val="auto"/>
                <w:sz w:val="21"/>
                <w:szCs w:val="21"/>
                <w:lang w:val="en-US" w:eastAsia="zh-CN"/>
              </w:rPr>
              <w:t>t/a</w:t>
            </w:r>
          </w:p>
        </w:tc>
        <w:tc>
          <w:tcPr>
            <w:tcW w:w="1273" w:type="dxa"/>
            <w:tcBorders>
              <w:right w:val="single" w:color="000000" w:sz="6" w:space="0"/>
            </w:tcBorders>
            <w:shd w:val="clear" w:color="auto" w:fill="auto"/>
            <w:vAlign w:val="center"/>
          </w:tcPr>
          <w:p w14:paraId="4230B0B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w:t>
            </w:r>
            <w:r>
              <w:rPr>
                <w:rFonts w:hint="eastAsia" w:ascii="Times New Roman" w:hAnsi="Times New Roman" w:cs="Times New Roman"/>
                <w:snapToGrid w:val="0"/>
                <w:color w:val="auto"/>
                <w:kern w:val="0"/>
                <w:sz w:val="21"/>
                <w:szCs w:val="21"/>
                <w:lang w:val="en-US" w:eastAsia="zh-CN" w:bidi="ar-SA"/>
              </w:rPr>
              <w:t>13.25</w:t>
            </w:r>
            <w:r>
              <w:rPr>
                <w:rFonts w:hint="eastAsia" w:ascii="Times New Roman" w:hAnsi="Times New Roman" w:cs="Times New Roman"/>
                <w:color w:val="auto"/>
                <w:sz w:val="21"/>
                <w:szCs w:val="21"/>
                <w:lang w:val="en-US" w:eastAsia="zh-CN"/>
              </w:rPr>
              <w:t>t/a</w:t>
            </w:r>
          </w:p>
        </w:tc>
      </w:tr>
      <w:tr w14:paraId="2CE219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tcPr>
          <w:p w14:paraId="3344FD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0" w:type="auto"/>
            <w:shd w:val="clear" w:color="auto" w:fill="auto"/>
            <w:vAlign w:val="center"/>
          </w:tcPr>
          <w:p w14:paraId="19C08B6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废机油</w:t>
            </w:r>
          </w:p>
        </w:tc>
        <w:tc>
          <w:tcPr>
            <w:tcW w:w="0" w:type="auto"/>
            <w:vAlign w:val="center"/>
          </w:tcPr>
          <w:p w14:paraId="5B973C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0" w:type="auto"/>
            <w:vAlign w:val="center"/>
          </w:tcPr>
          <w:p w14:paraId="70A83D1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0" w:type="auto"/>
            <w:vAlign w:val="center"/>
          </w:tcPr>
          <w:p w14:paraId="1A60F62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0" w:type="auto"/>
            <w:shd w:val="clear" w:color="auto" w:fill="auto"/>
            <w:vAlign w:val="center"/>
          </w:tcPr>
          <w:p w14:paraId="6E72E2A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0.1t/a</w:t>
            </w:r>
          </w:p>
        </w:tc>
        <w:tc>
          <w:tcPr>
            <w:tcW w:w="0" w:type="auto"/>
            <w:vAlign w:val="center"/>
          </w:tcPr>
          <w:p w14:paraId="0DB89A3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3ADE34B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0.1t/a</w:t>
            </w:r>
          </w:p>
        </w:tc>
        <w:tc>
          <w:tcPr>
            <w:tcW w:w="0" w:type="auto"/>
            <w:shd w:val="clear" w:color="auto" w:fill="auto"/>
            <w:vAlign w:val="center"/>
          </w:tcPr>
          <w:p w14:paraId="657572C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+0.1t/a</w:t>
            </w:r>
          </w:p>
        </w:tc>
      </w:tr>
      <w:tr w14:paraId="0AA44D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592" w:type="dxa"/>
            <w:vMerge w:val="continue"/>
            <w:tcBorders>
              <w:left w:val="single" w:color="000000" w:sz="6" w:space="0"/>
            </w:tcBorders>
          </w:tcPr>
          <w:p w14:paraId="333EA8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0" w:type="auto"/>
            <w:shd w:val="clear" w:color="auto" w:fill="auto"/>
            <w:vAlign w:val="center"/>
          </w:tcPr>
          <w:p w14:paraId="1F87B15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废机油桶</w:t>
            </w:r>
          </w:p>
        </w:tc>
        <w:tc>
          <w:tcPr>
            <w:tcW w:w="0" w:type="auto"/>
            <w:vAlign w:val="center"/>
          </w:tcPr>
          <w:p w14:paraId="1EB956F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0" w:type="auto"/>
            <w:vAlign w:val="center"/>
          </w:tcPr>
          <w:p w14:paraId="2B281F7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0" w:type="auto"/>
            <w:vAlign w:val="center"/>
          </w:tcPr>
          <w:p w14:paraId="21F4531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0" w:type="auto"/>
            <w:shd w:val="clear" w:color="auto" w:fill="auto"/>
            <w:vAlign w:val="center"/>
          </w:tcPr>
          <w:p w14:paraId="38D6E24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0.01t/a</w:t>
            </w:r>
          </w:p>
        </w:tc>
        <w:tc>
          <w:tcPr>
            <w:tcW w:w="0" w:type="auto"/>
            <w:vAlign w:val="center"/>
          </w:tcPr>
          <w:p w14:paraId="373AD7E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lang w:val="en-US" w:eastAsia="zh-CN"/>
              </w:rPr>
            </w:pPr>
          </w:p>
        </w:tc>
        <w:tc>
          <w:tcPr>
            <w:tcW w:w="1796" w:type="dxa"/>
            <w:shd w:val="clear" w:color="auto" w:fill="auto"/>
            <w:vAlign w:val="center"/>
          </w:tcPr>
          <w:p w14:paraId="2229DCF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0.01t/a</w:t>
            </w:r>
          </w:p>
        </w:tc>
        <w:tc>
          <w:tcPr>
            <w:tcW w:w="0" w:type="auto"/>
            <w:shd w:val="clear" w:color="auto" w:fill="auto"/>
            <w:vAlign w:val="center"/>
          </w:tcPr>
          <w:p w14:paraId="366819A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color w:val="auto"/>
                <w:sz w:val="21"/>
                <w:szCs w:val="21"/>
                <w:lang w:val="en-US" w:eastAsia="zh-CN"/>
              </w:rPr>
              <w:t>+0.01t/a</w:t>
            </w:r>
          </w:p>
        </w:tc>
      </w:tr>
    </w:tbl>
    <w:p w14:paraId="6258D6E7">
      <w:pPr>
        <w:spacing w:before="215" w:line="231" w:lineRule="auto"/>
        <w:ind w:left="122"/>
        <w:rPr>
          <w:rFonts w:hint="default" w:ascii="Times New Roman" w:hAnsi="Times New Roman" w:eastAsia="宋体" w:cs="Times New Roman"/>
          <w:color w:val="auto"/>
          <w:spacing w:val="-9"/>
          <w:sz w:val="18"/>
          <w:szCs w:val="18"/>
        </w:rPr>
      </w:pPr>
      <w:r>
        <w:rPr>
          <w:rFonts w:hint="default" w:ascii="Times New Roman" w:hAnsi="Times New Roman" w:eastAsia="宋体" w:cs="Times New Roman"/>
          <w:color w:val="auto"/>
          <w:spacing w:val="-9"/>
          <w:sz w:val="18"/>
          <w:szCs w:val="18"/>
        </w:rPr>
        <w:t>注：⑥</w:t>
      </w:r>
      <w:r>
        <w:rPr>
          <w:rFonts w:hint="default" w:ascii="Times New Roman" w:hAnsi="Times New Roman" w:eastAsia="Times New Roman" w:cs="Times New Roman"/>
          <w:color w:val="auto"/>
          <w:spacing w:val="-9"/>
          <w:sz w:val="18"/>
          <w:szCs w:val="18"/>
        </w:rPr>
        <w:t>=</w:t>
      </w:r>
      <w:r>
        <w:rPr>
          <w:rFonts w:hint="default" w:ascii="Times New Roman" w:hAnsi="Times New Roman" w:eastAsia="宋体" w:cs="Times New Roman"/>
          <w:color w:val="auto"/>
          <w:spacing w:val="-9"/>
          <w:sz w:val="18"/>
          <w:szCs w:val="18"/>
        </w:rPr>
        <w:t>①</w:t>
      </w:r>
      <w:r>
        <w:rPr>
          <w:rFonts w:hint="default" w:ascii="Times New Roman" w:hAnsi="Times New Roman" w:eastAsia="Times New Roman" w:cs="Times New Roman"/>
          <w:color w:val="auto"/>
          <w:spacing w:val="-9"/>
          <w:sz w:val="18"/>
          <w:szCs w:val="18"/>
        </w:rPr>
        <w:t>+</w:t>
      </w:r>
      <w:r>
        <w:rPr>
          <w:rFonts w:hint="default" w:ascii="Times New Roman" w:hAnsi="Times New Roman" w:eastAsia="宋体" w:cs="Times New Roman"/>
          <w:color w:val="auto"/>
          <w:spacing w:val="-9"/>
          <w:sz w:val="18"/>
          <w:szCs w:val="18"/>
        </w:rPr>
        <w:t>③</w:t>
      </w:r>
      <w:r>
        <w:rPr>
          <w:rFonts w:hint="default" w:ascii="Times New Roman" w:hAnsi="Times New Roman" w:eastAsia="Times New Roman" w:cs="Times New Roman"/>
          <w:color w:val="auto"/>
          <w:spacing w:val="-9"/>
          <w:sz w:val="18"/>
          <w:szCs w:val="18"/>
        </w:rPr>
        <w:t>+</w:t>
      </w:r>
      <w:r>
        <w:rPr>
          <w:rFonts w:hint="default" w:ascii="Times New Roman" w:hAnsi="Times New Roman" w:eastAsia="宋体" w:cs="Times New Roman"/>
          <w:color w:val="auto"/>
          <w:spacing w:val="-9"/>
          <w:sz w:val="18"/>
          <w:szCs w:val="18"/>
        </w:rPr>
        <w:t>④</w:t>
      </w:r>
      <w:r>
        <w:rPr>
          <w:rFonts w:hint="default" w:ascii="Times New Roman" w:hAnsi="Times New Roman" w:eastAsia="Times New Roman" w:cs="Times New Roman"/>
          <w:color w:val="auto"/>
          <w:spacing w:val="-9"/>
          <w:sz w:val="18"/>
          <w:szCs w:val="18"/>
        </w:rPr>
        <w:t>-</w:t>
      </w:r>
      <w:r>
        <w:rPr>
          <w:rFonts w:hint="default" w:ascii="Times New Roman" w:hAnsi="Times New Roman" w:eastAsia="宋体" w:cs="Times New Roman"/>
          <w:color w:val="auto"/>
          <w:spacing w:val="-9"/>
          <w:sz w:val="18"/>
          <w:szCs w:val="18"/>
        </w:rPr>
        <w:t>⑤</w:t>
      </w:r>
      <w:r>
        <w:rPr>
          <w:rFonts w:hint="default" w:ascii="Times New Roman" w:hAnsi="Times New Roman" w:cs="Times New Roman"/>
          <w:color w:val="auto"/>
          <w:spacing w:val="-9"/>
          <w:sz w:val="18"/>
          <w:szCs w:val="18"/>
          <w:lang w:eastAsia="zh-CN"/>
        </w:rPr>
        <w:t>；</w:t>
      </w:r>
      <w:r>
        <w:rPr>
          <w:rFonts w:hint="default" w:ascii="Times New Roman" w:hAnsi="Times New Roman" w:eastAsia="宋体" w:cs="Times New Roman"/>
          <w:color w:val="auto"/>
          <w:spacing w:val="-9"/>
          <w:sz w:val="18"/>
          <w:szCs w:val="18"/>
        </w:rPr>
        <w:t>⑦</w:t>
      </w:r>
      <w:r>
        <w:rPr>
          <w:rFonts w:hint="default" w:ascii="Times New Roman" w:hAnsi="Times New Roman" w:eastAsia="Times New Roman" w:cs="Times New Roman"/>
          <w:color w:val="auto"/>
          <w:spacing w:val="-9"/>
          <w:sz w:val="18"/>
          <w:szCs w:val="18"/>
        </w:rPr>
        <w:t>=</w:t>
      </w:r>
      <w:r>
        <w:rPr>
          <w:rFonts w:hint="default" w:ascii="Times New Roman" w:hAnsi="Times New Roman" w:eastAsia="宋体" w:cs="Times New Roman"/>
          <w:color w:val="auto"/>
          <w:spacing w:val="-9"/>
          <w:sz w:val="18"/>
          <w:szCs w:val="18"/>
        </w:rPr>
        <w:t>⑥</w:t>
      </w:r>
      <w:r>
        <w:rPr>
          <w:rFonts w:hint="default" w:ascii="Times New Roman" w:hAnsi="Times New Roman" w:eastAsia="Times New Roman" w:cs="Times New Roman"/>
          <w:color w:val="auto"/>
          <w:spacing w:val="-9"/>
          <w:sz w:val="18"/>
          <w:szCs w:val="18"/>
        </w:rPr>
        <w:t>-</w:t>
      </w:r>
      <w:r>
        <w:rPr>
          <w:rFonts w:hint="default" w:ascii="Times New Roman" w:hAnsi="Times New Roman" w:eastAsia="宋体" w:cs="Times New Roman"/>
          <w:color w:val="auto"/>
          <w:spacing w:val="-9"/>
          <w:sz w:val="18"/>
          <w:szCs w:val="18"/>
        </w:rPr>
        <w:t>①</w:t>
      </w:r>
    </w:p>
    <w:p w14:paraId="3497D246">
      <w:pPr>
        <w:spacing w:before="215" w:line="231" w:lineRule="auto"/>
        <w:ind w:left="122"/>
        <w:rPr>
          <w:rFonts w:hint="default" w:ascii="Times New Roman" w:hAnsi="Times New Roman" w:eastAsia="宋体" w:cs="Times New Roman"/>
          <w:color w:val="auto"/>
          <w:spacing w:val="-9"/>
          <w:sz w:val="18"/>
          <w:szCs w:val="18"/>
        </w:rPr>
      </w:pPr>
    </w:p>
    <w:p w14:paraId="6935469C">
      <w:pPr>
        <w:spacing w:before="215" w:line="231" w:lineRule="auto"/>
        <w:ind w:left="122"/>
        <w:rPr>
          <w:rFonts w:hint="default" w:ascii="Times New Roman" w:hAnsi="Times New Roman" w:eastAsia="宋体" w:cs="Times New Roman"/>
          <w:color w:val="auto"/>
          <w:spacing w:val="-9"/>
          <w:sz w:val="18"/>
          <w:szCs w:val="18"/>
        </w:rPr>
        <w:sectPr>
          <w:footerReference r:id="rId10" w:type="default"/>
          <w:pgSz w:w="16839" w:h="11905"/>
          <w:pgMar w:top="1440" w:right="1080" w:bottom="1440" w:left="1080" w:header="0" w:footer="1069" w:gutter="0"/>
          <w:pgBorders>
            <w:top w:val="none" w:sz="0" w:space="0"/>
            <w:left w:val="none" w:sz="0" w:space="0"/>
            <w:bottom w:val="none" w:sz="0" w:space="0"/>
            <w:right w:val="none" w:sz="0" w:space="0"/>
          </w:pgBorders>
          <w:pgNumType w:fmt="decimal"/>
          <w:cols w:space="720" w:num="1"/>
        </w:sectPr>
      </w:pPr>
    </w:p>
    <w:p w14:paraId="16ECCC7B">
      <w:pPr>
        <w:pStyle w:val="1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r>
        <w:rPr>
          <w:rFonts w:hint="default" w:ascii="Times New Roman" w:hAnsi="Times New Roman" w:cs="Times New Roman"/>
          <w:b/>
          <w:bCs/>
          <w:snapToGrid w:val="0"/>
          <w:color w:val="auto"/>
          <w:kern w:val="21"/>
          <w:lang w:val="en-US" w:eastAsia="zh-CN"/>
        </w:rPr>
        <w:t>附件1：委托书</w:t>
      </w:r>
    </w:p>
    <w:p w14:paraId="543B6486">
      <w:pPr>
        <w:bidi w:val="0"/>
        <w:rPr>
          <w:rFonts w:hint="default" w:ascii="Times New Roman" w:hAnsi="Times New Roman" w:cs="Times New Roman"/>
          <w:color w:val="auto"/>
          <w:lang w:val="en-US" w:eastAsia="zh-CN"/>
        </w:rPr>
      </w:pPr>
    </w:p>
    <w:p w14:paraId="14E5CB0B">
      <w:pPr>
        <w:bidi w:val="0"/>
        <w:rPr>
          <w:rFonts w:hint="default" w:ascii="Times New Roman" w:hAnsi="Times New Roman" w:cs="Times New Roman"/>
          <w:color w:val="auto"/>
          <w:lang w:val="en-US" w:eastAsia="zh-CN"/>
        </w:rPr>
      </w:pPr>
    </w:p>
    <w:p w14:paraId="230536FB">
      <w:pPr>
        <w:bidi w:val="0"/>
        <w:rPr>
          <w:rFonts w:hint="default" w:ascii="Times New Roman" w:hAnsi="Times New Roman" w:cs="Times New Roman"/>
          <w:color w:val="auto"/>
        </w:rPr>
      </w:pPr>
    </w:p>
    <w:p w14:paraId="246189B8">
      <w:pPr>
        <w:bidi w:val="0"/>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委  托  书</w:t>
      </w:r>
    </w:p>
    <w:p w14:paraId="4854548E">
      <w:pPr>
        <w:bidi w:val="0"/>
        <w:rPr>
          <w:rFonts w:hint="default" w:ascii="Times New Roman" w:hAnsi="Times New Roman" w:cs="Times New Roman"/>
          <w:b/>
          <w:bCs/>
          <w:color w:val="auto"/>
          <w:sz w:val="32"/>
          <w:szCs w:val="32"/>
        </w:rPr>
      </w:pPr>
    </w:p>
    <w:p w14:paraId="22FB1B8A">
      <w:pPr>
        <w:bidi w:val="0"/>
        <w:spacing w:line="480" w:lineRule="auto"/>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山东玄机技术服务有限公司：</w:t>
      </w:r>
    </w:p>
    <w:p w14:paraId="49B2EA4E">
      <w:pPr>
        <w:keepNext w:val="0"/>
        <w:keepLines w:val="0"/>
        <w:pageBreakBefore w:val="0"/>
        <w:widowControl/>
        <w:kinsoku/>
        <w:wordWrap/>
        <w:overflowPunct/>
        <w:topLinePunct w:val="0"/>
        <w:autoSpaceDE w:val="0"/>
        <w:autoSpaceDN w:val="0"/>
        <w:bidi w:val="0"/>
        <w:adjustRightInd w:val="0"/>
        <w:snapToGrid w:val="0"/>
        <w:spacing w:line="480" w:lineRule="auto"/>
        <w:ind w:firstLine="640" w:firstLineChars="200"/>
        <w:textAlignment w:val="baseline"/>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根据国家《建设项目环境保护管理条例》和当地环保部门的要求，</w:t>
      </w:r>
      <w:r>
        <w:rPr>
          <w:rFonts w:hint="eastAsia" w:ascii="Times New Roman" w:hAnsi="Times New Roman" w:cs="Times New Roman"/>
          <w:b w:val="0"/>
          <w:bCs w:val="0"/>
          <w:color w:val="auto"/>
          <w:sz w:val="32"/>
          <w:szCs w:val="32"/>
          <w:u w:val="single"/>
          <w:lang w:val="en-US" w:eastAsia="zh-CN"/>
        </w:rPr>
        <w:t>淄博淄阀工贸有限公司年产4000吨机械阀门及泵类配件技改项目</w:t>
      </w:r>
      <w:r>
        <w:rPr>
          <w:rFonts w:hint="default" w:ascii="Times New Roman" w:hAnsi="Times New Roman" w:cs="Times New Roman"/>
          <w:b w:val="0"/>
          <w:bCs w:val="0"/>
          <w:color w:val="auto"/>
          <w:sz w:val="32"/>
          <w:szCs w:val="32"/>
        </w:rPr>
        <w:t>需执行环境影响评价制度，今委托贵公司承担该项目环境影响报告表的编制</w:t>
      </w:r>
      <w:r>
        <w:rPr>
          <w:rFonts w:hint="default" w:ascii="Times New Roman" w:hAnsi="Times New Roman" w:cs="Times New Roman"/>
          <w:b w:val="0"/>
          <w:bCs w:val="0"/>
          <w:color w:val="auto"/>
          <w:sz w:val="32"/>
          <w:szCs w:val="32"/>
          <w:lang w:eastAsia="zh-CN"/>
        </w:rPr>
        <w:t>工作</w:t>
      </w:r>
      <w:r>
        <w:rPr>
          <w:rFonts w:hint="default" w:ascii="Times New Roman" w:hAnsi="Times New Roman" w:cs="Times New Roman"/>
          <w:b w:val="0"/>
          <w:bCs w:val="0"/>
          <w:color w:val="auto"/>
          <w:sz w:val="32"/>
          <w:szCs w:val="32"/>
        </w:rPr>
        <w:t>。</w:t>
      </w:r>
    </w:p>
    <w:p w14:paraId="46BFEF7E">
      <w:pPr>
        <w:bidi w:val="0"/>
        <w:spacing w:line="480" w:lineRule="auto"/>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 xml:space="preserve"> </w:t>
      </w:r>
    </w:p>
    <w:p w14:paraId="5B0B1D53">
      <w:pPr>
        <w:bidi w:val="0"/>
        <w:rPr>
          <w:rFonts w:hint="default" w:ascii="Times New Roman" w:hAnsi="Times New Roman" w:cs="Times New Roman"/>
          <w:color w:val="auto"/>
        </w:rPr>
      </w:pPr>
    </w:p>
    <w:p w14:paraId="7BC06D8B">
      <w:pPr>
        <w:bidi w:val="0"/>
        <w:rPr>
          <w:rFonts w:hint="default" w:ascii="Times New Roman" w:hAnsi="Times New Roman" w:cs="Times New Roman"/>
          <w:color w:val="auto"/>
        </w:rPr>
      </w:pPr>
    </w:p>
    <w:p w14:paraId="72C75871">
      <w:pPr>
        <w:bidi w:val="0"/>
        <w:rPr>
          <w:rFonts w:hint="default" w:ascii="Times New Roman" w:hAnsi="Times New Roman" w:cs="Times New Roman"/>
          <w:color w:val="auto"/>
        </w:rPr>
      </w:pPr>
    </w:p>
    <w:p w14:paraId="2BF778FA">
      <w:pPr>
        <w:bidi w:val="0"/>
        <w:rPr>
          <w:rFonts w:hint="default" w:ascii="Times New Roman" w:hAnsi="Times New Roman" w:cs="Times New Roman"/>
          <w:color w:val="auto"/>
        </w:rPr>
      </w:pPr>
    </w:p>
    <w:p w14:paraId="408B1D88">
      <w:pPr>
        <w:bidi w:val="0"/>
        <w:rPr>
          <w:rFonts w:hint="default" w:ascii="Times New Roman" w:hAnsi="Times New Roman" w:cs="Times New Roman"/>
          <w:color w:val="auto"/>
        </w:rPr>
      </w:pPr>
    </w:p>
    <w:p w14:paraId="442611D3">
      <w:pPr>
        <w:bidi w:val="0"/>
        <w:rPr>
          <w:rFonts w:hint="default" w:ascii="Times New Roman" w:hAnsi="Times New Roman" w:cs="Times New Roman"/>
          <w:b w:val="0"/>
          <w:bCs/>
          <w:color w:val="auto"/>
          <w:sz w:val="32"/>
          <w:szCs w:val="48"/>
          <w:highlight w:val="none"/>
        </w:rPr>
      </w:pP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 xml:space="preserve"> </w:t>
      </w:r>
      <w:r>
        <w:rPr>
          <w:rFonts w:hint="default" w:ascii="Times New Roman" w:hAnsi="Times New Roman" w:cs="Times New Roman"/>
          <w:color w:val="auto"/>
          <w:kern w:val="0"/>
          <w:szCs w:val="32"/>
          <w:highlight w:val="none"/>
        </w:rPr>
        <w:t xml:space="preserve">      </w:t>
      </w:r>
      <w:r>
        <w:rPr>
          <w:rFonts w:hint="default" w:ascii="Times New Roman" w:hAnsi="Times New Roman" w:cs="Times New Roman"/>
          <w:color w:val="auto"/>
          <w:kern w:val="0"/>
          <w:szCs w:val="32"/>
          <w:highlight w:val="none"/>
          <w:lang w:val="en-US" w:eastAsia="zh-CN"/>
        </w:rPr>
        <w:t xml:space="preserve">                               </w:t>
      </w:r>
      <w:r>
        <w:rPr>
          <w:rFonts w:hint="default" w:ascii="Times New Roman" w:hAnsi="Times New Roman" w:cs="Times New Roman"/>
          <w:b w:val="0"/>
          <w:bCs/>
          <w:color w:val="auto"/>
          <w:sz w:val="32"/>
          <w:szCs w:val="48"/>
          <w:highlight w:val="none"/>
        </w:rPr>
        <w:t>委托方：</w:t>
      </w:r>
      <w:r>
        <w:rPr>
          <w:rFonts w:hint="eastAsia" w:ascii="Times New Roman" w:hAnsi="Times New Roman" w:cs="Times New Roman"/>
          <w:b w:val="0"/>
          <w:bCs/>
          <w:color w:val="auto"/>
          <w:sz w:val="32"/>
          <w:szCs w:val="48"/>
          <w:highlight w:val="none"/>
          <w:lang w:val="en-US" w:eastAsia="zh-CN"/>
        </w:rPr>
        <w:t>淄博淄阀工贸有限公司</w:t>
      </w:r>
    </w:p>
    <w:p w14:paraId="10A78C5F">
      <w:pPr>
        <w:spacing w:line="800" w:lineRule="exact"/>
        <w:ind w:right="187" w:rightChars="78" w:firstLine="640" w:firstLineChars="200"/>
        <w:jc w:val="center"/>
        <w:rPr>
          <w:rFonts w:hint="default" w:ascii="Times New Roman" w:hAnsi="Times New Roman" w:cs="Times New Roman"/>
          <w:b w:val="0"/>
          <w:bCs/>
          <w:color w:val="auto"/>
          <w:sz w:val="32"/>
          <w:szCs w:val="32"/>
          <w:highlight w:val="none"/>
        </w:rPr>
      </w:pPr>
      <w:r>
        <w:rPr>
          <w:rFonts w:hint="default" w:ascii="Times New Roman" w:hAnsi="Times New Roman" w:cs="Times New Roman"/>
          <w:b w:val="0"/>
          <w:bCs/>
          <w:color w:val="auto"/>
          <w:sz w:val="32"/>
          <w:szCs w:val="32"/>
          <w:highlight w:val="none"/>
          <w:lang w:val="en-US" w:eastAsia="zh-CN"/>
        </w:rPr>
        <w:t xml:space="preserve">                                      </w:t>
      </w:r>
      <w:r>
        <w:rPr>
          <w:rFonts w:hint="default" w:ascii="Times New Roman" w:hAnsi="Times New Roman" w:cs="Times New Roman"/>
          <w:b w:val="0"/>
          <w:bCs/>
          <w:color w:val="auto"/>
          <w:sz w:val="32"/>
          <w:szCs w:val="32"/>
          <w:highlight w:val="none"/>
        </w:rPr>
        <w:t>委托时间：二0二</w:t>
      </w:r>
      <w:r>
        <w:rPr>
          <w:rFonts w:hint="default" w:ascii="Times New Roman" w:hAnsi="Times New Roman" w:cs="Times New Roman"/>
          <w:b w:val="0"/>
          <w:bCs/>
          <w:color w:val="auto"/>
          <w:sz w:val="32"/>
          <w:szCs w:val="32"/>
          <w:highlight w:val="none"/>
          <w:lang w:val="en-US" w:eastAsia="zh-CN"/>
        </w:rPr>
        <w:t>五</w:t>
      </w:r>
      <w:r>
        <w:rPr>
          <w:rFonts w:hint="default" w:ascii="Times New Roman" w:hAnsi="Times New Roman" w:cs="Times New Roman"/>
          <w:b w:val="0"/>
          <w:bCs/>
          <w:color w:val="auto"/>
          <w:sz w:val="32"/>
          <w:szCs w:val="32"/>
          <w:highlight w:val="none"/>
        </w:rPr>
        <w:t>年</w:t>
      </w:r>
      <w:r>
        <w:rPr>
          <w:rFonts w:hint="eastAsia" w:ascii="Times New Roman" w:hAnsi="Times New Roman" w:cs="Times New Roman"/>
          <w:b w:val="0"/>
          <w:bCs/>
          <w:color w:val="auto"/>
          <w:sz w:val="32"/>
          <w:szCs w:val="32"/>
          <w:highlight w:val="none"/>
          <w:lang w:val="en-US" w:eastAsia="zh-CN"/>
        </w:rPr>
        <w:t>六</w:t>
      </w:r>
      <w:r>
        <w:rPr>
          <w:rFonts w:hint="default" w:ascii="Times New Roman" w:hAnsi="Times New Roman" w:cs="Times New Roman"/>
          <w:b w:val="0"/>
          <w:bCs/>
          <w:color w:val="auto"/>
          <w:sz w:val="32"/>
          <w:szCs w:val="32"/>
          <w:highlight w:val="none"/>
        </w:rPr>
        <w:t>月</w:t>
      </w:r>
    </w:p>
    <w:p w14:paraId="4494F975">
      <w:pPr>
        <w:bidi w:val="0"/>
        <w:rPr>
          <w:rFonts w:hint="default" w:ascii="Times New Roman" w:hAnsi="Times New Roman" w:cs="Times New Roman"/>
          <w:color w:val="auto"/>
          <w:lang w:val="en-US" w:eastAsia="zh-CN"/>
        </w:rPr>
      </w:pPr>
    </w:p>
    <w:p w14:paraId="6AC54364">
      <w:pPr>
        <w:bidi w:val="0"/>
        <w:rPr>
          <w:rFonts w:hint="default" w:ascii="Times New Roman" w:hAnsi="Times New Roman" w:cs="Times New Roman"/>
          <w:color w:val="auto"/>
          <w:lang w:val="en-US" w:eastAsia="zh-CN"/>
        </w:rPr>
      </w:pPr>
    </w:p>
    <w:p w14:paraId="16CE9FB7">
      <w:pPr>
        <w:bidi w:val="0"/>
        <w:rPr>
          <w:rFonts w:hint="default" w:ascii="Times New Roman" w:hAnsi="Times New Roman" w:cs="Times New Roman"/>
          <w:color w:val="auto"/>
          <w:lang w:val="en-US" w:eastAsia="zh-CN"/>
        </w:rPr>
      </w:pPr>
    </w:p>
    <w:p w14:paraId="558584A0">
      <w:pPr>
        <w:bidi w:val="0"/>
        <w:rPr>
          <w:rFonts w:hint="default" w:ascii="Times New Roman" w:hAnsi="Times New Roman" w:cs="Times New Roman"/>
          <w:color w:val="auto"/>
          <w:lang w:val="en-US" w:eastAsia="zh-CN"/>
        </w:rPr>
      </w:pPr>
    </w:p>
    <w:p w14:paraId="373BD9DA">
      <w:pPr>
        <w:bidi w:val="0"/>
        <w:rPr>
          <w:rFonts w:hint="default" w:ascii="Times New Roman" w:hAnsi="Times New Roman" w:cs="Times New Roman"/>
          <w:color w:val="auto"/>
          <w:lang w:val="en-US" w:eastAsia="zh-CN"/>
        </w:rPr>
      </w:pPr>
    </w:p>
    <w:p w14:paraId="1040E44B">
      <w:pPr>
        <w:bidi w:val="0"/>
        <w:rPr>
          <w:rFonts w:hint="default" w:ascii="Times New Roman" w:hAnsi="Times New Roman" w:cs="Times New Roman"/>
          <w:color w:val="auto"/>
          <w:lang w:val="en-US" w:eastAsia="zh-CN"/>
        </w:rPr>
      </w:pPr>
    </w:p>
    <w:p w14:paraId="79B015AE">
      <w:pPr>
        <w:bidi w:val="0"/>
        <w:rPr>
          <w:rFonts w:hint="default" w:ascii="Times New Roman" w:hAnsi="Times New Roman" w:cs="Times New Roman"/>
          <w:color w:val="auto"/>
          <w:lang w:val="en-US" w:eastAsia="zh-CN"/>
        </w:rPr>
      </w:pPr>
    </w:p>
    <w:p w14:paraId="1C8D4121">
      <w:pPr>
        <w:pStyle w:val="23"/>
        <w:rPr>
          <w:rFonts w:hint="default" w:ascii="Times New Roman" w:hAnsi="Times New Roman" w:eastAsia="宋体" w:cs="Times New Roman"/>
          <w:b/>
          <w:color w:val="auto"/>
        </w:rPr>
      </w:pPr>
      <w:r>
        <w:rPr>
          <w:rFonts w:hint="default" w:ascii="Times New Roman" w:hAnsi="Times New Roman" w:eastAsia="宋体" w:cs="Times New Roman"/>
          <w:b/>
          <w:color w:val="auto"/>
        </w:rPr>
        <w:t>附件2：关于资料提供和环评内容的确认承诺函</w:t>
      </w:r>
    </w:p>
    <w:p w14:paraId="5229419D">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p>
    <w:p w14:paraId="0E56EC0F">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r>
        <w:rPr>
          <w:rFonts w:hint="default" w:ascii="Times New Roman" w:hAnsi="Times New Roman" w:cs="Times New Roman"/>
          <w:b/>
          <w:color w:val="auto"/>
          <w:kern w:val="0"/>
          <w:sz w:val="44"/>
          <w:szCs w:val="44"/>
          <w:highlight w:val="none"/>
        </w:rPr>
        <w:t>关于资料提供和环评内容的确认承诺函</w:t>
      </w:r>
    </w:p>
    <w:p w14:paraId="0B314C1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4"/>
          <w:szCs w:val="22"/>
          <w:lang w:val="en-US" w:eastAsia="zh-CN"/>
        </w:rPr>
      </w:pPr>
    </w:p>
    <w:p w14:paraId="26BE9C82">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8"/>
          <w:szCs w:val="24"/>
          <w:lang w:eastAsia="zh-CN"/>
        </w:rPr>
      </w:pPr>
      <w:r>
        <w:rPr>
          <w:rFonts w:hint="default" w:ascii="Times New Roman" w:hAnsi="Times New Roman" w:cs="Times New Roman"/>
          <w:color w:val="auto"/>
          <w:sz w:val="28"/>
        </w:rPr>
        <w:t>山东玄机技术服务有限公司</w:t>
      </w:r>
      <w:r>
        <w:rPr>
          <w:rFonts w:hint="default" w:ascii="Times New Roman" w:hAnsi="Times New Roman" w:cs="Times New Roman"/>
          <w:color w:val="auto"/>
          <w:sz w:val="28"/>
          <w:szCs w:val="24"/>
          <w:lang w:val="en-US" w:eastAsia="zh-CN"/>
        </w:rPr>
        <w:t>：</w:t>
      </w:r>
    </w:p>
    <w:p w14:paraId="62E3172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依据双方签订的《</w:t>
      </w:r>
      <w:r>
        <w:rPr>
          <w:rFonts w:hint="eastAsia" w:ascii="Times New Roman" w:hAnsi="Times New Roman" w:cs="Times New Roman"/>
          <w:color w:val="auto"/>
          <w:sz w:val="28"/>
          <w:szCs w:val="24"/>
          <w:lang w:eastAsia="zh-CN"/>
        </w:rPr>
        <w:t>淄博淄阀工贸有限公司年产4000吨机械阀门及泵类配件技改项目</w:t>
      </w:r>
      <w:r>
        <w:rPr>
          <w:rFonts w:hint="default" w:ascii="Times New Roman" w:hAnsi="Times New Roman" w:eastAsia="宋体" w:cs="Times New Roman"/>
          <w:color w:val="auto"/>
          <w:sz w:val="28"/>
          <w:szCs w:val="24"/>
          <w:lang w:eastAsia="zh-CN"/>
        </w:rPr>
        <w:t>环境</w:t>
      </w:r>
      <w:r>
        <w:rPr>
          <w:rFonts w:hint="default" w:ascii="Times New Roman" w:hAnsi="Times New Roman" w:cs="Times New Roman"/>
          <w:color w:val="auto"/>
          <w:sz w:val="28"/>
          <w:szCs w:val="24"/>
        </w:rPr>
        <w:t>影响评价技术服务合同书》约定</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我单位承诺提供给贵单位的材料均为真实、合法的。</w:t>
      </w:r>
    </w:p>
    <w:p w14:paraId="0A4C7D0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由贵单位编制的《</w:t>
      </w:r>
      <w:r>
        <w:rPr>
          <w:rFonts w:hint="eastAsia" w:ascii="Times New Roman" w:hAnsi="Times New Roman" w:cs="Times New Roman"/>
          <w:color w:val="auto"/>
          <w:sz w:val="28"/>
          <w:szCs w:val="24"/>
          <w:lang w:eastAsia="zh-CN"/>
        </w:rPr>
        <w:t>淄博淄阀工贸有限公司年产4000吨机械阀门及泵类配件技改项目</w:t>
      </w:r>
      <w:r>
        <w:rPr>
          <w:rFonts w:hint="default" w:ascii="Times New Roman" w:hAnsi="Times New Roman" w:cs="Times New Roman"/>
          <w:color w:val="auto"/>
          <w:sz w:val="28"/>
          <w:szCs w:val="24"/>
        </w:rPr>
        <w:t>环境影响报告表》已收悉，经对报告内容认真核对，我单位确认相关技术资料及支撑性文件均为我方提供</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环评内容符合本项目合同规定的要求，可以上报主管部门审查。由于我方提供资料的真实性、合法性引起的法律责任，由我方承担。</w:t>
      </w:r>
    </w:p>
    <w:p w14:paraId="25D0BA7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rPr>
        <w:t>特此承诺</w:t>
      </w:r>
      <w:r>
        <w:rPr>
          <w:rFonts w:hint="default" w:ascii="Times New Roman" w:hAnsi="Times New Roman" w:cs="Times New Roman"/>
          <w:color w:val="auto"/>
          <w:sz w:val="28"/>
          <w:szCs w:val="24"/>
          <w:lang w:eastAsia="zh-CN"/>
        </w:rPr>
        <w:t>！</w:t>
      </w:r>
    </w:p>
    <w:p w14:paraId="01E1040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8"/>
          <w:szCs w:val="24"/>
        </w:rPr>
      </w:pPr>
    </w:p>
    <w:p w14:paraId="12ABC71A">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3A577F58">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62C5EC12">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679F72FB">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412DEAE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color w:val="auto"/>
          <w:sz w:val="28"/>
          <w:szCs w:val="24"/>
          <w:lang w:val="en-US" w:eastAsia="zh-CN"/>
        </w:rPr>
      </w:pPr>
      <w:r>
        <w:rPr>
          <w:rFonts w:hint="default" w:ascii="Times New Roman" w:hAnsi="Times New Roman" w:cs="Times New Roman"/>
          <w:color w:val="auto"/>
          <w:sz w:val="28"/>
          <w:szCs w:val="24"/>
          <w:lang w:val="en-US" w:eastAsia="zh-CN"/>
        </w:rPr>
        <w:t xml:space="preserve">           </w:t>
      </w:r>
      <w:r>
        <w:rPr>
          <w:rFonts w:hint="default" w:ascii="Times New Roman" w:hAnsi="Times New Roman" w:cs="Times New Roman"/>
          <w:color w:val="auto"/>
          <w:sz w:val="28"/>
          <w:szCs w:val="24"/>
        </w:rPr>
        <w:t>建设单位</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公章</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lang w:val="en-US" w:eastAsia="zh-CN"/>
        </w:rPr>
        <w:t xml:space="preserve">         </w:t>
      </w:r>
    </w:p>
    <w:p w14:paraId="2E5D1B8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5D0178B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r>
        <w:rPr>
          <w:rFonts w:hint="default" w:ascii="Times New Roman" w:hAnsi="Times New Roman" w:cs="Times New Roman"/>
          <w:color w:val="auto"/>
          <w:sz w:val="28"/>
          <w:szCs w:val="24"/>
        </w:rPr>
        <w:t>202</w:t>
      </w:r>
      <w:r>
        <w:rPr>
          <w:rFonts w:hint="eastAsia" w:ascii="Times New Roman" w:hAnsi="Times New Roman" w:cs="Times New Roman"/>
          <w:color w:val="auto"/>
          <w:sz w:val="28"/>
          <w:szCs w:val="24"/>
          <w:lang w:val="en-US" w:eastAsia="zh-CN"/>
        </w:rPr>
        <w:t>5</w:t>
      </w:r>
      <w:r>
        <w:rPr>
          <w:rFonts w:hint="default" w:ascii="Times New Roman" w:hAnsi="Times New Roman" w:cs="Times New Roman"/>
          <w:color w:val="auto"/>
          <w:sz w:val="28"/>
          <w:szCs w:val="24"/>
        </w:rPr>
        <w:t>年</w:t>
      </w:r>
      <w:r>
        <w:rPr>
          <w:rFonts w:hint="eastAsia" w:ascii="Times New Roman" w:hAnsi="Times New Roman" w:cs="Times New Roman"/>
          <w:color w:val="auto"/>
          <w:sz w:val="28"/>
          <w:szCs w:val="24"/>
          <w:lang w:val="en-US" w:eastAsia="zh-CN"/>
        </w:rPr>
        <w:t>6</w:t>
      </w:r>
      <w:r>
        <w:rPr>
          <w:rFonts w:hint="default" w:ascii="Times New Roman" w:hAnsi="Times New Roman" w:cs="Times New Roman"/>
          <w:color w:val="auto"/>
          <w:sz w:val="28"/>
          <w:szCs w:val="24"/>
        </w:rPr>
        <w:t>月</w:t>
      </w:r>
    </w:p>
    <w:p w14:paraId="4239ACD3">
      <w:pPr>
        <w:pStyle w:val="23"/>
        <w:rPr>
          <w:rFonts w:hint="default" w:ascii="Times New Roman" w:hAnsi="Times New Roman" w:eastAsia="宋体" w:cs="Times New Roman"/>
          <w:b/>
          <w:color w:val="auto"/>
        </w:rPr>
      </w:pPr>
      <w:r>
        <w:rPr>
          <w:rFonts w:hint="default" w:ascii="Times New Roman" w:hAnsi="Times New Roman" w:eastAsia="宋体" w:cs="Times New Roman"/>
          <w:b/>
          <w:color w:val="auto"/>
        </w:rPr>
        <w:t>附件3：营业执照</w:t>
      </w:r>
    </w:p>
    <w:p w14:paraId="3AF5A220">
      <w:pPr>
        <w:spacing w:before="215" w:line="231" w:lineRule="auto"/>
        <w:rPr>
          <w:rFonts w:hint="default" w:ascii="Times New Roman" w:hAnsi="Times New Roman" w:eastAsia="宋体" w:cs="Times New Roman"/>
          <w:color w:val="auto"/>
          <w:spacing w:val="-9"/>
          <w:sz w:val="18"/>
          <w:szCs w:val="18"/>
          <w:lang w:eastAsia="zh-CN"/>
        </w:rPr>
      </w:pPr>
      <w:r>
        <w:rPr>
          <w:rFonts w:hint="default" w:ascii="Times New Roman" w:hAnsi="Times New Roman" w:cs="Times New Roman"/>
          <w:color w:val="auto"/>
          <w:lang w:val="en-US" w:eastAsia="zh-CN"/>
        </w:rPr>
        <w:drawing>
          <wp:inline distT="0" distB="0" distL="114300" distR="114300">
            <wp:extent cx="5479415" cy="7753350"/>
            <wp:effectExtent l="0" t="0" r="6985" b="0"/>
            <wp:docPr id="90" name="图片 90" descr="租赁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租赁合同_04"/>
                    <pic:cNvPicPr>
                      <a:picLocks noChangeAspect="1"/>
                    </pic:cNvPicPr>
                  </pic:nvPicPr>
                  <pic:blipFill>
                    <a:blip r:embed="rId39"/>
                    <a:stretch>
                      <a:fillRect/>
                    </a:stretch>
                  </pic:blipFill>
                  <pic:spPr>
                    <a:xfrm>
                      <a:off x="0" y="0"/>
                      <a:ext cx="5479415" cy="7753350"/>
                    </a:xfrm>
                    <a:prstGeom prst="rect">
                      <a:avLst/>
                    </a:prstGeom>
                  </pic:spPr>
                </pic:pic>
              </a:graphicData>
            </a:graphic>
          </wp:inline>
        </w:drawing>
      </w:r>
    </w:p>
    <w:p w14:paraId="72A0CB2F">
      <w:pPr>
        <w:spacing w:before="215" w:line="231" w:lineRule="auto"/>
        <w:ind w:left="122"/>
        <w:rPr>
          <w:rFonts w:hint="default" w:ascii="Times New Roman" w:hAnsi="Times New Roman" w:eastAsia="宋体" w:cs="Times New Roman"/>
          <w:color w:val="auto"/>
          <w:spacing w:val="-9"/>
          <w:sz w:val="18"/>
          <w:szCs w:val="18"/>
          <w:lang w:eastAsia="zh-CN"/>
        </w:rPr>
      </w:pPr>
    </w:p>
    <w:p w14:paraId="2AA8E4DB">
      <w:pPr>
        <w:pStyle w:val="23"/>
        <w:rPr>
          <w:rFonts w:hint="default" w:ascii="Times New Roman" w:hAnsi="Times New Roman" w:eastAsia="宋体" w:cs="Times New Roman"/>
          <w:b/>
          <w:color w:val="auto"/>
          <w:lang w:val="en-US" w:eastAsia="zh-CN"/>
        </w:rPr>
      </w:pPr>
    </w:p>
    <w:p w14:paraId="2ED6442B">
      <w:pPr>
        <w:pStyle w:val="23"/>
        <w:rPr>
          <w:rFonts w:hint="eastAsia" w:ascii="Times New Roman" w:hAnsi="Times New Roman" w:cs="Times New Roman"/>
          <w:b/>
          <w:color w:val="auto"/>
          <w:lang w:val="en-US" w:eastAsia="zh-CN"/>
        </w:rPr>
      </w:pPr>
      <w:r>
        <w:rPr>
          <w:rFonts w:hint="default" w:ascii="Times New Roman" w:hAnsi="Times New Roman" w:eastAsia="宋体" w:cs="Times New Roman"/>
          <w:b/>
          <w:color w:val="auto"/>
          <w:lang w:val="en-US" w:eastAsia="zh-CN"/>
        </w:rPr>
        <w:t>附件4：原有项目环评</w:t>
      </w:r>
      <w:r>
        <w:rPr>
          <w:rFonts w:hint="eastAsia" w:ascii="Times New Roman" w:hAnsi="Times New Roman" w:cs="Times New Roman"/>
          <w:b/>
          <w:color w:val="auto"/>
          <w:lang w:val="en-US" w:eastAsia="zh-CN"/>
        </w:rPr>
        <w:t>批复及验收意见</w:t>
      </w:r>
    </w:p>
    <w:p w14:paraId="0CB3D40E">
      <w:pPr>
        <w:pStyle w:val="5"/>
        <w:rPr>
          <w:rFonts w:hint="eastAsia"/>
          <w:color w:val="auto"/>
          <w:lang w:val="en-US" w:eastAsia="zh-CN"/>
        </w:rPr>
      </w:pPr>
      <w:r>
        <w:rPr>
          <w:color w:val="auto"/>
        </w:rPr>
        <w:drawing>
          <wp:inline distT="0" distB="0" distL="114300" distR="114300">
            <wp:extent cx="5259705" cy="7181850"/>
            <wp:effectExtent l="0" t="0" r="17145"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40"/>
                    <a:stretch>
                      <a:fillRect/>
                    </a:stretch>
                  </pic:blipFill>
                  <pic:spPr>
                    <a:xfrm>
                      <a:off x="0" y="0"/>
                      <a:ext cx="5259705" cy="7181850"/>
                    </a:xfrm>
                    <a:prstGeom prst="rect">
                      <a:avLst/>
                    </a:prstGeom>
                    <a:noFill/>
                    <a:ln>
                      <a:noFill/>
                    </a:ln>
                  </pic:spPr>
                </pic:pic>
              </a:graphicData>
            </a:graphic>
          </wp:inline>
        </w:drawing>
      </w:r>
    </w:p>
    <w:p w14:paraId="265B0C48">
      <w:pPr>
        <w:pStyle w:val="5"/>
        <w:rPr>
          <w:rFonts w:hint="eastAsia" w:eastAsia="宋体"/>
          <w:color w:val="auto"/>
          <w:lang w:val="en-US" w:eastAsia="zh-CN"/>
        </w:rPr>
      </w:pPr>
      <w:r>
        <w:rPr>
          <w:color w:val="auto"/>
        </w:rPr>
        <w:drawing>
          <wp:inline distT="0" distB="0" distL="114300" distR="114300">
            <wp:extent cx="5271770" cy="7195820"/>
            <wp:effectExtent l="0" t="0" r="5080" b="508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41"/>
                    <a:stretch>
                      <a:fillRect/>
                    </a:stretch>
                  </pic:blipFill>
                  <pic:spPr>
                    <a:xfrm>
                      <a:off x="0" y="0"/>
                      <a:ext cx="5271770" cy="7195820"/>
                    </a:xfrm>
                    <a:prstGeom prst="rect">
                      <a:avLst/>
                    </a:prstGeom>
                    <a:noFill/>
                    <a:ln>
                      <a:noFill/>
                    </a:ln>
                  </pic:spPr>
                </pic:pic>
              </a:graphicData>
            </a:graphic>
          </wp:inline>
        </w:drawing>
      </w:r>
      <w:r>
        <w:rPr>
          <w:color w:val="auto"/>
        </w:rPr>
        <w:drawing>
          <wp:inline distT="0" distB="0" distL="114300" distR="114300">
            <wp:extent cx="5257800" cy="7553325"/>
            <wp:effectExtent l="0" t="0" r="0" b="9525"/>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42"/>
                    <a:stretch>
                      <a:fillRect/>
                    </a:stretch>
                  </pic:blipFill>
                  <pic:spPr>
                    <a:xfrm>
                      <a:off x="0" y="0"/>
                      <a:ext cx="5257800" cy="7553325"/>
                    </a:xfrm>
                    <a:prstGeom prst="rect">
                      <a:avLst/>
                    </a:prstGeom>
                    <a:noFill/>
                    <a:ln>
                      <a:noFill/>
                    </a:ln>
                  </pic:spPr>
                </pic:pic>
              </a:graphicData>
            </a:graphic>
          </wp:inline>
        </w:drawing>
      </w:r>
      <w:r>
        <w:rPr>
          <w:rFonts w:hint="eastAsia" w:eastAsia="宋体"/>
          <w:color w:val="auto"/>
          <w:lang w:val="en-US" w:eastAsia="zh-CN"/>
        </w:rPr>
        <w:drawing>
          <wp:inline distT="0" distB="0" distL="114300" distR="114300">
            <wp:extent cx="5400040" cy="8393430"/>
            <wp:effectExtent l="0" t="0" r="10160" b="7620"/>
            <wp:docPr id="74" name="图片 74" descr="现有报告表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现有报告表_35"/>
                    <pic:cNvPicPr>
                      <a:picLocks noChangeAspect="1"/>
                    </pic:cNvPicPr>
                  </pic:nvPicPr>
                  <pic:blipFill>
                    <a:blip r:embed="rId43"/>
                    <a:srcRect l="8968"/>
                    <a:stretch>
                      <a:fillRect/>
                    </a:stretch>
                  </pic:blipFill>
                  <pic:spPr>
                    <a:xfrm>
                      <a:off x="0" y="0"/>
                      <a:ext cx="5400040" cy="8393430"/>
                    </a:xfrm>
                    <a:prstGeom prst="rect">
                      <a:avLst/>
                    </a:prstGeom>
                  </pic:spPr>
                </pic:pic>
              </a:graphicData>
            </a:graphic>
          </wp:inline>
        </w:drawing>
      </w:r>
    </w:p>
    <w:p w14:paraId="5D65B17D">
      <w:pPr>
        <w:pStyle w:val="5"/>
        <w:rPr>
          <w:rFonts w:hint="default" w:ascii="Times New Roman" w:hAnsi="Times New Roman" w:cs="Times New Roman"/>
          <w:color w:val="auto"/>
          <w:lang w:val="en-US" w:eastAsia="zh-CN"/>
        </w:rPr>
      </w:pPr>
    </w:p>
    <w:p w14:paraId="0F466596">
      <w:pPr>
        <w:pStyle w:val="5"/>
        <w:rPr>
          <w:rFonts w:hint="default" w:ascii="Times New Roman" w:hAnsi="Times New Roman" w:cs="Times New Roman"/>
          <w:color w:val="auto"/>
          <w:lang w:val="en-US" w:eastAsia="zh-CN"/>
        </w:rPr>
      </w:pPr>
    </w:p>
    <w:p w14:paraId="692D853E">
      <w:pPr>
        <w:pStyle w:val="23"/>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附件5：租赁合同</w:t>
      </w:r>
    </w:p>
    <w:p w14:paraId="0A602146">
      <w:pPr>
        <w:pStyle w:val="5"/>
        <w:rPr>
          <w:rFonts w:hint="default"/>
          <w:color w:val="auto"/>
          <w:lang w:val="en-US" w:eastAsia="zh-CN"/>
        </w:rPr>
      </w:pPr>
      <w:r>
        <w:rPr>
          <w:rFonts w:hint="default" w:ascii="Times New Roman" w:hAnsi="Times New Roman" w:cs="Times New Roman"/>
          <w:color w:val="auto"/>
          <w:lang w:val="en-US" w:eastAsia="zh-CN"/>
        </w:rPr>
        <w:drawing>
          <wp:inline distT="0" distB="0" distL="114300" distR="114300">
            <wp:extent cx="5267960" cy="7453630"/>
            <wp:effectExtent l="0" t="0" r="8890" b="13970"/>
            <wp:docPr id="88" name="图片 88" descr="土地变更申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土地变更申请_01"/>
                    <pic:cNvPicPr>
                      <a:picLocks noChangeAspect="1"/>
                    </pic:cNvPicPr>
                  </pic:nvPicPr>
                  <pic:blipFill>
                    <a:blip r:embed="rId44"/>
                    <a:stretch>
                      <a:fillRect/>
                    </a:stretch>
                  </pic:blipFill>
                  <pic:spPr>
                    <a:xfrm>
                      <a:off x="0" y="0"/>
                      <a:ext cx="5267960" cy="7453630"/>
                    </a:xfrm>
                    <a:prstGeom prst="rect">
                      <a:avLst/>
                    </a:prstGeom>
                  </pic:spPr>
                </pic:pic>
              </a:graphicData>
            </a:graphic>
          </wp:inline>
        </w:drawing>
      </w:r>
    </w:p>
    <w:p w14:paraId="6E8A322F">
      <w:pPr>
        <w:pStyle w:val="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267960" cy="7453630"/>
            <wp:effectExtent l="0" t="0" r="8890" b="13970"/>
            <wp:docPr id="87" name="图片 87" descr="土地变更申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土地变更申请_02"/>
                    <pic:cNvPicPr>
                      <a:picLocks noChangeAspect="1"/>
                    </pic:cNvPicPr>
                  </pic:nvPicPr>
                  <pic:blipFill>
                    <a:blip r:embed="rId45"/>
                    <a:stretch>
                      <a:fillRect/>
                    </a:stretch>
                  </pic:blipFill>
                  <pic:spPr>
                    <a:xfrm>
                      <a:off x="0" y="0"/>
                      <a:ext cx="5267960" cy="745363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267960" cy="7453630"/>
            <wp:effectExtent l="0" t="0" r="8890" b="13970"/>
            <wp:docPr id="86" name="图片 86" descr="土地变更申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土地变更申请_03"/>
                    <pic:cNvPicPr>
                      <a:picLocks noChangeAspect="1"/>
                    </pic:cNvPicPr>
                  </pic:nvPicPr>
                  <pic:blipFill>
                    <a:blip r:embed="rId46"/>
                    <a:stretch>
                      <a:fillRect/>
                    </a:stretch>
                  </pic:blipFill>
                  <pic:spPr>
                    <a:xfrm>
                      <a:off x="0" y="0"/>
                      <a:ext cx="5267960" cy="745363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267960" cy="7453630"/>
            <wp:effectExtent l="0" t="0" r="8890" b="13970"/>
            <wp:docPr id="85" name="图片 85" descr="土地变更申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土地变更申请_04"/>
                    <pic:cNvPicPr>
                      <a:picLocks noChangeAspect="1"/>
                    </pic:cNvPicPr>
                  </pic:nvPicPr>
                  <pic:blipFill>
                    <a:blip r:embed="rId47"/>
                    <a:stretch>
                      <a:fillRect/>
                    </a:stretch>
                  </pic:blipFill>
                  <pic:spPr>
                    <a:xfrm>
                      <a:off x="0" y="0"/>
                      <a:ext cx="5267960" cy="7453630"/>
                    </a:xfrm>
                    <a:prstGeom prst="rect">
                      <a:avLst/>
                    </a:prstGeom>
                  </pic:spPr>
                </pic:pic>
              </a:graphicData>
            </a:graphic>
          </wp:inline>
        </w:drawing>
      </w:r>
    </w:p>
    <w:p w14:paraId="18D1E330">
      <w:pPr>
        <w:pStyle w:val="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267960" cy="7453630"/>
            <wp:effectExtent l="0" t="0" r="8890" b="13970"/>
            <wp:docPr id="93" name="图片 93" descr="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租赁合同_01"/>
                    <pic:cNvPicPr>
                      <a:picLocks noChangeAspect="1"/>
                    </pic:cNvPicPr>
                  </pic:nvPicPr>
                  <pic:blipFill>
                    <a:blip r:embed="rId48"/>
                    <a:stretch>
                      <a:fillRect/>
                    </a:stretch>
                  </pic:blipFill>
                  <pic:spPr>
                    <a:xfrm>
                      <a:off x="0" y="0"/>
                      <a:ext cx="5267960" cy="745363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267960" cy="7453630"/>
            <wp:effectExtent l="0" t="0" r="8890" b="13970"/>
            <wp:docPr id="92" name="图片 92" descr="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租赁合同_02"/>
                    <pic:cNvPicPr>
                      <a:picLocks noChangeAspect="1"/>
                    </pic:cNvPicPr>
                  </pic:nvPicPr>
                  <pic:blipFill>
                    <a:blip r:embed="rId49"/>
                    <a:stretch>
                      <a:fillRect/>
                    </a:stretch>
                  </pic:blipFill>
                  <pic:spPr>
                    <a:xfrm>
                      <a:off x="0" y="0"/>
                      <a:ext cx="5267960" cy="745363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267960" cy="7453630"/>
            <wp:effectExtent l="0" t="0" r="8890" b="13970"/>
            <wp:docPr id="91" name="图片 91" descr="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租赁合同_03"/>
                    <pic:cNvPicPr>
                      <a:picLocks noChangeAspect="1"/>
                    </pic:cNvPicPr>
                  </pic:nvPicPr>
                  <pic:blipFill>
                    <a:blip r:embed="rId50"/>
                    <a:stretch>
                      <a:fillRect/>
                    </a:stretch>
                  </pic:blipFill>
                  <pic:spPr>
                    <a:xfrm>
                      <a:off x="0" y="0"/>
                      <a:ext cx="5267960" cy="7453630"/>
                    </a:xfrm>
                    <a:prstGeom prst="rect">
                      <a:avLst/>
                    </a:prstGeom>
                  </pic:spPr>
                </pic:pic>
              </a:graphicData>
            </a:graphic>
          </wp:inline>
        </w:drawing>
      </w:r>
    </w:p>
    <w:p w14:paraId="57BDAF54">
      <w:pPr>
        <w:pStyle w:val="5"/>
        <w:rPr>
          <w:rFonts w:hint="default" w:ascii="Times New Roman" w:hAnsi="Times New Roman" w:cs="Times New Roman"/>
          <w:color w:val="auto"/>
          <w:lang w:val="en-US" w:eastAsia="zh-CN"/>
        </w:rPr>
      </w:pPr>
    </w:p>
    <w:p w14:paraId="0716895B">
      <w:pPr>
        <w:pStyle w:val="5"/>
        <w:rPr>
          <w:rFonts w:hint="default" w:ascii="Times New Roman" w:hAnsi="Times New Roman" w:cs="Times New Roman"/>
          <w:color w:val="auto"/>
          <w:lang w:val="en-US" w:eastAsia="zh-CN"/>
        </w:rPr>
      </w:pPr>
    </w:p>
    <w:p w14:paraId="17379565">
      <w:pPr>
        <w:pStyle w:val="5"/>
        <w:rPr>
          <w:rFonts w:hint="default" w:ascii="Times New Roman" w:hAnsi="Times New Roman" w:cs="Times New Roman"/>
          <w:color w:val="auto"/>
          <w:lang w:val="en-US" w:eastAsia="zh-CN"/>
        </w:rPr>
      </w:pPr>
    </w:p>
    <w:p w14:paraId="309C29CA">
      <w:pPr>
        <w:pStyle w:val="23"/>
        <w:rPr>
          <w:rFonts w:hint="default" w:ascii="Times New Roman" w:hAnsi="Times New Roman" w:eastAsia="宋体" w:cs="Times New Roman"/>
          <w:b/>
          <w:color w:val="auto"/>
          <w:lang w:eastAsia="zh-CN"/>
        </w:rPr>
      </w:pPr>
    </w:p>
    <w:p w14:paraId="217F1870">
      <w:pPr>
        <w:pStyle w:val="23"/>
        <w:rPr>
          <w:rFonts w:hint="default" w:ascii="Times New Roman" w:hAnsi="Times New Roman" w:eastAsia="宋体" w:cs="Times New Roman"/>
          <w:b/>
          <w:color w:val="auto"/>
          <w:lang w:eastAsia="zh-CN"/>
        </w:rPr>
      </w:pPr>
    </w:p>
    <w:p w14:paraId="452BBC79">
      <w:pPr>
        <w:pStyle w:val="23"/>
        <w:rPr>
          <w:rFonts w:hint="default" w:ascii="Times New Roman" w:hAnsi="Times New Roman" w:eastAsia="宋体" w:cs="Times New Roman"/>
          <w:b/>
          <w:color w:val="auto"/>
          <w:lang w:eastAsia="zh-CN"/>
        </w:rPr>
      </w:pPr>
      <w:r>
        <w:rPr>
          <w:rFonts w:hint="default" w:ascii="Times New Roman" w:hAnsi="Times New Roman" w:eastAsia="宋体" w:cs="Times New Roman"/>
          <w:b/>
          <w:color w:val="auto"/>
          <w:lang w:eastAsia="zh-CN"/>
        </w:rPr>
        <w:t>附件</w:t>
      </w:r>
      <w:r>
        <w:rPr>
          <w:rFonts w:hint="default" w:ascii="Times New Roman" w:hAnsi="Times New Roman" w:cs="Times New Roman"/>
          <w:b/>
          <w:color w:val="auto"/>
          <w:lang w:val="en-US" w:eastAsia="zh-CN"/>
        </w:rPr>
        <w:t>6</w:t>
      </w:r>
      <w:r>
        <w:rPr>
          <w:rFonts w:hint="default" w:ascii="Times New Roman" w:hAnsi="Times New Roman" w:eastAsia="宋体" w:cs="Times New Roman"/>
          <w:b/>
          <w:color w:val="auto"/>
          <w:lang w:val="en-US" w:eastAsia="zh-CN"/>
        </w:rPr>
        <w:t>：信息公开承诺</w:t>
      </w:r>
    </w:p>
    <w:p w14:paraId="2A020A6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p>
    <w:p w14:paraId="73BA06C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环境影响评价信息公开承诺书</w:t>
      </w:r>
    </w:p>
    <w:p w14:paraId="4CE6F58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b w:val="0"/>
          <w:bCs w:val="0"/>
          <w:color w:val="auto"/>
          <w:sz w:val="24"/>
          <w:szCs w:val="24"/>
        </w:rPr>
      </w:pPr>
    </w:p>
    <w:p w14:paraId="2A03154F">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0" w:firstLineChars="0"/>
        <w:textAlignment w:val="auto"/>
        <w:rPr>
          <w:rFonts w:hint="default" w:ascii="Times New Roman" w:hAnsi="Times New Roman" w:eastAsia="宋体" w:cs="Times New Roman"/>
          <w:b w:val="0"/>
          <w:bCs w:val="0"/>
          <w:color w:val="auto"/>
          <w:sz w:val="28"/>
          <w:szCs w:val="28"/>
          <w:highlight w:val="none"/>
          <w:lang w:eastAsia="zh-CN"/>
        </w:rPr>
      </w:pPr>
      <w:r>
        <w:rPr>
          <w:rFonts w:hint="default" w:ascii="Times New Roman" w:hAnsi="Times New Roman" w:cs="Times New Roman"/>
          <w:b w:val="0"/>
          <w:bCs w:val="0"/>
          <w:color w:val="auto"/>
          <w:sz w:val="28"/>
          <w:szCs w:val="28"/>
          <w:highlight w:val="none"/>
          <w:lang w:eastAsia="zh-CN"/>
        </w:rPr>
        <w:t>淄博市生态环境局淄川分局：</w:t>
      </w:r>
    </w:p>
    <w:p w14:paraId="76E10913">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560" w:firstLineChars="200"/>
        <w:textAlignment w:val="auto"/>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我单位</w:t>
      </w:r>
      <w:r>
        <w:rPr>
          <w:rFonts w:hint="eastAsia" w:ascii="Times New Roman" w:hAnsi="Times New Roman" w:cs="Times New Roman"/>
          <w:b w:val="0"/>
          <w:bCs w:val="0"/>
          <w:color w:val="auto"/>
          <w:sz w:val="28"/>
          <w:szCs w:val="28"/>
          <w:u w:val="single"/>
          <w:lang w:val="en-US" w:eastAsia="zh-CN"/>
        </w:rPr>
        <w:t>淄博淄阀工贸有限公司年产4000吨机械阀门及泵类配件技改项目</w:t>
      </w:r>
      <w:r>
        <w:rPr>
          <w:rFonts w:hint="default" w:ascii="Times New Roman" w:hAnsi="Times New Roman" w:cs="Times New Roman"/>
          <w:b w:val="0"/>
          <w:bCs w:val="0"/>
          <w:color w:val="auto"/>
          <w:sz w:val="28"/>
          <w:szCs w:val="28"/>
        </w:rPr>
        <w:t>已达到受理条件，按照环保部《建设项目环境影响评价政府信息公开指南</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试行</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环办</w:t>
      </w:r>
      <w:r>
        <w:rPr>
          <w:rFonts w:hint="default" w:ascii="Times New Roman" w:hAnsi="Times New Roman" w:cs="Times New Roman"/>
          <w:b w:val="0"/>
          <w:bCs w:val="0"/>
          <w:color w:val="auto"/>
          <w:sz w:val="28"/>
          <w:szCs w:val="28"/>
          <w:lang w:val="en-US" w:eastAsia="zh-CN"/>
        </w:rPr>
        <w:t>[</w:t>
      </w:r>
      <w:r>
        <w:rPr>
          <w:rFonts w:hint="default" w:ascii="Times New Roman" w:hAnsi="Times New Roman" w:cs="Times New Roman"/>
          <w:b w:val="0"/>
          <w:bCs w:val="0"/>
          <w:color w:val="auto"/>
          <w:sz w:val="28"/>
          <w:szCs w:val="28"/>
        </w:rPr>
        <w:t>2013</w:t>
      </w:r>
      <w:r>
        <w:rPr>
          <w:rFonts w:hint="default" w:ascii="Times New Roman" w:hAnsi="Times New Roman" w:cs="Times New Roman"/>
          <w:b w:val="0"/>
          <w:bCs w:val="0"/>
          <w:color w:val="auto"/>
          <w:sz w:val="28"/>
          <w:szCs w:val="28"/>
          <w:lang w:val="en-US" w:eastAsia="zh-CN"/>
        </w:rPr>
        <w:t>]</w:t>
      </w:r>
      <w:r>
        <w:rPr>
          <w:rFonts w:hint="default" w:ascii="Times New Roman" w:hAnsi="Times New Roman" w:cs="Times New Roman"/>
          <w:b w:val="0"/>
          <w:bCs w:val="0"/>
          <w:color w:val="auto"/>
          <w:sz w:val="28"/>
          <w:szCs w:val="28"/>
        </w:rPr>
        <w:t xml:space="preserve"> 103号</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文件要求，为认真履行企业职责，自愿依法主动公开建设项目环境影响报告表全本信息</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同时附删除涉及国家秘密、商业秘密等内容及删除依据和理由说明报告</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，并依法承担因信息公开带来的后果。</w:t>
      </w:r>
    </w:p>
    <w:p w14:paraId="3086A98D">
      <w:pPr>
        <w:adjustRightInd w:val="0"/>
        <w:snapToGrid w:val="0"/>
        <w:spacing w:line="480" w:lineRule="auto"/>
        <w:ind w:firstLine="560" w:firstLineChars="200"/>
        <w:jc w:val="right"/>
        <w:rPr>
          <w:rFonts w:hint="default" w:ascii="Times New Roman" w:hAnsi="Times New Roman" w:cs="Times New Roman"/>
          <w:color w:val="auto"/>
          <w:sz w:val="28"/>
          <w:szCs w:val="28"/>
        </w:rPr>
      </w:pPr>
    </w:p>
    <w:p w14:paraId="49C4043D">
      <w:pPr>
        <w:adjustRightInd w:val="0"/>
        <w:snapToGrid w:val="0"/>
        <w:spacing w:line="480" w:lineRule="auto"/>
        <w:ind w:firstLine="560" w:firstLineChars="200"/>
        <w:jc w:val="right"/>
        <w:rPr>
          <w:rFonts w:hint="default" w:ascii="Times New Roman" w:hAnsi="Times New Roman" w:cs="Times New Roman"/>
          <w:color w:val="auto"/>
          <w:sz w:val="28"/>
          <w:szCs w:val="28"/>
        </w:rPr>
      </w:pPr>
      <w:r>
        <w:rPr>
          <w:rFonts w:hint="default" w:ascii="Times New Roman" w:hAnsi="Times New Roman" w:cs="Times New Roman"/>
          <w:color w:val="auto"/>
          <w:sz w:val="28"/>
          <w:szCs w:val="28"/>
        </w:rPr>
        <w:t>特此承诺！</w:t>
      </w:r>
    </w:p>
    <w:p w14:paraId="4FACBC95">
      <w:pPr>
        <w:bidi w:val="0"/>
        <w:jc w:val="right"/>
        <w:rPr>
          <w:rFonts w:hint="default" w:ascii="Times New Roman" w:hAnsi="Times New Roman" w:cs="Times New Roman"/>
          <w:color w:val="auto"/>
          <w:sz w:val="28"/>
          <w:szCs w:val="36"/>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r>
        <w:rPr>
          <w:rFonts w:hint="default" w:ascii="Times New Roman" w:hAnsi="Times New Roman" w:cs="Times New Roman"/>
          <w:color w:val="auto"/>
          <w:sz w:val="28"/>
          <w:szCs w:val="36"/>
        </w:rPr>
        <w:t>202</w:t>
      </w:r>
      <w:r>
        <w:rPr>
          <w:rFonts w:hint="eastAsia" w:ascii="Times New Roman" w:hAnsi="Times New Roman" w:cs="Times New Roman"/>
          <w:color w:val="auto"/>
          <w:sz w:val="28"/>
          <w:szCs w:val="36"/>
          <w:lang w:val="en-US" w:eastAsia="zh-CN"/>
        </w:rPr>
        <w:t>5</w:t>
      </w:r>
      <w:r>
        <w:rPr>
          <w:rFonts w:hint="default" w:ascii="Times New Roman" w:hAnsi="Times New Roman" w:cs="Times New Roman"/>
          <w:color w:val="auto"/>
          <w:sz w:val="28"/>
          <w:szCs w:val="36"/>
        </w:rPr>
        <w:t>年</w:t>
      </w:r>
      <w:r>
        <w:rPr>
          <w:rFonts w:hint="eastAsia" w:ascii="Times New Roman" w:hAnsi="Times New Roman" w:cs="Times New Roman"/>
          <w:color w:val="auto"/>
          <w:sz w:val="28"/>
          <w:szCs w:val="36"/>
          <w:lang w:val="en-US" w:eastAsia="zh-CN"/>
        </w:rPr>
        <w:t>7</w:t>
      </w:r>
      <w:r>
        <w:rPr>
          <w:rFonts w:hint="default" w:ascii="Times New Roman" w:hAnsi="Times New Roman" w:cs="Times New Roman"/>
          <w:color w:val="auto"/>
          <w:sz w:val="28"/>
          <w:szCs w:val="36"/>
        </w:rPr>
        <w:t>月</w:t>
      </w:r>
    </w:p>
    <w:p w14:paraId="7A214E72">
      <w:pPr>
        <w:spacing w:before="188" w:line="220" w:lineRule="auto"/>
        <w:ind w:left="49"/>
        <w:rPr>
          <w:rFonts w:hint="default" w:ascii="Times New Roman" w:hAnsi="Times New Roman" w:eastAsia="宋体" w:cs="Times New Roman"/>
          <w:b/>
          <w:snapToGrid w:val="0"/>
          <w:color w:val="auto"/>
          <w:kern w:val="0"/>
          <w:sz w:val="24"/>
          <w:szCs w:val="24"/>
          <w:lang w:val="en-US" w:eastAsia="zh-CN" w:bidi="ar-SA"/>
        </w:rPr>
      </w:pPr>
      <w:r>
        <w:rPr>
          <w:rFonts w:hint="default" w:ascii="Times New Roman" w:hAnsi="Times New Roman" w:eastAsia="宋体" w:cs="Times New Roman"/>
          <w:b/>
          <w:snapToGrid w:val="0"/>
          <w:color w:val="auto"/>
          <w:kern w:val="0"/>
          <w:sz w:val="24"/>
          <w:szCs w:val="24"/>
          <w:lang w:val="en-US" w:eastAsia="zh-CN" w:bidi="ar-SA"/>
        </w:rPr>
        <w:t xml:space="preserve">附件 7  </w:t>
      </w:r>
      <w:r>
        <w:rPr>
          <w:rFonts w:hint="eastAsia" w:ascii="Times New Roman" w:hAnsi="Times New Roman" w:cs="Times New Roman"/>
          <w:b/>
          <w:snapToGrid w:val="0"/>
          <w:color w:val="auto"/>
          <w:kern w:val="0"/>
          <w:sz w:val="24"/>
          <w:szCs w:val="24"/>
          <w:lang w:val="en-US" w:eastAsia="zh-CN" w:bidi="ar-SA"/>
        </w:rPr>
        <w:t>排污许可证</w:t>
      </w:r>
    </w:p>
    <w:p w14:paraId="0D3EBE20">
      <w:pPr>
        <w:pStyle w:val="14"/>
        <w:ind w:left="0" w:leftChars="0" w:firstLine="0" w:firstLineChars="0"/>
        <w:rPr>
          <w:rFonts w:hint="default"/>
          <w:color w:val="auto"/>
          <w:lang w:val="en-US" w:eastAsia="zh-CN"/>
        </w:rPr>
      </w:pPr>
      <w:r>
        <w:rPr>
          <w:color w:val="auto"/>
        </w:rPr>
        <w:drawing>
          <wp:inline distT="0" distB="0" distL="114300" distR="114300">
            <wp:extent cx="7253605" cy="5275580"/>
            <wp:effectExtent l="0" t="0" r="1270" b="4445"/>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51"/>
                    <a:stretch>
                      <a:fillRect/>
                    </a:stretch>
                  </pic:blipFill>
                  <pic:spPr>
                    <a:xfrm rot="16200000">
                      <a:off x="0" y="0"/>
                      <a:ext cx="7253605" cy="5275580"/>
                    </a:xfrm>
                    <a:prstGeom prst="rect">
                      <a:avLst/>
                    </a:prstGeom>
                    <a:noFill/>
                    <a:ln>
                      <a:noFill/>
                    </a:ln>
                  </pic:spPr>
                </pic:pic>
              </a:graphicData>
            </a:graphic>
          </wp:inline>
        </w:drawing>
      </w:r>
    </w:p>
    <w:p w14:paraId="3619DB3D">
      <w:pPr>
        <w:spacing w:before="188" w:line="220" w:lineRule="auto"/>
        <w:ind w:left="49"/>
        <w:rPr>
          <w:rFonts w:hint="default" w:ascii="Times New Roman" w:hAnsi="Times New Roman" w:eastAsia="宋体" w:cs="Times New Roman"/>
          <w:b/>
          <w:snapToGrid w:val="0"/>
          <w:color w:val="auto"/>
          <w:kern w:val="0"/>
          <w:sz w:val="24"/>
          <w:szCs w:val="24"/>
          <w:lang w:val="en-US" w:eastAsia="zh-CN" w:bidi="ar-SA"/>
        </w:rPr>
      </w:pPr>
    </w:p>
    <w:p w14:paraId="3B782D74">
      <w:pPr>
        <w:bidi w:val="0"/>
        <w:rPr>
          <w:rFonts w:hint="default" w:ascii="Times New Roman" w:hAnsi="Times New Roman" w:eastAsia="宋体" w:cs="Times New Roman"/>
          <w:snapToGrid w:val="0"/>
          <w:color w:val="auto"/>
          <w:kern w:val="0"/>
          <w:sz w:val="24"/>
          <w:szCs w:val="21"/>
          <w:lang w:val="en-US" w:eastAsia="zh-CN" w:bidi="ar-SA"/>
        </w:rPr>
      </w:pPr>
    </w:p>
    <w:p w14:paraId="59F49305">
      <w:pPr>
        <w:bidi w:val="0"/>
        <w:rPr>
          <w:rFonts w:hint="default" w:ascii="Times New Roman" w:hAnsi="Times New Roman" w:cs="Times New Roman"/>
          <w:color w:val="auto"/>
          <w:lang w:val="en-US" w:eastAsia="zh-CN"/>
        </w:rPr>
      </w:pPr>
    </w:p>
    <w:p w14:paraId="067F7E8D">
      <w:pPr>
        <w:bidi w:val="0"/>
        <w:rPr>
          <w:rFonts w:hint="default" w:ascii="Times New Roman" w:hAnsi="Times New Roman" w:cs="Times New Roman"/>
          <w:color w:val="auto"/>
          <w:lang w:val="en-US" w:eastAsia="zh-CN"/>
        </w:rPr>
      </w:pPr>
    </w:p>
    <w:p w14:paraId="5A82DC18">
      <w:pPr>
        <w:bidi w:val="0"/>
        <w:jc w:val="both"/>
        <w:rPr>
          <w:rFonts w:hint="default" w:ascii="Times New Roman" w:hAnsi="Times New Roman" w:cs="Times New Roman"/>
          <w:b/>
          <w:bCs/>
          <w:color w:val="auto"/>
          <w:sz w:val="28"/>
          <w:szCs w:val="36"/>
          <w:lang w:val="en-US" w:eastAsia="zh-CN"/>
        </w:rPr>
      </w:pPr>
      <w:r>
        <w:rPr>
          <w:rFonts w:hint="default" w:ascii="Times New Roman" w:hAnsi="Times New Roman" w:cs="Times New Roman"/>
          <w:b/>
          <w:bCs/>
          <w:color w:val="auto"/>
          <w:sz w:val="28"/>
          <w:szCs w:val="36"/>
          <w:lang w:val="en-US" w:eastAsia="zh-CN"/>
        </w:rPr>
        <w:t>附件8：项目备案证明</w:t>
      </w:r>
    </w:p>
    <w:p w14:paraId="32B5AA44">
      <w:pPr>
        <w:pStyle w:val="14"/>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273040" cy="7309485"/>
            <wp:effectExtent l="0" t="0" r="3810" b="5715"/>
            <wp:docPr id="94" name="图片 94" descr="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备案证明"/>
                    <pic:cNvPicPr>
                      <a:picLocks noChangeAspect="1"/>
                    </pic:cNvPicPr>
                  </pic:nvPicPr>
                  <pic:blipFill>
                    <a:blip r:embed="rId52"/>
                    <a:stretch>
                      <a:fillRect/>
                    </a:stretch>
                  </pic:blipFill>
                  <pic:spPr>
                    <a:xfrm>
                      <a:off x="0" y="0"/>
                      <a:ext cx="5273040" cy="7309485"/>
                    </a:xfrm>
                    <a:prstGeom prst="rect">
                      <a:avLst/>
                    </a:prstGeom>
                  </pic:spPr>
                </pic:pic>
              </a:graphicData>
            </a:graphic>
          </wp:inline>
        </w:drawing>
      </w:r>
    </w:p>
    <w:p w14:paraId="18EF8744">
      <w:pPr>
        <w:rPr>
          <w:rFonts w:hint="default"/>
          <w:color w:val="auto"/>
          <w:lang w:val="en-US" w:eastAsia="zh-CN"/>
        </w:rPr>
      </w:pPr>
    </w:p>
    <w:p w14:paraId="701488F0">
      <w:pPr>
        <w:pStyle w:val="14"/>
        <w:rPr>
          <w:rFonts w:hint="default"/>
          <w:color w:val="auto"/>
          <w:lang w:val="en-US" w:eastAsia="zh-CN"/>
        </w:rPr>
      </w:pPr>
    </w:p>
    <w:p w14:paraId="308C46A1">
      <w:pPr>
        <w:rPr>
          <w:rFonts w:hint="default"/>
          <w:color w:val="auto"/>
          <w:lang w:val="en-US" w:eastAsia="zh-CN"/>
        </w:rPr>
      </w:pPr>
    </w:p>
    <w:p w14:paraId="2E58744D">
      <w:pPr>
        <w:rPr>
          <w:rFonts w:hint="default" w:ascii="Times New Roman" w:hAnsi="Times New Roman" w:cs="Times New Roman"/>
          <w:b/>
          <w:bCs/>
          <w:color w:val="auto"/>
          <w:lang w:val="en-US" w:eastAsia="zh-CN"/>
        </w:rPr>
      </w:pPr>
    </w:p>
    <w:p w14:paraId="587BF7C2">
      <w:pPr>
        <w:rPr>
          <w:rFonts w:hint="eastAsia"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附件9：</w:t>
      </w:r>
      <w:r>
        <w:rPr>
          <w:rFonts w:hint="eastAsia" w:ascii="Times New Roman" w:hAnsi="Times New Roman" w:eastAsia="宋体" w:cs="Times New Roman"/>
          <w:b/>
          <w:bCs/>
          <w:color w:val="auto"/>
          <w:lang w:val="en-US" w:eastAsia="zh-CN"/>
        </w:rPr>
        <w:t>例行检测报告</w:t>
      </w:r>
    </w:p>
    <w:p w14:paraId="0C06B73A">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drawing>
          <wp:inline distT="0" distB="0" distL="114300" distR="114300">
            <wp:extent cx="5267960" cy="6848475"/>
            <wp:effectExtent l="0" t="0" r="8890" b="9525"/>
            <wp:docPr id="133" name="图片 133" descr="24年9月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24年9月监测报告_01"/>
                    <pic:cNvPicPr>
                      <a:picLocks noChangeAspect="1"/>
                    </pic:cNvPicPr>
                  </pic:nvPicPr>
                  <pic:blipFill>
                    <a:blip r:embed="rId53"/>
                    <a:srcRect b="8119"/>
                    <a:stretch>
                      <a:fillRect/>
                    </a:stretch>
                  </pic:blipFill>
                  <pic:spPr>
                    <a:xfrm>
                      <a:off x="0" y="0"/>
                      <a:ext cx="5267960" cy="6848475"/>
                    </a:xfrm>
                    <a:prstGeom prst="rect">
                      <a:avLst/>
                    </a:prstGeom>
                  </pic:spPr>
                </pic:pic>
              </a:graphicData>
            </a:graphic>
          </wp:inline>
        </w:drawing>
      </w:r>
    </w:p>
    <w:p w14:paraId="0FEB250F">
      <w:pP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drawing>
          <wp:inline distT="0" distB="0" distL="114300" distR="114300">
            <wp:extent cx="5267960" cy="7453630"/>
            <wp:effectExtent l="0" t="0" r="8890" b="13970"/>
            <wp:docPr id="132" name="图片 132" descr="24年9月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4年9月监测报告_02"/>
                    <pic:cNvPicPr>
                      <a:picLocks noChangeAspect="1"/>
                    </pic:cNvPicPr>
                  </pic:nvPicPr>
                  <pic:blipFill>
                    <a:blip r:embed="rId54"/>
                    <a:stretch>
                      <a:fillRect/>
                    </a:stretch>
                  </pic:blipFill>
                  <pic:spPr>
                    <a:xfrm>
                      <a:off x="0" y="0"/>
                      <a:ext cx="5267960" cy="7453630"/>
                    </a:xfrm>
                    <a:prstGeom prst="rect">
                      <a:avLst/>
                    </a:prstGeom>
                  </pic:spPr>
                </pic:pic>
              </a:graphicData>
            </a:graphic>
          </wp:inline>
        </w:drawing>
      </w:r>
      <w:r>
        <w:rPr>
          <w:rFonts w:hint="eastAsia" w:ascii="Times New Roman" w:hAnsi="Times New Roman" w:eastAsia="宋体" w:cs="Times New Roman"/>
          <w:b/>
          <w:bCs/>
          <w:color w:val="auto"/>
          <w:lang w:val="en-US" w:eastAsia="zh-CN"/>
        </w:rPr>
        <w:drawing>
          <wp:inline distT="0" distB="0" distL="114300" distR="114300">
            <wp:extent cx="5267960" cy="7453630"/>
            <wp:effectExtent l="0" t="0" r="8890" b="13970"/>
            <wp:docPr id="131" name="图片 131" descr="24年9月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4年9月监测报告_03"/>
                    <pic:cNvPicPr>
                      <a:picLocks noChangeAspect="1"/>
                    </pic:cNvPicPr>
                  </pic:nvPicPr>
                  <pic:blipFill>
                    <a:blip r:embed="rId55"/>
                    <a:stretch>
                      <a:fillRect/>
                    </a:stretch>
                  </pic:blipFill>
                  <pic:spPr>
                    <a:xfrm>
                      <a:off x="0" y="0"/>
                      <a:ext cx="5267960" cy="7453630"/>
                    </a:xfrm>
                    <a:prstGeom prst="rect">
                      <a:avLst/>
                    </a:prstGeom>
                  </pic:spPr>
                </pic:pic>
              </a:graphicData>
            </a:graphic>
          </wp:inline>
        </w:drawing>
      </w:r>
      <w:r>
        <w:rPr>
          <w:rFonts w:hint="eastAsia" w:ascii="Times New Roman" w:hAnsi="Times New Roman" w:eastAsia="宋体" w:cs="Times New Roman"/>
          <w:b/>
          <w:bCs/>
          <w:color w:val="auto"/>
          <w:lang w:val="en-US" w:eastAsia="zh-CN"/>
        </w:rPr>
        <w:drawing>
          <wp:inline distT="0" distB="0" distL="114300" distR="114300">
            <wp:extent cx="5267960" cy="7453630"/>
            <wp:effectExtent l="0" t="0" r="8890" b="13970"/>
            <wp:docPr id="130" name="图片 130" descr="24年9月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24年9月监测报告_04"/>
                    <pic:cNvPicPr>
                      <a:picLocks noChangeAspect="1"/>
                    </pic:cNvPicPr>
                  </pic:nvPicPr>
                  <pic:blipFill>
                    <a:blip r:embed="rId56"/>
                    <a:stretch>
                      <a:fillRect/>
                    </a:stretch>
                  </pic:blipFill>
                  <pic:spPr>
                    <a:xfrm>
                      <a:off x="0" y="0"/>
                      <a:ext cx="5267960" cy="7453630"/>
                    </a:xfrm>
                    <a:prstGeom prst="rect">
                      <a:avLst/>
                    </a:prstGeom>
                  </pic:spPr>
                </pic:pic>
              </a:graphicData>
            </a:graphic>
          </wp:inline>
        </w:drawing>
      </w:r>
      <w:r>
        <w:rPr>
          <w:rFonts w:hint="eastAsia" w:ascii="Times New Roman" w:hAnsi="Times New Roman" w:eastAsia="宋体" w:cs="Times New Roman"/>
          <w:b/>
          <w:bCs/>
          <w:color w:val="auto"/>
          <w:lang w:val="en-US" w:eastAsia="zh-CN"/>
        </w:rPr>
        <w:drawing>
          <wp:inline distT="0" distB="0" distL="114300" distR="114300">
            <wp:extent cx="5267960" cy="7453630"/>
            <wp:effectExtent l="0" t="0" r="8890" b="13970"/>
            <wp:docPr id="129" name="图片 129" descr="2024.3月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2024.3月监测报告_01"/>
                    <pic:cNvPicPr>
                      <a:picLocks noChangeAspect="1"/>
                    </pic:cNvPicPr>
                  </pic:nvPicPr>
                  <pic:blipFill>
                    <a:blip r:embed="rId57"/>
                    <a:stretch>
                      <a:fillRect/>
                    </a:stretch>
                  </pic:blipFill>
                  <pic:spPr>
                    <a:xfrm>
                      <a:off x="0" y="0"/>
                      <a:ext cx="5267960" cy="7453630"/>
                    </a:xfrm>
                    <a:prstGeom prst="rect">
                      <a:avLst/>
                    </a:prstGeom>
                  </pic:spPr>
                </pic:pic>
              </a:graphicData>
            </a:graphic>
          </wp:inline>
        </w:drawing>
      </w:r>
      <w:r>
        <w:rPr>
          <w:rFonts w:hint="eastAsia" w:ascii="Times New Roman" w:hAnsi="Times New Roman" w:eastAsia="宋体" w:cs="Times New Roman"/>
          <w:b/>
          <w:bCs/>
          <w:color w:val="auto"/>
          <w:lang w:val="en-US" w:eastAsia="zh-CN"/>
        </w:rPr>
        <w:drawing>
          <wp:inline distT="0" distB="0" distL="114300" distR="114300">
            <wp:extent cx="5267960" cy="7453630"/>
            <wp:effectExtent l="0" t="0" r="8890" b="13970"/>
            <wp:docPr id="128" name="图片 128" descr="2024.3月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2024.3月监测报告_02"/>
                    <pic:cNvPicPr>
                      <a:picLocks noChangeAspect="1"/>
                    </pic:cNvPicPr>
                  </pic:nvPicPr>
                  <pic:blipFill>
                    <a:blip r:embed="rId58"/>
                    <a:stretch>
                      <a:fillRect/>
                    </a:stretch>
                  </pic:blipFill>
                  <pic:spPr>
                    <a:xfrm>
                      <a:off x="0" y="0"/>
                      <a:ext cx="5267960" cy="7453630"/>
                    </a:xfrm>
                    <a:prstGeom prst="rect">
                      <a:avLst/>
                    </a:prstGeom>
                  </pic:spPr>
                </pic:pic>
              </a:graphicData>
            </a:graphic>
          </wp:inline>
        </w:drawing>
      </w:r>
      <w:r>
        <w:rPr>
          <w:rFonts w:hint="eastAsia" w:ascii="Times New Roman" w:hAnsi="Times New Roman" w:eastAsia="宋体" w:cs="Times New Roman"/>
          <w:b/>
          <w:bCs/>
          <w:color w:val="auto"/>
          <w:lang w:val="en-US" w:eastAsia="zh-CN"/>
        </w:rPr>
        <w:drawing>
          <wp:inline distT="0" distB="0" distL="114300" distR="114300">
            <wp:extent cx="5267960" cy="7453630"/>
            <wp:effectExtent l="0" t="0" r="8890" b="13970"/>
            <wp:docPr id="127" name="图片 127" descr="2024.3月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2024.3月监测报告_03"/>
                    <pic:cNvPicPr>
                      <a:picLocks noChangeAspect="1"/>
                    </pic:cNvPicPr>
                  </pic:nvPicPr>
                  <pic:blipFill>
                    <a:blip r:embed="rId59"/>
                    <a:stretch>
                      <a:fillRect/>
                    </a:stretch>
                  </pic:blipFill>
                  <pic:spPr>
                    <a:xfrm>
                      <a:off x="0" y="0"/>
                      <a:ext cx="5267960" cy="7453630"/>
                    </a:xfrm>
                    <a:prstGeom prst="rect">
                      <a:avLst/>
                    </a:prstGeom>
                  </pic:spPr>
                </pic:pic>
              </a:graphicData>
            </a:graphic>
          </wp:inline>
        </w:drawing>
      </w:r>
      <w:r>
        <w:rPr>
          <w:rFonts w:hint="eastAsia" w:ascii="Times New Roman" w:hAnsi="Times New Roman" w:eastAsia="宋体" w:cs="Times New Roman"/>
          <w:b/>
          <w:bCs/>
          <w:color w:val="auto"/>
          <w:lang w:val="en-US" w:eastAsia="zh-CN"/>
        </w:rPr>
        <w:drawing>
          <wp:inline distT="0" distB="0" distL="114300" distR="114300">
            <wp:extent cx="5267960" cy="7453630"/>
            <wp:effectExtent l="0" t="0" r="8890" b="13970"/>
            <wp:docPr id="126" name="图片 126" descr="2024.3月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2024.3月监测报告_04"/>
                    <pic:cNvPicPr>
                      <a:picLocks noChangeAspect="1"/>
                    </pic:cNvPicPr>
                  </pic:nvPicPr>
                  <pic:blipFill>
                    <a:blip r:embed="rId60"/>
                    <a:stretch>
                      <a:fillRect/>
                    </a:stretch>
                  </pic:blipFill>
                  <pic:spPr>
                    <a:xfrm>
                      <a:off x="0" y="0"/>
                      <a:ext cx="5267960" cy="7453630"/>
                    </a:xfrm>
                    <a:prstGeom prst="rect">
                      <a:avLst/>
                    </a:prstGeom>
                  </pic:spPr>
                </pic:pic>
              </a:graphicData>
            </a:graphic>
          </wp:inline>
        </w:drawing>
      </w:r>
    </w:p>
    <w:p w14:paraId="3AE4FD5C">
      <w:pPr>
        <w:rPr>
          <w:rFonts w:hint="eastAsia" w:ascii="Times New Roman" w:hAnsi="Times New Roman" w:eastAsia="宋体" w:cs="Times New Roman"/>
          <w:b/>
          <w:bCs/>
          <w:color w:val="auto"/>
          <w:lang w:val="en-US" w:eastAsia="zh-CN"/>
        </w:rPr>
      </w:pPr>
    </w:p>
    <w:p w14:paraId="1741981D">
      <w:pPr>
        <w:pStyle w:val="14"/>
        <w:ind w:left="0" w:leftChars="0" w:firstLine="0" w:firstLineChars="0"/>
        <w:rPr>
          <w:rFonts w:hint="eastAsia"/>
          <w:color w:val="auto"/>
          <w:lang w:val="en-US" w:eastAsia="zh-CN"/>
        </w:rPr>
      </w:pPr>
    </w:p>
    <w:p w14:paraId="16DF09FF">
      <w:pPr>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44D9F023">
      <w:pPr>
        <w:pStyle w:val="23"/>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附图1：项目地理位置图</w:t>
      </w:r>
    </w:p>
    <w:p w14:paraId="003FA6EE">
      <w:pPr>
        <w:pStyle w:val="5"/>
        <w:rPr>
          <w:rFonts w:hint="default" w:ascii="Times New Roman" w:hAnsi="Times New Roman" w:cs="Times New Roman"/>
          <w:color w:val="auto"/>
          <w:lang w:val="en-US" w:eastAsia="zh-CN"/>
        </w:rPr>
        <w:sectPr>
          <w:pgSz w:w="16839" w:h="11905" w:orient="landscape"/>
          <w:pgMar w:top="1080" w:right="1440" w:bottom="1080" w:left="1440" w:header="0" w:footer="1069" w:gutter="0"/>
          <w:pgBorders>
            <w:top w:val="none" w:sz="0" w:space="0"/>
            <w:left w:val="none" w:sz="0" w:space="0"/>
            <w:bottom w:val="none" w:sz="0" w:space="0"/>
            <w:right w:val="none" w:sz="0" w:space="0"/>
          </w:pgBorders>
          <w:pgNumType w:fmt="decimal"/>
          <w:cols w:space="720" w:num="1"/>
        </w:sectPr>
      </w:pPr>
      <w:r>
        <w:rPr>
          <w:rFonts w:hint="eastAsia" w:ascii="黑体" w:hAnsi="黑体" w:eastAsia="黑体" w:cs="黑体"/>
          <w:b/>
          <w:bCs w:val="0"/>
          <w:color w:val="auto"/>
          <w:spacing w:val="0"/>
          <w:kern w:val="2"/>
          <w:position w:val="0"/>
          <w:sz w:val="24"/>
          <w:szCs w:val="24"/>
          <w:lang w:val="en-US" w:eastAsia="zh-CN" w:bidi="ar-SA"/>
        </w:rPr>
        <w:drawing>
          <wp:anchor distT="0" distB="0" distL="114300" distR="114300" simplePos="0" relativeHeight="251672576" behindDoc="0" locked="0" layoutInCell="1" allowOverlap="1">
            <wp:simplePos x="0" y="0"/>
            <wp:positionH relativeFrom="column">
              <wp:posOffset>7969885</wp:posOffset>
            </wp:positionH>
            <wp:positionV relativeFrom="paragraph">
              <wp:posOffset>11430</wp:posOffset>
            </wp:positionV>
            <wp:extent cx="883920" cy="1000125"/>
            <wp:effectExtent l="0" t="0" r="11430" b="9525"/>
            <wp:wrapNone/>
            <wp:docPr id="3" name="图片 9" descr="C:\Documents and Settings\Administrator\桌面\淄川风玫瑰图.png淄川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descr="C:\Documents and Settings\Administrator\桌面\淄川风玫瑰图.png淄川风玫瑰图"/>
                    <pic:cNvPicPr>
                      <a:picLocks noChangeAspect="1"/>
                    </pic:cNvPicPr>
                  </pic:nvPicPr>
                  <pic:blipFill>
                    <a:blip r:embed="rId61"/>
                    <a:stretch>
                      <a:fillRect/>
                    </a:stretch>
                  </pic:blipFill>
                  <pic:spPr>
                    <a:xfrm>
                      <a:off x="0" y="0"/>
                      <a:ext cx="883920" cy="1000125"/>
                    </a:xfrm>
                    <a:prstGeom prst="rect">
                      <a:avLst/>
                    </a:prstGeom>
                    <a:noFill/>
                    <a:ln>
                      <a:noFill/>
                    </a:ln>
                  </pic:spPr>
                </pic:pic>
              </a:graphicData>
            </a:graphic>
          </wp:anchor>
        </w:drawing>
      </w:r>
      <w:r>
        <w:rPr>
          <w:rFonts w:hint="default" w:ascii="Times New Roman" w:hAnsi="Times New Roman" w:cs="Times New Roman"/>
          <w:color w:val="auto"/>
          <w:sz w:val="21"/>
        </w:rPr>
        <mc:AlternateContent>
          <mc:Choice Requires="wps">
            <w:drawing>
              <wp:anchor distT="0" distB="0" distL="114300" distR="114300" simplePos="0" relativeHeight="251661312" behindDoc="0" locked="0" layoutInCell="1" allowOverlap="1">
                <wp:simplePos x="0" y="0"/>
                <wp:positionH relativeFrom="column">
                  <wp:posOffset>3714115</wp:posOffset>
                </wp:positionH>
                <wp:positionV relativeFrom="paragraph">
                  <wp:posOffset>3046095</wp:posOffset>
                </wp:positionV>
                <wp:extent cx="914400" cy="346075"/>
                <wp:effectExtent l="12700" t="362585" r="101600" b="15240"/>
                <wp:wrapNone/>
                <wp:docPr id="40" name="圆角矩形标注 40"/>
                <wp:cNvGraphicFramePr/>
                <a:graphic xmlns:a="http://schemas.openxmlformats.org/drawingml/2006/main">
                  <a:graphicData uri="http://schemas.microsoft.com/office/word/2010/wordprocessingShape">
                    <wps:wsp>
                      <wps:cNvSpPr/>
                      <wps:spPr>
                        <a:xfrm>
                          <a:off x="3641725" y="4265295"/>
                          <a:ext cx="914400" cy="346075"/>
                        </a:xfrm>
                        <a:prstGeom prst="wedgeRoundRectCallout">
                          <a:avLst>
                            <a:gd name="adj1" fmla="val 58680"/>
                            <a:gd name="adj2" fmla="val -151134"/>
                            <a:gd name="adj3" fmla="val 16667"/>
                          </a:avLst>
                        </a:prstGeom>
                        <a:solidFill>
                          <a:srgbClr val="FFC000"/>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CDD9A57">
                            <w:pPr>
                              <w:jc w:val="center"/>
                              <w:rPr>
                                <w:rFonts w:hint="eastAsia" w:eastAsia="宋体"/>
                                <w:lang w:val="en-US" w:eastAsia="zh-CN"/>
                              </w:rPr>
                            </w:pPr>
                            <w:r>
                              <w:rPr>
                                <w:rFonts w:hint="eastAsia"/>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92.45pt;margin-top:239.85pt;height:27.25pt;width:72pt;z-index:251661312;v-text-anchor:middle;mso-width-relative:page;mso-height-relative:page;" fillcolor="#FFC000" filled="t" stroked="t" coordsize="21600,21600" o:gfxdata="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MEyb2tgA&#10;AAALAQAADwAAAAAAAAABACAAAAAiAAAAZHJzL2Rvd25yZXYueG1sUEsBAhQAFAAAAAgAh07iQA5l&#10;bIDKAgAAiQUAAA4AAAAAAAAAAQAgAAAAJwEAAGRycy9lMm9Eb2MueG1sUEsFBgAAAAAGAAYAWQEA&#10;AGMGAAAAAA==&#10;" adj="23475,-21845,14400">
                <v:fill on="t" focussize="0,0"/>
                <v:stroke weight="2pt" color="#FFFFFF [3212]" joinstyle="round"/>
                <v:imagedata o:title=""/>
                <o:lock v:ext="edit" aspectratio="f"/>
                <v:textbox>
                  <w:txbxContent>
                    <w:p w14:paraId="1CDD9A57">
                      <w:pPr>
                        <w:jc w:val="center"/>
                        <w:rPr>
                          <w:rFonts w:hint="eastAsia" w:eastAsia="宋体"/>
                          <w:lang w:val="en-US" w:eastAsia="zh-CN"/>
                        </w:rPr>
                      </w:pPr>
                      <w:r>
                        <w:rPr>
                          <w:rFonts w:hint="eastAsia"/>
                          <w:lang w:val="en-US" w:eastAsia="zh-CN"/>
                        </w:rPr>
                        <w:t>项目地</w:t>
                      </w:r>
                    </w:p>
                  </w:txbxContent>
                </v:textbox>
              </v:shape>
            </w:pict>
          </mc:Fallback>
        </mc:AlternateContent>
      </w:r>
      <w:r>
        <w:rPr>
          <w:color w:val="auto"/>
        </w:rPr>
        <w:drawing>
          <wp:inline distT="0" distB="0" distL="114300" distR="114300">
            <wp:extent cx="8858250" cy="5572125"/>
            <wp:effectExtent l="0" t="0" r="0" b="9525"/>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62"/>
                    <a:stretch>
                      <a:fillRect/>
                    </a:stretch>
                  </pic:blipFill>
                  <pic:spPr>
                    <a:xfrm>
                      <a:off x="0" y="0"/>
                      <a:ext cx="8858250" cy="5572125"/>
                    </a:xfrm>
                    <a:prstGeom prst="rect">
                      <a:avLst/>
                    </a:prstGeom>
                    <a:noFill/>
                    <a:ln>
                      <a:noFill/>
                    </a:ln>
                  </pic:spPr>
                </pic:pic>
              </a:graphicData>
            </a:graphic>
          </wp:inline>
        </w:drawing>
      </w:r>
    </w:p>
    <w:p w14:paraId="1A704E95">
      <w:pPr>
        <w:pStyle w:val="23"/>
        <w:rPr>
          <w:rFonts w:hint="default" w:ascii="Times New Roman" w:hAnsi="Times New Roman" w:eastAsia="宋体" w:cs="Times New Roman"/>
          <w:b/>
          <w:color w:val="auto"/>
          <w:lang w:val="en-US" w:eastAsia="en-US"/>
        </w:rPr>
      </w:pPr>
      <w:r>
        <w:rPr>
          <w:rFonts w:hint="default" w:ascii="Times New Roman" w:hAnsi="Times New Roman" w:eastAsia="宋体" w:cs="Times New Roman"/>
          <w:b/>
          <w:color w:val="auto"/>
          <w:lang w:val="en-US" w:eastAsia="zh-CN"/>
        </w:rPr>
        <w:t>附图2：项目</w:t>
      </w:r>
      <w:r>
        <w:rPr>
          <w:rFonts w:hint="default" w:ascii="Times New Roman" w:hAnsi="Times New Roman" w:eastAsia="宋体" w:cs="Times New Roman"/>
          <w:b/>
          <w:color w:val="auto"/>
          <w:lang w:val="en-US" w:eastAsia="en-US"/>
        </w:rPr>
        <w:t>周边</w:t>
      </w:r>
      <w:r>
        <w:rPr>
          <w:rFonts w:hint="default" w:ascii="Times New Roman" w:hAnsi="Times New Roman" w:eastAsia="宋体" w:cs="Times New Roman"/>
          <w:b/>
          <w:color w:val="auto"/>
          <w:lang w:val="en-US" w:eastAsia="zh-CN"/>
        </w:rPr>
        <w:t>保护目标分布</w:t>
      </w:r>
      <w:r>
        <w:rPr>
          <w:rFonts w:hint="default" w:ascii="Times New Roman" w:hAnsi="Times New Roman" w:eastAsia="宋体" w:cs="Times New Roman"/>
          <w:b/>
          <w:color w:val="auto"/>
          <w:lang w:val="en-US" w:eastAsia="en-US"/>
        </w:rPr>
        <w:t>图</w:t>
      </w:r>
    </w:p>
    <w:p w14:paraId="51C1CA14">
      <w:pPr>
        <w:pStyle w:val="5"/>
        <w:rPr>
          <w:rFonts w:hint="eastAsia" w:ascii="Times New Roman" w:hAnsi="Times New Roman" w:eastAsia="宋体" w:cs="Times New Roman"/>
          <w:b/>
          <w:color w:val="auto"/>
          <w:lang w:val="en-US" w:eastAsia="zh-CN"/>
        </w:rPr>
      </w:pPr>
      <w:r>
        <w:rPr>
          <w:rFonts w:hint="eastAsia" w:ascii="黑体" w:hAnsi="黑体" w:eastAsia="黑体" w:cs="黑体"/>
          <w:b/>
          <w:bCs w:val="0"/>
          <w:color w:val="auto"/>
          <w:spacing w:val="0"/>
          <w:kern w:val="2"/>
          <w:position w:val="0"/>
          <w:sz w:val="24"/>
          <w:szCs w:val="24"/>
          <w:lang w:val="en-US" w:eastAsia="zh-CN" w:bidi="ar-SA"/>
        </w:rPr>
        <w:drawing>
          <wp:anchor distT="0" distB="0" distL="114300" distR="114300" simplePos="0" relativeHeight="251673600" behindDoc="0" locked="0" layoutInCell="1" allowOverlap="1">
            <wp:simplePos x="0" y="0"/>
            <wp:positionH relativeFrom="column">
              <wp:posOffset>7959725</wp:posOffset>
            </wp:positionH>
            <wp:positionV relativeFrom="paragraph">
              <wp:posOffset>8255</wp:posOffset>
            </wp:positionV>
            <wp:extent cx="883920" cy="1000125"/>
            <wp:effectExtent l="0" t="0" r="11430" b="9525"/>
            <wp:wrapNone/>
            <wp:docPr id="11" name="图片 9" descr="C:\Documents and Settings\Administrator\桌面\淄川风玫瑰图.png淄川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C:\Documents and Settings\Administrator\桌面\淄川风玫瑰图.png淄川风玫瑰图"/>
                    <pic:cNvPicPr>
                      <a:picLocks noChangeAspect="1"/>
                    </pic:cNvPicPr>
                  </pic:nvPicPr>
                  <pic:blipFill>
                    <a:blip r:embed="rId61"/>
                    <a:stretch>
                      <a:fillRect/>
                    </a:stretch>
                  </pic:blipFill>
                  <pic:spPr>
                    <a:xfrm>
                      <a:off x="0" y="0"/>
                      <a:ext cx="883920" cy="1000125"/>
                    </a:xfrm>
                    <a:prstGeom prst="rect">
                      <a:avLst/>
                    </a:prstGeom>
                    <a:noFill/>
                    <a:ln>
                      <a:noFill/>
                    </a:ln>
                  </pic:spPr>
                </pic:pic>
              </a:graphicData>
            </a:graphic>
          </wp:anchor>
        </w:drawing>
      </w:r>
      <w:r>
        <w:rPr>
          <w:rFonts w:hint="default" w:ascii="Times New Roman" w:hAnsi="Times New Roman" w:cs="Times New Roman"/>
          <w:color w:val="auto"/>
          <w:sz w:val="21"/>
        </w:rPr>
        <mc:AlternateContent>
          <mc:Choice Requires="wps">
            <w:drawing>
              <wp:anchor distT="0" distB="0" distL="114300" distR="114300" simplePos="0" relativeHeight="251667456" behindDoc="0" locked="0" layoutInCell="1" allowOverlap="1">
                <wp:simplePos x="0" y="0"/>
                <wp:positionH relativeFrom="column">
                  <wp:posOffset>3355340</wp:posOffset>
                </wp:positionH>
                <wp:positionV relativeFrom="paragraph">
                  <wp:posOffset>3353435</wp:posOffset>
                </wp:positionV>
                <wp:extent cx="914400" cy="447675"/>
                <wp:effectExtent l="12700" t="335915" r="425450" b="16510"/>
                <wp:wrapNone/>
                <wp:docPr id="47" name="圆角矩形标注 47"/>
                <wp:cNvGraphicFramePr/>
                <a:graphic xmlns:a="http://schemas.openxmlformats.org/drawingml/2006/main">
                  <a:graphicData uri="http://schemas.microsoft.com/office/word/2010/wordprocessingShape">
                    <wps:wsp>
                      <wps:cNvSpPr/>
                      <wps:spPr>
                        <a:xfrm>
                          <a:off x="0" y="0"/>
                          <a:ext cx="914400" cy="447675"/>
                        </a:xfrm>
                        <a:prstGeom prst="wedgeRoundRectCallout">
                          <a:avLst>
                            <a:gd name="adj1" fmla="val 93125"/>
                            <a:gd name="adj2" fmla="val -122198"/>
                            <a:gd name="adj3" fmla="val 16667"/>
                          </a:avLst>
                        </a:prstGeom>
                        <a:solidFill>
                          <a:srgbClr val="FFC000"/>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5E636A6">
                            <w:pPr>
                              <w:jc w:val="center"/>
                              <w:rPr>
                                <w:rFonts w:hint="eastAsia" w:eastAsia="宋体"/>
                                <w:lang w:val="en-US" w:eastAsia="zh-CN"/>
                              </w:rPr>
                            </w:pPr>
                            <w:r>
                              <w:rPr>
                                <w:rFonts w:hint="eastAsia"/>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4.2pt;margin-top:264.05pt;height:35.25pt;width:72pt;z-index:251667456;v-text-anchor:middle;mso-width-relative:page;mso-height-relative:page;" fillcolor="#FFC000" filled="t" stroked="t" coordsize="21600,21600" o:gfxdata="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5lwbvdoAAAALAQAADwAA&#10;AAAAAAABACAAAAAiAAAAZHJzL2Rvd25yZXYueG1sUEsBAhQAFAAAAAgAh07iQIsrvPW/AgAAfQUA&#10;AA4AAAAAAAAAAQAgAAAAKQEAAGRycy9lMm9Eb2MueG1sUEsFBgAAAAAGAAYAWQEAAFoGAAAAAA==&#10;" adj="30915,-15595,14400">
                <v:fill on="t" focussize="0,0"/>
                <v:stroke weight="2pt" color="#FFFFFF [3212]" joinstyle="round"/>
                <v:imagedata o:title=""/>
                <o:lock v:ext="edit" aspectratio="f"/>
                <v:textbox>
                  <w:txbxContent>
                    <w:p w14:paraId="35E636A6">
                      <w:pPr>
                        <w:jc w:val="center"/>
                        <w:rPr>
                          <w:rFonts w:hint="eastAsia" w:eastAsia="宋体"/>
                          <w:lang w:val="en-US" w:eastAsia="zh-CN"/>
                        </w:rPr>
                      </w:pPr>
                      <w:r>
                        <w:rPr>
                          <w:rFonts w:hint="eastAsia"/>
                          <w:lang w:val="en-US" w:eastAsia="zh-CN"/>
                        </w:rPr>
                        <w:t>项目地</w:t>
                      </w:r>
                    </w:p>
                  </w:txbxContent>
                </v:textbox>
              </v:shape>
            </w:pict>
          </mc:Fallback>
        </mc:AlternateContent>
      </w:r>
      <w:r>
        <w:rPr>
          <w:color w:val="auto"/>
        </w:rPr>
        <w:drawing>
          <wp:inline distT="0" distB="0" distL="114300" distR="114300">
            <wp:extent cx="8855710" cy="5680075"/>
            <wp:effectExtent l="0" t="0" r="2540" b="15875"/>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63"/>
                    <a:stretch>
                      <a:fillRect/>
                    </a:stretch>
                  </pic:blipFill>
                  <pic:spPr>
                    <a:xfrm>
                      <a:off x="0" y="0"/>
                      <a:ext cx="8855710" cy="5680075"/>
                    </a:xfrm>
                    <a:prstGeom prst="rect">
                      <a:avLst/>
                    </a:prstGeom>
                    <a:noFill/>
                    <a:ln>
                      <a:noFill/>
                    </a:ln>
                  </pic:spPr>
                </pic:pic>
              </a:graphicData>
            </a:graphic>
          </wp:inline>
        </w:drawing>
      </w:r>
    </w:p>
    <w:p w14:paraId="56A008B5">
      <w:pPr>
        <w:pStyle w:val="5"/>
        <w:rPr>
          <w:rFonts w:hint="default" w:ascii="Times New Roman" w:hAnsi="Times New Roman" w:cs="Times New Roman"/>
          <w:color w:val="auto"/>
          <w:lang w:val="en-US" w:eastAsia="zh-CN"/>
        </w:rPr>
        <w:sectPr>
          <w:pgSz w:w="16839" w:h="11905" w:orient="landscape"/>
          <w:pgMar w:top="1080" w:right="1440" w:bottom="1080" w:left="1440" w:header="0" w:footer="1069" w:gutter="0"/>
          <w:pgBorders>
            <w:top w:val="none" w:sz="0" w:space="0"/>
            <w:left w:val="none" w:sz="0" w:space="0"/>
            <w:bottom w:val="none" w:sz="0" w:space="0"/>
            <w:right w:val="none" w:sz="0" w:space="0"/>
          </w:pgBorders>
          <w:pgNumType w:fmt="decimal"/>
          <w:cols w:space="720" w:num="1"/>
        </w:sectPr>
      </w:pPr>
    </w:p>
    <w:p w14:paraId="11D1C06B">
      <w:pPr>
        <w:pStyle w:val="23"/>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附图 3：项目平面布置图</w:t>
      </w:r>
      <w:r>
        <w:rPr>
          <w:rFonts w:hint="default" w:ascii="Times New Roman" w:hAnsi="Times New Roman" w:cs="Times New Roman"/>
          <w:b/>
          <w:color w:val="auto"/>
          <w:lang w:val="en-US" w:eastAsia="zh-CN"/>
        </w:rPr>
        <w:t>(比例尺：1:500)</w:t>
      </w:r>
    </w:p>
    <w:p w14:paraId="7E018442">
      <w:pPr>
        <w:jc w:val="center"/>
        <w:rPr>
          <w:rFonts w:hint="default" w:ascii="Times New Roman" w:hAnsi="Times New Roman" w:eastAsia="宋体" w:cs="Times New Roman"/>
          <w:b/>
          <w:color w:val="auto"/>
          <w:kern w:val="0"/>
          <w:sz w:val="24"/>
          <w:szCs w:val="21"/>
          <w:lang w:val="en-US" w:eastAsia="zh-CN" w:bidi="ar-SA"/>
        </w:rPr>
      </w:pPr>
      <w:r>
        <w:rPr>
          <w:color w:val="auto"/>
        </w:rPr>
        <w:drawing>
          <wp:inline distT="0" distB="0" distL="114300" distR="114300">
            <wp:extent cx="5958840" cy="8429625"/>
            <wp:effectExtent l="0" t="0" r="381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4"/>
                    <a:stretch>
                      <a:fillRect/>
                    </a:stretch>
                  </pic:blipFill>
                  <pic:spPr>
                    <a:xfrm>
                      <a:off x="0" y="0"/>
                      <a:ext cx="5958840" cy="8429625"/>
                    </a:xfrm>
                    <a:prstGeom prst="rect">
                      <a:avLst/>
                    </a:prstGeom>
                    <a:noFill/>
                    <a:ln>
                      <a:noFill/>
                    </a:ln>
                  </pic:spPr>
                </pic:pic>
              </a:graphicData>
            </a:graphic>
          </wp:inline>
        </w:drawing>
      </w:r>
    </w:p>
    <w:p w14:paraId="11C0F256">
      <w:pPr>
        <w:jc w:val="left"/>
        <w:rPr>
          <w:rFonts w:hint="default" w:ascii="Times New Roman" w:hAnsi="Times New Roman" w:eastAsia="宋体" w:cs="Times New Roman"/>
          <w:b/>
          <w:color w:val="auto"/>
          <w:kern w:val="0"/>
          <w:sz w:val="24"/>
          <w:szCs w:val="21"/>
          <w:lang w:val="en-US" w:eastAsia="zh-CN" w:bidi="ar-SA"/>
        </w:rPr>
      </w:pPr>
      <w:r>
        <w:rPr>
          <w:rFonts w:hint="default" w:ascii="Times New Roman" w:hAnsi="Times New Roman" w:eastAsia="宋体" w:cs="Times New Roman"/>
          <w:b/>
          <w:color w:val="auto"/>
          <w:kern w:val="0"/>
          <w:sz w:val="24"/>
          <w:szCs w:val="21"/>
          <w:lang w:val="en-US" w:eastAsia="zh-CN" w:bidi="ar-SA"/>
        </w:rPr>
        <w:t>附图4 淄博市环境管控单元图</w:t>
      </w:r>
    </w:p>
    <w:p w14:paraId="6274840A">
      <w:pPr>
        <w:pStyle w:val="5"/>
        <w:jc w:val="center"/>
        <w:rPr>
          <w:rFonts w:hint="default" w:ascii="Times New Roman" w:hAnsi="Times New Roman" w:cs="Times New Roman"/>
          <w:color w:val="auto"/>
        </w:rPr>
        <w:sectPr>
          <w:pgSz w:w="11905" w:h="16839"/>
          <w:pgMar w:top="1440" w:right="1080" w:bottom="1440" w:left="1080" w:header="0" w:footer="1069"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color w:val="auto"/>
          <w:sz w:val="21"/>
        </w:rPr>
        <mc:AlternateContent>
          <mc:Choice Requires="wps">
            <w:drawing>
              <wp:anchor distT="0" distB="0" distL="114300" distR="114300" simplePos="0" relativeHeight="251668480" behindDoc="0" locked="0" layoutInCell="1" allowOverlap="1">
                <wp:simplePos x="0" y="0"/>
                <wp:positionH relativeFrom="column">
                  <wp:posOffset>2051685</wp:posOffset>
                </wp:positionH>
                <wp:positionV relativeFrom="paragraph">
                  <wp:posOffset>4455795</wp:posOffset>
                </wp:positionV>
                <wp:extent cx="914400" cy="447675"/>
                <wp:effectExtent l="12700" t="465455" r="101600" b="20320"/>
                <wp:wrapNone/>
                <wp:docPr id="53" name="圆角矩形标注 53"/>
                <wp:cNvGraphicFramePr/>
                <a:graphic xmlns:a="http://schemas.openxmlformats.org/drawingml/2006/main">
                  <a:graphicData uri="http://schemas.microsoft.com/office/word/2010/wordprocessingShape">
                    <wps:wsp>
                      <wps:cNvSpPr/>
                      <wps:spPr>
                        <a:xfrm>
                          <a:off x="0" y="0"/>
                          <a:ext cx="914400" cy="447675"/>
                        </a:xfrm>
                        <a:prstGeom prst="wedgeRoundRectCallout">
                          <a:avLst>
                            <a:gd name="adj1" fmla="val 58680"/>
                            <a:gd name="adj2" fmla="val -151134"/>
                            <a:gd name="adj3" fmla="val 16667"/>
                          </a:avLst>
                        </a:prstGeom>
                        <a:solidFill>
                          <a:srgbClr val="FFC000"/>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50457DF">
                            <w:pPr>
                              <w:jc w:val="center"/>
                              <w:rPr>
                                <w:rFonts w:hint="eastAsia" w:eastAsia="宋体"/>
                                <w:lang w:val="en-US" w:eastAsia="zh-CN"/>
                              </w:rPr>
                            </w:pPr>
                            <w:r>
                              <w:rPr>
                                <w:rFonts w:hint="eastAsia"/>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61.55pt;margin-top:350.85pt;height:35.25pt;width:72pt;z-index:251668480;v-text-anchor:middle;mso-width-relative:page;mso-height-relative:page;" fillcolor="#FFC000" filled="t" stroked="t" coordsize="21600,21600" o:gfxdata="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rQqMr2QAAAAsBAAAPAAAA&#10;AAAAAAEAIAAAACIAAABkcnMvZG93bnJldi54bWxQSwECFAAUAAAACACHTuJAfcIzur8CAAB9BQAA&#10;DgAAAAAAAAABACAAAAAoAQAAZHJzL2Uyb0RvYy54bWxQSwUGAAAAAAYABgBZAQAAWQYAAAAA&#10;" adj="23475,-21845,14400">
                <v:fill on="t" focussize="0,0"/>
                <v:stroke weight="2pt" color="#FFFFFF [3212]" joinstyle="round"/>
                <v:imagedata o:title=""/>
                <o:lock v:ext="edit" aspectratio="f"/>
                <v:textbox>
                  <w:txbxContent>
                    <w:p w14:paraId="550457DF">
                      <w:pPr>
                        <w:jc w:val="center"/>
                        <w:rPr>
                          <w:rFonts w:hint="eastAsia" w:eastAsia="宋体"/>
                          <w:lang w:val="en-US" w:eastAsia="zh-CN"/>
                        </w:rPr>
                      </w:pPr>
                      <w:r>
                        <w:rPr>
                          <w:rFonts w:hint="eastAsia"/>
                          <w:lang w:val="en-US" w:eastAsia="zh-CN"/>
                        </w:rPr>
                        <w:t>项目地</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9504" behindDoc="0" locked="0" layoutInCell="1" allowOverlap="1">
                <wp:simplePos x="0" y="0"/>
                <wp:positionH relativeFrom="column">
                  <wp:posOffset>2980690</wp:posOffset>
                </wp:positionH>
                <wp:positionV relativeFrom="paragraph">
                  <wp:posOffset>3933190</wp:posOffset>
                </wp:positionV>
                <wp:extent cx="120650" cy="131445"/>
                <wp:effectExtent l="4445" t="4445" r="8255" b="16510"/>
                <wp:wrapNone/>
                <wp:docPr id="54" name="五角星 54"/>
                <wp:cNvGraphicFramePr/>
                <a:graphic xmlns:a="http://schemas.openxmlformats.org/drawingml/2006/main">
                  <a:graphicData uri="http://schemas.microsoft.com/office/word/2010/wordprocessingShape">
                    <wps:wsp>
                      <wps:cNvSpPr/>
                      <wps:spPr>
                        <a:xfrm>
                          <a:off x="2508885" y="2145030"/>
                          <a:ext cx="120650" cy="131445"/>
                        </a:xfrm>
                        <a:prstGeom prst="star5">
                          <a:avLst/>
                        </a:prstGeom>
                        <a:solidFill>
                          <a:srgbClr val="FF0000"/>
                        </a:solidFill>
                        <a:ln w="3175">
                          <a:solidFill>
                            <a:schemeClr val="tx1">
                              <a:lumMod val="95000"/>
                              <a:lumOff val="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4.7pt;margin-top:309.7pt;height:10.35pt;width:9.5pt;z-index:251669504;v-text-anchor:middle;mso-width-relative:page;mso-height-relative:page;" fillcolor="#FF0000" filled="t" stroked="t" coordsize="120650,131445" o:gfxdata="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JrhoX/Y&#10;AAAACwEAAA8AAAAAAAAAAQAgAAAAIgAAAGRycy9kb3ducmV2LnhtbFBLAQIUABQAAAAIAIdO4kAD&#10;udETkgIAACUFAAAOAAAAAAAAAAEAIAAAACcBAABkcnMvZTJvRG9jLnhtbFBLBQYAAAAABgAGAFkB&#10;AAArBgAAAAA=&#10;" path="m0,50207l46084,50207,60325,0,74565,50207,120649,50207,83366,81237,97607,131444,60325,100414,23042,131444,37283,81237xe">
                <v:path o:connectlocs="60325,0;0,50207;23042,131444;97607,131444;120649,50207" o:connectangles="247,164,82,82,0"/>
                <v:fill on="t" focussize="0,0"/>
                <v:stroke weight="0.25pt" color="#0D0D0D [3069]" joinstyle="round"/>
                <v:imagedata o:title=""/>
                <o:lock v:ext="edit" aspectratio="f"/>
              </v:shape>
            </w:pict>
          </mc:Fallback>
        </mc:AlternateContent>
      </w:r>
      <w:r>
        <w:rPr>
          <w:rFonts w:hint="default" w:ascii="Times New Roman" w:hAnsi="Times New Roman" w:cs="Times New Roman"/>
          <w:color w:val="auto"/>
        </w:rPr>
        <w:drawing>
          <wp:inline distT="0" distB="0" distL="114300" distR="114300">
            <wp:extent cx="5256530" cy="7567930"/>
            <wp:effectExtent l="0" t="0" r="1270" b="13970"/>
            <wp:docPr id="52" name="图片 12"/>
            <wp:cNvGraphicFramePr/>
            <a:graphic xmlns:a="http://schemas.openxmlformats.org/drawingml/2006/main">
              <a:graphicData uri="http://schemas.openxmlformats.org/drawingml/2006/picture">
                <pic:pic xmlns:pic="http://schemas.openxmlformats.org/drawingml/2006/picture">
                  <pic:nvPicPr>
                    <pic:cNvPr id="52" name="图片 12"/>
                    <pic:cNvPicPr/>
                  </pic:nvPicPr>
                  <pic:blipFill>
                    <a:blip r:embed="rId65"/>
                    <a:stretch>
                      <a:fillRect/>
                    </a:stretch>
                  </pic:blipFill>
                  <pic:spPr>
                    <a:xfrm>
                      <a:off x="0" y="0"/>
                      <a:ext cx="5256530" cy="7567930"/>
                    </a:xfrm>
                    <a:prstGeom prst="rect">
                      <a:avLst/>
                    </a:prstGeom>
                    <a:noFill/>
                    <a:ln>
                      <a:noFill/>
                    </a:ln>
                  </pic:spPr>
                </pic:pic>
              </a:graphicData>
            </a:graphic>
          </wp:inline>
        </w:drawing>
      </w:r>
    </w:p>
    <w:p w14:paraId="35E22894">
      <w:pPr>
        <w:spacing w:before="78" w:line="219" w:lineRule="auto"/>
        <w:ind w:left="104"/>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pacing w:val="-3"/>
          <w:sz w:val="24"/>
          <w:szCs w:val="24"/>
        </w:rPr>
        <w:t>附图</w:t>
      </w:r>
      <w:r>
        <w:rPr>
          <w:rFonts w:hint="default" w:ascii="Times New Roman" w:hAnsi="Times New Roman" w:eastAsia="宋体" w:cs="Times New Roman"/>
          <w:color w:val="auto"/>
          <w:spacing w:val="-51"/>
          <w:sz w:val="24"/>
          <w:szCs w:val="24"/>
        </w:rPr>
        <w:t xml:space="preserve"> </w:t>
      </w:r>
      <w:r>
        <w:rPr>
          <w:rFonts w:hint="default" w:ascii="Times New Roman" w:hAnsi="Times New Roman" w:eastAsia="宋体" w:cs="Times New Roman"/>
          <w:b/>
          <w:bCs/>
          <w:color w:val="auto"/>
          <w:spacing w:val="-3"/>
          <w:sz w:val="24"/>
          <w:szCs w:val="24"/>
          <w:lang w:val="en-US" w:eastAsia="zh-CN"/>
        </w:rPr>
        <w:t>5</w:t>
      </w:r>
      <w:r>
        <w:rPr>
          <w:rFonts w:hint="default" w:ascii="Times New Roman" w:hAnsi="Times New Roman" w:eastAsia="Times New Roman" w:cs="Times New Roman"/>
          <w:b/>
          <w:bCs/>
          <w:color w:val="auto"/>
          <w:spacing w:val="-3"/>
          <w:sz w:val="24"/>
          <w:szCs w:val="24"/>
        </w:rPr>
        <w:t xml:space="preserve"> </w:t>
      </w:r>
      <w:r>
        <w:rPr>
          <w:rFonts w:hint="eastAsia" w:ascii="Times New Roman" w:hAnsi="Times New Roman" w:eastAsia="宋体" w:cs="Times New Roman"/>
          <w:b/>
          <w:bCs/>
          <w:color w:val="auto"/>
          <w:spacing w:val="-3"/>
          <w:sz w:val="24"/>
          <w:szCs w:val="24"/>
          <w:lang w:val="en-US" w:eastAsia="zh-CN"/>
        </w:rPr>
        <w:t>淄博市</w:t>
      </w:r>
      <w:r>
        <w:rPr>
          <w:rFonts w:hint="eastAsia" w:ascii="Times New Roman" w:hAnsi="Times New Roman" w:cs="Times New Roman"/>
          <w:b/>
          <w:bCs/>
          <w:color w:val="auto"/>
          <w:spacing w:val="-3"/>
          <w:sz w:val="24"/>
          <w:szCs w:val="24"/>
          <w:lang w:val="en-US" w:eastAsia="zh-CN"/>
        </w:rPr>
        <w:t>国土空间总体规划</w:t>
      </w:r>
      <w:r>
        <w:rPr>
          <w:rFonts w:hint="eastAsia" w:ascii="Times New Roman" w:hAnsi="Times New Roman" w:eastAsia="宋体" w:cs="Times New Roman"/>
          <w:b/>
          <w:bCs/>
          <w:color w:val="auto"/>
          <w:spacing w:val="-3"/>
          <w:sz w:val="24"/>
          <w:szCs w:val="24"/>
          <w:lang w:val="en-US" w:eastAsia="zh-CN"/>
        </w:rPr>
        <w:t>（20</w:t>
      </w:r>
      <w:r>
        <w:rPr>
          <w:rFonts w:hint="eastAsia" w:ascii="Times New Roman" w:hAnsi="Times New Roman" w:cs="Times New Roman"/>
          <w:b/>
          <w:bCs/>
          <w:color w:val="auto"/>
          <w:spacing w:val="-3"/>
          <w:sz w:val="24"/>
          <w:szCs w:val="24"/>
          <w:lang w:val="en-US" w:eastAsia="zh-CN"/>
        </w:rPr>
        <w:t>21-2035</w:t>
      </w:r>
      <w:r>
        <w:rPr>
          <w:rFonts w:hint="eastAsia" w:ascii="Times New Roman" w:hAnsi="Times New Roman" w:eastAsia="宋体" w:cs="Times New Roman"/>
          <w:b/>
          <w:bCs/>
          <w:color w:val="auto"/>
          <w:spacing w:val="-3"/>
          <w:sz w:val="24"/>
          <w:szCs w:val="24"/>
          <w:lang w:val="en-US" w:eastAsia="zh-CN"/>
        </w:rPr>
        <w:t>年）</w:t>
      </w:r>
    </w:p>
    <w:p w14:paraId="3BE55E4B">
      <w:pPr>
        <w:pStyle w:val="5"/>
        <w:jc w:val="both"/>
        <w:rPr>
          <w:rFonts w:hint="default" w:ascii="Times New Roman" w:hAnsi="Times New Roman" w:cs="Times New Roman"/>
          <w:color w:val="auto"/>
          <w:lang w:val="en-US" w:eastAsia="zh-CN"/>
        </w:rPr>
      </w:pP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5440680</wp:posOffset>
                </wp:positionH>
                <wp:positionV relativeFrom="paragraph">
                  <wp:posOffset>5337175</wp:posOffset>
                </wp:positionV>
                <wp:extent cx="95250" cy="130810"/>
                <wp:effectExtent l="12700" t="12700" r="25400" b="27940"/>
                <wp:wrapNone/>
                <wp:docPr id="49" name="矩形 49"/>
                <wp:cNvGraphicFramePr/>
                <a:graphic xmlns:a="http://schemas.openxmlformats.org/drawingml/2006/main">
                  <a:graphicData uri="http://schemas.microsoft.com/office/word/2010/wordprocessingShape">
                    <wps:wsp>
                      <wps:cNvSpPr/>
                      <wps:spPr>
                        <a:xfrm>
                          <a:off x="6219190" y="6361430"/>
                          <a:ext cx="95250" cy="13081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8.4pt;margin-top:420.25pt;height:10.3pt;width:7.5pt;z-index:251671552;v-text-anchor:middle;mso-width-relative:page;mso-height-relative:page;" filled="f" stroked="t" coordsize="21600,21600" o:gfxdata="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MbuDYLZAAAACwEAAA8AAAAAAAAAAQAgAAAAIgAA&#10;AGRycy9kb3ducmV2LnhtbFBLAQIUABQAAAAIAIdO4kADEkZ+eQIAAOIEAAAOAAAAAAAAAAEAIAAA&#10;ACgBAABkcnMvZTJvRG9jLnhtbFBLBQYAAAAABgAGAFkBAAATBgAAAAA=&#10;">
                <v:fill on="f" focussize="0,0"/>
                <v:stroke weight="2pt" color="#376092 [2404]" joinstyle="round"/>
                <v:imagedata o:title=""/>
                <o:lock v:ext="edit" aspectratio="f"/>
              </v:rect>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4203700</wp:posOffset>
                </wp:positionH>
                <wp:positionV relativeFrom="paragraph">
                  <wp:posOffset>4306570</wp:posOffset>
                </wp:positionV>
                <wp:extent cx="1857375" cy="2155190"/>
                <wp:effectExtent l="1423670" t="12700" r="14605" b="22860"/>
                <wp:wrapNone/>
                <wp:docPr id="36" name="矩形标注 36"/>
                <wp:cNvGraphicFramePr/>
                <a:graphic xmlns:a="http://schemas.openxmlformats.org/drawingml/2006/main">
                  <a:graphicData uri="http://schemas.microsoft.com/office/word/2010/wordprocessingShape">
                    <wps:wsp>
                      <wps:cNvSpPr/>
                      <wps:spPr>
                        <a:xfrm>
                          <a:off x="4957445" y="5325110"/>
                          <a:ext cx="1857375" cy="2155190"/>
                        </a:xfrm>
                        <a:prstGeom prst="wedgeRectCallout">
                          <a:avLst>
                            <a:gd name="adj1" fmla="val -125965"/>
                            <a:gd name="adj2" fmla="val -44136"/>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499DEABB">
                            <w:pPr>
                              <w:jc w:val="center"/>
                            </w:pPr>
                            <w:r>
                              <w:drawing>
                                <wp:inline distT="0" distB="0" distL="114300" distR="114300">
                                  <wp:extent cx="1745615" cy="1868805"/>
                                  <wp:effectExtent l="0" t="0" r="6985" b="1714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66"/>
                                          <a:stretch>
                                            <a:fillRect/>
                                          </a:stretch>
                                        </pic:blipFill>
                                        <pic:spPr>
                                          <a:xfrm>
                                            <a:off x="0" y="0"/>
                                            <a:ext cx="1745615" cy="1868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1pt;margin-top:339.1pt;height:169.7pt;width:146.25pt;z-index:251670528;v-text-anchor:middle;mso-width-relative:page;mso-height-relative:page;" filled="f" stroked="t" coordsize="21600,21600" o:gfxdata="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WcxgB9oAAAAMAQAADwAAAAAA&#10;AAABACAAAAAiAAAAZHJzL2Rvd25yZXYueG1sUEsBAhQAFAAAAAgAh07iQFnEnRy8AgAAVgUAAA4A&#10;AAAAAAAAAQAgAAAAKQEAAGRycy9lMm9Eb2MueG1sUEsFBgAAAAAGAAYAWQEAAFcGAAAAAA==&#10;" adj="-16408,1267">
                <v:fill on="f" focussize="0,0"/>
                <v:stroke weight="2pt" color="#376092 [2404]" joinstyle="round"/>
                <v:imagedata o:title=""/>
                <o:lock v:ext="edit" aspectratio="f"/>
                <v:textbox>
                  <w:txbxContent>
                    <w:p w14:paraId="499DEABB">
                      <w:pPr>
                        <w:jc w:val="center"/>
                      </w:pPr>
                      <w:r>
                        <w:drawing>
                          <wp:inline distT="0" distB="0" distL="114300" distR="114300">
                            <wp:extent cx="1745615" cy="1868805"/>
                            <wp:effectExtent l="0" t="0" r="6985" b="1714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66"/>
                                    <a:stretch>
                                      <a:fillRect/>
                                    </a:stretch>
                                  </pic:blipFill>
                                  <pic:spPr>
                                    <a:xfrm>
                                      <a:off x="0" y="0"/>
                                      <a:ext cx="1745615" cy="1868805"/>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5996305" cy="8493125"/>
            <wp:effectExtent l="0" t="0" r="4445" b="3175"/>
            <wp:docPr id="15" name="图片 15" descr="淄博市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淄博市规划图"/>
                    <pic:cNvPicPr>
                      <a:picLocks noChangeAspect="1"/>
                    </pic:cNvPicPr>
                  </pic:nvPicPr>
                  <pic:blipFill>
                    <a:blip r:embed="rId67"/>
                    <a:stretch>
                      <a:fillRect/>
                    </a:stretch>
                  </pic:blipFill>
                  <pic:spPr>
                    <a:xfrm>
                      <a:off x="0" y="0"/>
                      <a:ext cx="5996305" cy="8493125"/>
                    </a:xfrm>
                    <a:prstGeom prst="rect">
                      <a:avLst/>
                    </a:prstGeom>
                  </pic:spPr>
                </pic:pic>
              </a:graphicData>
            </a:graphic>
          </wp:inline>
        </w:drawing>
      </w:r>
    </w:p>
    <w:sectPr>
      <w:pgSz w:w="11905" w:h="16839"/>
      <w:pgMar w:top="1440" w:right="1080" w:bottom="1440" w:left="1080" w:header="0" w:footer="1069"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Gill Sans MT Condensed">
    <w:altName w:val="AcadEref"/>
    <w:panose1 w:val="020B0506020104020203"/>
    <w:charset w:val="00"/>
    <w:family w:val="auto"/>
    <w:pitch w:val="default"/>
    <w:sig w:usb0="00000000" w:usb1="00000000" w:usb2="00000000" w:usb3="00000000" w:csb0="20000003" w:csb1="00000000"/>
  </w:font>
  <w:font w:name="AcadEref">
    <w:panose1 w:val="02000500000000020003"/>
    <w:charset w:val="00"/>
    <w:family w:val="auto"/>
    <w:pitch w:val="default"/>
    <w:sig w:usb0="00000003" w:usb1="00000000" w:usb2="00000000" w:usb3="00000000" w:csb0="00000001" w:csb1="0000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新宋体">
    <w:panose1 w:val="02010609030101010101"/>
    <w:charset w:val="86"/>
    <w:family w:val="auto"/>
    <w:pitch w:val="default"/>
    <w:sig w:usb0="00000203" w:usb1="288F0000" w:usb2="0000000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58BC0">
    <w:pPr>
      <w:spacing w:line="174" w:lineRule="auto"/>
      <w:ind w:left="491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4DAADB">
                          <w:pPr>
                            <w:pStyle w:val="8"/>
                            <w:spacing w:line="360" w:lineRule="auto"/>
                          </w:pPr>
                          <w:r>
                            <w:t xml:space="preserve">— </w:t>
                          </w:r>
                          <w:r>
                            <w:fldChar w:fldCharType="begin"/>
                          </w:r>
                          <w:r>
                            <w:instrText xml:space="preserve"> PAGE  \* MERGEFORMAT </w:instrText>
                          </w:r>
                          <w:r>
                            <w:fldChar w:fldCharType="separate"/>
                          </w:r>
                          <w:r>
                            <w:t>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5F4DAADB">
                    <w:pPr>
                      <w:pStyle w:val="8"/>
                      <w:spacing w:line="360" w:lineRule="auto"/>
                    </w:pPr>
                    <w:r>
                      <w:t xml:space="preserve">— </w:t>
                    </w:r>
                    <w:r>
                      <w:fldChar w:fldCharType="begin"/>
                    </w:r>
                    <w:r>
                      <w:instrText xml:space="preserve"> PAGE  \* MERGEFORMAT </w:instrText>
                    </w:r>
                    <w:r>
                      <w:fldChar w:fldCharType="separate"/>
                    </w:r>
                    <w:r>
                      <w:t>2</w:t>
                    </w:r>
                    <w:r>
                      <w:fldChar w:fldCharType="end"/>
                    </w:r>
                    <w: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8BDFD1">
    <w:pPr>
      <w:spacing w:line="174" w:lineRule="auto"/>
      <w:ind w:left="4852"/>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76F9AC">
                          <w:pPr>
                            <w:pStyle w:val="8"/>
                          </w:pPr>
                          <w:r>
                            <w:t xml:space="preserve">— </w:t>
                          </w:r>
                          <w:r>
                            <w:fldChar w:fldCharType="begin"/>
                          </w:r>
                          <w:r>
                            <w:instrText xml:space="preserve"> PAGE  \* MERGEFORMAT </w:instrText>
                          </w:r>
                          <w:r>
                            <w:fldChar w:fldCharType="separate"/>
                          </w:r>
                          <w:r>
                            <w:t>29</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14:paraId="6176F9AC">
                    <w:pPr>
                      <w:pStyle w:val="8"/>
                    </w:pPr>
                    <w:r>
                      <w:t xml:space="preserve">— </w:t>
                    </w:r>
                    <w:r>
                      <w:fldChar w:fldCharType="begin"/>
                    </w:r>
                    <w:r>
                      <w:instrText xml:space="preserve"> PAGE  \* MERGEFORMAT </w:instrText>
                    </w:r>
                    <w:r>
                      <w:fldChar w:fldCharType="separate"/>
                    </w:r>
                    <w:r>
                      <w:t>29</w:t>
                    </w:r>
                    <w: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BD437B">
    <w:pPr>
      <w:spacing w:line="174" w:lineRule="auto"/>
      <w:ind w:left="7598"/>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5085D8">
                          <w:pPr>
                            <w:pStyle w:val="8"/>
                          </w:pPr>
                          <w:r>
                            <w:t xml:space="preserve">— </w:t>
                          </w:r>
                          <w:r>
                            <w:fldChar w:fldCharType="begin"/>
                          </w:r>
                          <w:r>
                            <w:instrText xml:space="preserve"> PAGE  \* MERGEFORMAT </w:instrText>
                          </w:r>
                          <w:r>
                            <w:fldChar w:fldCharType="separate"/>
                          </w:r>
                          <w:r>
                            <w:t>30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275085D8">
                    <w:pPr>
                      <w:pStyle w:val="8"/>
                    </w:pPr>
                    <w:r>
                      <w:t xml:space="preserve">— </w:t>
                    </w:r>
                    <w:r>
                      <w:fldChar w:fldCharType="begin"/>
                    </w:r>
                    <w:r>
                      <w:instrText xml:space="preserve"> PAGE  \* MERGEFORMAT </w:instrText>
                    </w:r>
                    <w:r>
                      <w:fldChar w:fldCharType="separate"/>
                    </w:r>
                    <w:r>
                      <w:t>30</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326A32">
    <w:pPr>
      <w:spacing w:line="174" w:lineRule="auto"/>
      <w:ind w:left="483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C958B1">
                          <w:pPr>
                            <w:pStyle w:val="8"/>
                          </w:pPr>
                          <w:r>
                            <w:t xml:space="preserve">— </w:t>
                          </w:r>
                          <w:r>
                            <w:fldChar w:fldCharType="begin"/>
                          </w:r>
                          <w:r>
                            <w:instrText xml:space="preserve"> PAGE  \* MERGEFORMAT </w:instrText>
                          </w:r>
                          <w:r>
                            <w:fldChar w:fldCharType="separate"/>
                          </w:r>
                          <w:r>
                            <w:t>50</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0FC958B1">
                    <w:pPr>
                      <w:pStyle w:val="8"/>
                    </w:pPr>
                    <w:r>
                      <w:t xml:space="preserve">— </w:t>
                    </w:r>
                    <w:r>
                      <w:fldChar w:fldCharType="begin"/>
                    </w:r>
                    <w:r>
                      <w:instrText xml:space="preserve"> PAGE  \* MERGEFORMAT </w:instrText>
                    </w:r>
                    <w:r>
                      <w:fldChar w:fldCharType="separate"/>
                    </w:r>
                    <w:r>
                      <w:t>50</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978C6D">
    <w:pPr>
      <w:spacing w:line="174" w:lineRule="auto"/>
      <w:ind w:left="4851"/>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3F0A9">
                          <w:pPr>
                            <w:pStyle w:val="8"/>
                          </w:pPr>
                          <w:r>
                            <w:t xml:space="preserve">— </w:t>
                          </w:r>
                          <w:r>
                            <w:fldChar w:fldCharType="begin"/>
                          </w:r>
                          <w:r>
                            <w:instrText xml:space="preserve"> PAGE  \* MERGEFORMAT </w:instrText>
                          </w:r>
                          <w:r>
                            <w:fldChar w:fldCharType="separate"/>
                          </w:r>
                          <w:r>
                            <w:t>55</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2863F0A9">
                    <w:pPr>
                      <w:pStyle w:val="8"/>
                    </w:pPr>
                    <w:r>
                      <w:t xml:space="preserve">— </w:t>
                    </w:r>
                    <w:r>
                      <w:fldChar w:fldCharType="begin"/>
                    </w:r>
                    <w:r>
                      <w:instrText xml:space="preserve"> PAGE  \* MERGEFORMAT </w:instrText>
                    </w:r>
                    <w:r>
                      <w:fldChar w:fldCharType="separate"/>
                    </w:r>
                    <w:r>
                      <w:t>55</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CEDB79">
    <w:pPr>
      <w:spacing w:line="177" w:lineRule="auto"/>
      <w:ind w:left="4095"/>
      <w:rPr>
        <w:rFonts w:ascii="Times New Roman" w:hAnsi="Times New Roman" w:eastAsia="Times New Roman" w:cs="Times New Roman"/>
        <w:sz w:val="23"/>
        <w:szCs w:val="23"/>
      </w:rPr>
    </w:pPr>
    <w:r>
      <w:rPr>
        <w:sz w:val="23"/>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503054">
                          <w:pPr>
                            <w:pStyle w:val="8"/>
                            <w:rPr>
                              <w:rFonts w:hint="default" w:ascii="Times New Roman" w:hAnsi="Times New Roman" w:cs="Times New Roman"/>
                              <w:sz w:val="20"/>
                              <w:szCs w:val="22"/>
                            </w:rPr>
                          </w:pPr>
                          <w:r>
                            <w:rPr>
                              <w:rFonts w:hint="default" w:ascii="Times New Roman" w:hAnsi="Times New Roman" w:cs="Times New Roman"/>
                              <w:sz w:val="20"/>
                              <w:szCs w:val="22"/>
                            </w:rPr>
                            <w:t xml:space="preserve">— </w:t>
                          </w:r>
                          <w:r>
                            <w:rPr>
                              <w:rFonts w:hint="default" w:ascii="Times New Roman" w:hAnsi="Times New Roman" w:cs="Times New Roman"/>
                              <w:sz w:val="20"/>
                              <w:szCs w:val="22"/>
                            </w:rPr>
                            <w:fldChar w:fldCharType="begin"/>
                          </w:r>
                          <w:r>
                            <w:rPr>
                              <w:rFonts w:hint="default" w:ascii="Times New Roman" w:hAnsi="Times New Roman" w:cs="Times New Roman"/>
                              <w:sz w:val="20"/>
                              <w:szCs w:val="22"/>
                            </w:rPr>
                            <w:instrText xml:space="preserve"> PAGE  \* MERGEFORMAT </w:instrText>
                          </w:r>
                          <w:r>
                            <w:rPr>
                              <w:rFonts w:hint="default" w:ascii="Times New Roman" w:hAnsi="Times New Roman" w:cs="Times New Roman"/>
                              <w:sz w:val="20"/>
                              <w:szCs w:val="22"/>
                            </w:rPr>
                            <w:fldChar w:fldCharType="separate"/>
                          </w:r>
                          <w:r>
                            <w:rPr>
                              <w:rFonts w:hint="default" w:ascii="Times New Roman" w:hAnsi="Times New Roman" w:cs="Times New Roman"/>
                              <w:sz w:val="20"/>
                              <w:szCs w:val="22"/>
                            </w:rPr>
                            <w:t>56</w:t>
                          </w:r>
                          <w:r>
                            <w:rPr>
                              <w:rFonts w:hint="default" w:ascii="Times New Roman" w:hAnsi="Times New Roman" w:cs="Times New Roman"/>
                              <w:sz w:val="20"/>
                              <w:szCs w:val="22"/>
                            </w:rPr>
                            <w:fldChar w:fldCharType="end"/>
                          </w:r>
                          <w:r>
                            <w:rPr>
                              <w:rFonts w:hint="default" w:ascii="Times New Roman" w:hAnsi="Times New Roman" w:cs="Times New Roman"/>
                              <w:sz w:val="20"/>
                              <w:szCs w:val="22"/>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14:paraId="35503054">
                    <w:pPr>
                      <w:pStyle w:val="8"/>
                      <w:rPr>
                        <w:rFonts w:hint="default" w:ascii="Times New Roman" w:hAnsi="Times New Roman" w:cs="Times New Roman"/>
                        <w:sz w:val="20"/>
                        <w:szCs w:val="22"/>
                      </w:rPr>
                    </w:pPr>
                    <w:r>
                      <w:rPr>
                        <w:rFonts w:hint="default" w:ascii="Times New Roman" w:hAnsi="Times New Roman" w:cs="Times New Roman"/>
                        <w:sz w:val="20"/>
                        <w:szCs w:val="22"/>
                      </w:rPr>
                      <w:t xml:space="preserve">— </w:t>
                    </w:r>
                    <w:r>
                      <w:rPr>
                        <w:rFonts w:hint="default" w:ascii="Times New Roman" w:hAnsi="Times New Roman" w:cs="Times New Roman"/>
                        <w:sz w:val="20"/>
                        <w:szCs w:val="22"/>
                      </w:rPr>
                      <w:fldChar w:fldCharType="begin"/>
                    </w:r>
                    <w:r>
                      <w:rPr>
                        <w:rFonts w:hint="default" w:ascii="Times New Roman" w:hAnsi="Times New Roman" w:cs="Times New Roman"/>
                        <w:sz w:val="20"/>
                        <w:szCs w:val="22"/>
                      </w:rPr>
                      <w:instrText xml:space="preserve"> PAGE  \* MERGEFORMAT </w:instrText>
                    </w:r>
                    <w:r>
                      <w:rPr>
                        <w:rFonts w:hint="default" w:ascii="Times New Roman" w:hAnsi="Times New Roman" w:cs="Times New Roman"/>
                        <w:sz w:val="20"/>
                        <w:szCs w:val="22"/>
                      </w:rPr>
                      <w:fldChar w:fldCharType="separate"/>
                    </w:r>
                    <w:r>
                      <w:rPr>
                        <w:rFonts w:hint="default" w:ascii="Times New Roman" w:hAnsi="Times New Roman" w:cs="Times New Roman"/>
                        <w:sz w:val="20"/>
                        <w:szCs w:val="22"/>
                      </w:rPr>
                      <w:t>56</w:t>
                    </w:r>
                    <w:r>
                      <w:rPr>
                        <w:rFonts w:hint="default" w:ascii="Times New Roman" w:hAnsi="Times New Roman" w:cs="Times New Roman"/>
                        <w:sz w:val="20"/>
                        <w:szCs w:val="22"/>
                      </w:rPr>
                      <w:fldChar w:fldCharType="end"/>
                    </w:r>
                    <w:r>
                      <w:rPr>
                        <w:rFonts w:hint="default" w:ascii="Times New Roman" w:hAnsi="Times New Roman" w:cs="Times New Roman"/>
                        <w:sz w:val="20"/>
                        <w:szCs w:val="22"/>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8780283"/>
    <w:multiLevelType w:val="singleLevel"/>
    <w:tmpl w:val="18780283"/>
    <w:lvl w:ilvl="0" w:tentative="0">
      <w:start w:val="2"/>
      <w:numFmt w:val="chineseCounting"/>
      <w:suff w:val="nothing"/>
      <w:lvlText w:val="%1、"/>
      <w:lvlJc w:val="left"/>
      <w:rPr>
        <w:rFonts w:hint="eastAsia"/>
      </w:rPr>
    </w:lvl>
  </w:abstractNum>
  <w:abstractNum w:abstractNumId="1">
    <w:nsid w:val="24D06E02"/>
    <w:multiLevelType w:val="singleLevel"/>
    <w:tmpl w:val="24D06E02"/>
    <w:lvl w:ilvl="0" w:tentative="0">
      <w:start w:val="2"/>
      <w:numFmt w:val="decimal"/>
      <w:suff w:val="nothing"/>
      <w:lvlText w:val="%1、"/>
      <w:lvlJc w:val="left"/>
    </w:lvl>
  </w:abstractNum>
  <w:abstractNum w:abstractNumId="2">
    <w:nsid w:val="3A11EF3B"/>
    <w:multiLevelType w:val="singleLevel"/>
    <w:tmpl w:val="3A11EF3B"/>
    <w:lvl w:ilvl="0" w:tentative="0">
      <w:start w:val="1"/>
      <w:numFmt w:val="decimal"/>
      <w:suff w:val="nothing"/>
      <w:lvlText w:val="%1）"/>
      <w:lvlJc w:val="left"/>
    </w:lvl>
  </w:abstractNum>
  <w:abstractNum w:abstractNumId="3">
    <w:nsid w:val="43109FC6"/>
    <w:multiLevelType w:val="singleLevel"/>
    <w:tmpl w:val="43109FC6"/>
    <w:lvl w:ilvl="0" w:tentative="0">
      <w:start w:val="3"/>
      <w:numFmt w:val="chineseCounting"/>
      <w:suff w:val="nothing"/>
      <w:lvlText w:val="%1、"/>
      <w:lvlJc w:val="left"/>
      <w:rPr>
        <w:rFonts w:hint="eastAsia"/>
      </w:rPr>
    </w:lvl>
  </w:abstractNum>
  <w:abstractNum w:abstractNumId="4">
    <w:nsid w:val="500AC136"/>
    <w:multiLevelType w:val="singleLevel"/>
    <w:tmpl w:val="500AC136"/>
    <w:lvl w:ilvl="0" w:tentative="0">
      <w:start w:val="1"/>
      <w:numFmt w:val="chineseCounting"/>
      <w:suff w:val="nothing"/>
      <w:lvlText w:val="%1、"/>
      <w:lvlJc w:val="left"/>
      <w:rPr>
        <w:rFonts w:hint="eastAsia"/>
      </w:r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OWQ1MTkxODllODYyYzYxNjE2ZjJlNTlmZDIyYmM0MzQifQ=="/>
  </w:docVars>
  <w:rsids>
    <w:rsidRoot w:val="00000000"/>
    <w:rsid w:val="012604E4"/>
    <w:rsid w:val="01826EBE"/>
    <w:rsid w:val="01A37E19"/>
    <w:rsid w:val="01C83995"/>
    <w:rsid w:val="02FB6B11"/>
    <w:rsid w:val="03451583"/>
    <w:rsid w:val="03E16FF7"/>
    <w:rsid w:val="040C6A6B"/>
    <w:rsid w:val="042C6BBD"/>
    <w:rsid w:val="0436754B"/>
    <w:rsid w:val="04512FB1"/>
    <w:rsid w:val="04BF5FC8"/>
    <w:rsid w:val="04DC4690"/>
    <w:rsid w:val="051872E9"/>
    <w:rsid w:val="054162A1"/>
    <w:rsid w:val="05BE1FE7"/>
    <w:rsid w:val="06734B80"/>
    <w:rsid w:val="06E4128A"/>
    <w:rsid w:val="07DB73DD"/>
    <w:rsid w:val="08E43B13"/>
    <w:rsid w:val="09410F65"/>
    <w:rsid w:val="0B901D30"/>
    <w:rsid w:val="0BAA26B3"/>
    <w:rsid w:val="0BBA4FFF"/>
    <w:rsid w:val="0BBF2B0F"/>
    <w:rsid w:val="0BF603A6"/>
    <w:rsid w:val="0C157387"/>
    <w:rsid w:val="0C433B93"/>
    <w:rsid w:val="0CB05EC7"/>
    <w:rsid w:val="0CC149A5"/>
    <w:rsid w:val="0CEA12C0"/>
    <w:rsid w:val="0CF03AA4"/>
    <w:rsid w:val="0E005728"/>
    <w:rsid w:val="0E8E2D89"/>
    <w:rsid w:val="0E910299"/>
    <w:rsid w:val="0F753717"/>
    <w:rsid w:val="101A2510"/>
    <w:rsid w:val="10EA5A3E"/>
    <w:rsid w:val="11E06E41"/>
    <w:rsid w:val="120448F1"/>
    <w:rsid w:val="122611D5"/>
    <w:rsid w:val="126B5812"/>
    <w:rsid w:val="12810624"/>
    <w:rsid w:val="129C720C"/>
    <w:rsid w:val="12E57771"/>
    <w:rsid w:val="136D6C4E"/>
    <w:rsid w:val="138767F8"/>
    <w:rsid w:val="13AF2F6F"/>
    <w:rsid w:val="13D6674E"/>
    <w:rsid w:val="14352A10"/>
    <w:rsid w:val="14F01876"/>
    <w:rsid w:val="15370C4F"/>
    <w:rsid w:val="15B526AD"/>
    <w:rsid w:val="16300397"/>
    <w:rsid w:val="16315F4D"/>
    <w:rsid w:val="1723614E"/>
    <w:rsid w:val="173D7210"/>
    <w:rsid w:val="17451090"/>
    <w:rsid w:val="17BF1278"/>
    <w:rsid w:val="17BF777A"/>
    <w:rsid w:val="18876335"/>
    <w:rsid w:val="19295209"/>
    <w:rsid w:val="19F76A29"/>
    <w:rsid w:val="1A2226ED"/>
    <w:rsid w:val="1A750A6F"/>
    <w:rsid w:val="1AD61810"/>
    <w:rsid w:val="1B090AB0"/>
    <w:rsid w:val="1B350A3F"/>
    <w:rsid w:val="1B7E3C7E"/>
    <w:rsid w:val="1BF146D2"/>
    <w:rsid w:val="1C0E44B7"/>
    <w:rsid w:val="1C875E47"/>
    <w:rsid w:val="1CC82355"/>
    <w:rsid w:val="1CC834DF"/>
    <w:rsid w:val="1D604536"/>
    <w:rsid w:val="1E917E41"/>
    <w:rsid w:val="1F325180"/>
    <w:rsid w:val="1F796231"/>
    <w:rsid w:val="20390790"/>
    <w:rsid w:val="205D57F5"/>
    <w:rsid w:val="206D4247"/>
    <w:rsid w:val="20DA6194"/>
    <w:rsid w:val="21611D4D"/>
    <w:rsid w:val="22257114"/>
    <w:rsid w:val="223F443B"/>
    <w:rsid w:val="22A45B2D"/>
    <w:rsid w:val="22CC1C60"/>
    <w:rsid w:val="22FB2130"/>
    <w:rsid w:val="231A7DF0"/>
    <w:rsid w:val="231D24FE"/>
    <w:rsid w:val="2358717F"/>
    <w:rsid w:val="237F470C"/>
    <w:rsid w:val="238C566E"/>
    <w:rsid w:val="23FA60C2"/>
    <w:rsid w:val="245931AF"/>
    <w:rsid w:val="24FB4E9A"/>
    <w:rsid w:val="258B36AC"/>
    <w:rsid w:val="25A20B86"/>
    <w:rsid w:val="25BE49E8"/>
    <w:rsid w:val="27462F7F"/>
    <w:rsid w:val="27D67D3F"/>
    <w:rsid w:val="27ED5B85"/>
    <w:rsid w:val="29263CF2"/>
    <w:rsid w:val="297B3BC8"/>
    <w:rsid w:val="29CC4423"/>
    <w:rsid w:val="29E11C7D"/>
    <w:rsid w:val="29E82464"/>
    <w:rsid w:val="29FF65A7"/>
    <w:rsid w:val="2AC25D93"/>
    <w:rsid w:val="2AC86999"/>
    <w:rsid w:val="2B054B6B"/>
    <w:rsid w:val="2C5214E3"/>
    <w:rsid w:val="2CE7404B"/>
    <w:rsid w:val="2D0839C4"/>
    <w:rsid w:val="2D447C21"/>
    <w:rsid w:val="2D7B4196"/>
    <w:rsid w:val="2E8B21B7"/>
    <w:rsid w:val="2FAC519C"/>
    <w:rsid w:val="2FB50308"/>
    <w:rsid w:val="2FDB53C0"/>
    <w:rsid w:val="2FE204FD"/>
    <w:rsid w:val="2FF124EE"/>
    <w:rsid w:val="300D4E4E"/>
    <w:rsid w:val="30C350CE"/>
    <w:rsid w:val="315B7F63"/>
    <w:rsid w:val="316A21C4"/>
    <w:rsid w:val="31E4268D"/>
    <w:rsid w:val="31FD43F6"/>
    <w:rsid w:val="32B74C73"/>
    <w:rsid w:val="33062754"/>
    <w:rsid w:val="331E4D89"/>
    <w:rsid w:val="33591EA0"/>
    <w:rsid w:val="34A42225"/>
    <w:rsid w:val="35373099"/>
    <w:rsid w:val="356057EE"/>
    <w:rsid w:val="3591783C"/>
    <w:rsid w:val="35D301AE"/>
    <w:rsid w:val="360A2A94"/>
    <w:rsid w:val="364D2448"/>
    <w:rsid w:val="3657203F"/>
    <w:rsid w:val="367D0F7F"/>
    <w:rsid w:val="368A369C"/>
    <w:rsid w:val="379504F3"/>
    <w:rsid w:val="37AF33BA"/>
    <w:rsid w:val="38EF19B1"/>
    <w:rsid w:val="391B496D"/>
    <w:rsid w:val="395954B2"/>
    <w:rsid w:val="39FE56DF"/>
    <w:rsid w:val="3A717024"/>
    <w:rsid w:val="3A746C4E"/>
    <w:rsid w:val="3AC147A5"/>
    <w:rsid w:val="3B4D70C2"/>
    <w:rsid w:val="3BD76E8A"/>
    <w:rsid w:val="3BEA4172"/>
    <w:rsid w:val="3C1C6307"/>
    <w:rsid w:val="3CE37659"/>
    <w:rsid w:val="3D9D4EAB"/>
    <w:rsid w:val="3F181DBE"/>
    <w:rsid w:val="3F1D32FF"/>
    <w:rsid w:val="3F626AFB"/>
    <w:rsid w:val="400D0B5F"/>
    <w:rsid w:val="4028401D"/>
    <w:rsid w:val="40DF4E0C"/>
    <w:rsid w:val="41650F8E"/>
    <w:rsid w:val="42524FBC"/>
    <w:rsid w:val="43B1111A"/>
    <w:rsid w:val="44FF0DB1"/>
    <w:rsid w:val="44FF7003"/>
    <w:rsid w:val="4500539E"/>
    <w:rsid w:val="456022B8"/>
    <w:rsid w:val="456C67DF"/>
    <w:rsid w:val="45CF1918"/>
    <w:rsid w:val="46481881"/>
    <w:rsid w:val="46A47E62"/>
    <w:rsid w:val="475A1D55"/>
    <w:rsid w:val="47743CD8"/>
    <w:rsid w:val="478A34FC"/>
    <w:rsid w:val="487D3C07"/>
    <w:rsid w:val="48B104D1"/>
    <w:rsid w:val="490A2935"/>
    <w:rsid w:val="496164DE"/>
    <w:rsid w:val="49BE7722"/>
    <w:rsid w:val="49C10D2B"/>
    <w:rsid w:val="49ED7D72"/>
    <w:rsid w:val="4AE25A30"/>
    <w:rsid w:val="4B8D15EC"/>
    <w:rsid w:val="4C020434"/>
    <w:rsid w:val="4E3C3076"/>
    <w:rsid w:val="4F447F27"/>
    <w:rsid w:val="4FAB774E"/>
    <w:rsid w:val="507D1DDA"/>
    <w:rsid w:val="50947199"/>
    <w:rsid w:val="509A30C4"/>
    <w:rsid w:val="50B60EBE"/>
    <w:rsid w:val="514435B1"/>
    <w:rsid w:val="51AB0DA1"/>
    <w:rsid w:val="52AF1D14"/>
    <w:rsid w:val="52D95337"/>
    <w:rsid w:val="53C658BC"/>
    <w:rsid w:val="53E67D0C"/>
    <w:rsid w:val="55564A1D"/>
    <w:rsid w:val="56506B72"/>
    <w:rsid w:val="56843EC7"/>
    <w:rsid w:val="569357FD"/>
    <w:rsid w:val="570B1D0C"/>
    <w:rsid w:val="572E7503"/>
    <w:rsid w:val="574072CA"/>
    <w:rsid w:val="57552131"/>
    <w:rsid w:val="57834874"/>
    <w:rsid w:val="57A54A59"/>
    <w:rsid w:val="58C8512D"/>
    <w:rsid w:val="58E4186C"/>
    <w:rsid w:val="596811C3"/>
    <w:rsid w:val="597131E7"/>
    <w:rsid w:val="59C04B5B"/>
    <w:rsid w:val="5A031FBA"/>
    <w:rsid w:val="5A896C9D"/>
    <w:rsid w:val="5ABF4E13"/>
    <w:rsid w:val="5CC42BB4"/>
    <w:rsid w:val="5D011713"/>
    <w:rsid w:val="5D663C6C"/>
    <w:rsid w:val="5D801223"/>
    <w:rsid w:val="5DB20C5F"/>
    <w:rsid w:val="5DCF35BF"/>
    <w:rsid w:val="5E282A1A"/>
    <w:rsid w:val="5E341E75"/>
    <w:rsid w:val="5F1530E6"/>
    <w:rsid w:val="602C2F4B"/>
    <w:rsid w:val="60687CFB"/>
    <w:rsid w:val="60712D2D"/>
    <w:rsid w:val="60FA4DF7"/>
    <w:rsid w:val="615A19EE"/>
    <w:rsid w:val="61C55A38"/>
    <w:rsid w:val="61DB542E"/>
    <w:rsid w:val="623460E6"/>
    <w:rsid w:val="629457F9"/>
    <w:rsid w:val="629667BE"/>
    <w:rsid w:val="62B209ED"/>
    <w:rsid w:val="63402869"/>
    <w:rsid w:val="635E64D5"/>
    <w:rsid w:val="63E821D2"/>
    <w:rsid w:val="642E47EB"/>
    <w:rsid w:val="64722EF6"/>
    <w:rsid w:val="64840482"/>
    <w:rsid w:val="65051FBC"/>
    <w:rsid w:val="661913D9"/>
    <w:rsid w:val="66372649"/>
    <w:rsid w:val="66CB225E"/>
    <w:rsid w:val="66FE3167"/>
    <w:rsid w:val="6728261C"/>
    <w:rsid w:val="67AB588C"/>
    <w:rsid w:val="67FF6BC4"/>
    <w:rsid w:val="6807736D"/>
    <w:rsid w:val="68C87588"/>
    <w:rsid w:val="68D47E36"/>
    <w:rsid w:val="68ED78E4"/>
    <w:rsid w:val="68FE2FAA"/>
    <w:rsid w:val="69286279"/>
    <w:rsid w:val="697D7966"/>
    <w:rsid w:val="69C86B65"/>
    <w:rsid w:val="69D1328E"/>
    <w:rsid w:val="69E37643"/>
    <w:rsid w:val="69F042EF"/>
    <w:rsid w:val="6A367C77"/>
    <w:rsid w:val="6A885221"/>
    <w:rsid w:val="6A9B2674"/>
    <w:rsid w:val="6BBF6778"/>
    <w:rsid w:val="6BF65984"/>
    <w:rsid w:val="6DEB49A1"/>
    <w:rsid w:val="6E343B41"/>
    <w:rsid w:val="6E4571B8"/>
    <w:rsid w:val="6E6A0503"/>
    <w:rsid w:val="6E831B74"/>
    <w:rsid w:val="6EE145C9"/>
    <w:rsid w:val="701102E0"/>
    <w:rsid w:val="702F6FF3"/>
    <w:rsid w:val="703E1C0B"/>
    <w:rsid w:val="705C0BE1"/>
    <w:rsid w:val="705D4A5A"/>
    <w:rsid w:val="70860455"/>
    <w:rsid w:val="70F6426E"/>
    <w:rsid w:val="7186073E"/>
    <w:rsid w:val="71AC01E3"/>
    <w:rsid w:val="71EC078C"/>
    <w:rsid w:val="71EC144A"/>
    <w:rsid w:val="71F57082"/>
    <w:rsid w:val="72327BE2"/>
    <w:rsid w:val="72331F17"/>
    <w:rsid w:val="724E6D50"/>
    <w:rsid w:val="72CC2C9C"/>
    <w:rsid w:val="72D4538F"/>
    <w:rsid w:val="74017DF2"/>
    <w:rsid w:val="745B2D51"/>
    <w:rsid w:val="747131CA"/>
    <w:rsid w:val="74AB66DC"/>
    <w:rsid w:val="74CB153F"/>
    <w:rsid w:val="753A2E7E"/>
    <w:rsid w:val="75557CA7"/>
    <w:rsid w:val="758111EB"/>
    <w:rsid w:val="759929D8"/>
    <w:rsid w:val="762A53DF"/>
    <w:rsid w:val="76F62C69"/>
    <w:rsid w:val="77252173"/>
    <w:rsid w:val="775752E5"/>
    <w:rsid w:val="77B533CE"/>
    <w:rsid w:val="781B5F00"/>
    <w:rsid w:val="78274E77"/>
    <w:rsid w:val="78AF2F5D"/>
    <w:rsid w:val="78FE2EA1"/>
    <w:rsid w:val="790A0589"/>
    <w:rsid w:val="792C3B64"/>
    <w:rsid w:val="79AE156C"/>
    <w:rsid w:val="7A6D61E2"/>
    <w:rsid w:val="7B3D5BB4"/>
    <w:rsid w:val="7B7A5A95"/>
    <w:rsid w:val="7BE806B8"/>
    <w:rsid w:val="7C9A401F"/>
    <w:rsid w:val="7CD76D73"/>
    <w:rsid w:val="7CEC5AE4"/>
    <w:rsid w:val="7D4C6928"/>
    <w:rsid w:val="7D7160BD"/>
    <w:rsid w:val="7E006343"/>
    <w:rsid w:val="7E0724A9"/>
    <w:rsid w:val="7F855D7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kinsoku w:val="0"/>
      <w:autoSpaceDE w:val="0"/>
      <w:autoSpaceDN w:val="0"/>
      <w:adjustRightInd w:val="0"/>
      <w:snapToGrid w:val="0"/>
      <w:spacing w:line="360" w:lineRule="auto"/>
      <w:jc w:val="both"/>
      <w:textAlignment w:val="baseline"/>
    </w:pPr>
    <w:rPr>
      <w:rFonts w:ascii="Arial" w:hAnsi="Arial" w:eastAsia="宋体" w:cs="Arial"/>
      <w:snapToGrid w:val="0"/>
      <w:color w:val="000000"/>
      <w:kern w:val="0"/>
      <w:sz w:val="24"/>
      <w:szCs w:val="21"/>
      <w:lang w:val="en-US" w:eastAsia="en-US"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17">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styleId="3">
    <w:name w:val="annotation text"/>
    <w:basedOn w:val="1"/>
    <w:autoRedefine/>
    <w:qFormat/>
    <w:uiPriority w:val="0"/>
    <w:pPr>
      <w:jc w:val="left"/>
    </w:pPr>
  </w:style>
  <w:style w:type="paragraph" w:styleId="4">
    <w:name w:val="Salutation"/>
    <w:basedOn w:val="1"/>
    <w:next w:val="1"/>
    <w:qFormat/>
    <w:uiPriority w:val="0"/>
    <w:rPr>
      <w:sz w:val="28"/>
      <w:szCs w:val="20"/>
    </w:rPr>
  </w:style>
  <w:style w:type="paragraph" w:styleId="5">
    <w:name w:val="Body Text"/>
    <w:basedOn w:val="1"/>
    <w:next w:val="1"/>
    <w:autoRedefine/>
    <w:semiHidden/>
    <w:qFormat/>
    <w:uiPriority w:val="0"/>
    <w:rPr>
      <w:rFonts w:ascii="Arial" w:hAnsi="Arial" w:eastAsia="Arial" w:cs="Arial"/>
      <w:sz w:val="21"/>
      <w:szCs w:val="21"/>
      <w:lang w:val="en-US" w:eastAsia="en-US" w:bidi="ar-SA"/>
    </w:rPr>
  </w:style>
  <w:style w:type="paragraph" w:styleId="6">
    <w:name w:val="Body Text Indent"/>
    <w:basedOn w:val="1"/>
    <w:autoRedefine/>
    <w:qFormat/>
    <w:uiPriority w:val="0"/>
    <w:pPr>
      <w:spacing w:after="120"/>
      <w:ind w:left="420" w:leftChars="200"/>
    </w:pPr>
    <w:rPr>
      <w:kern w:val="0"/>
      <w:sz w:val="24"/>
      <w:szCs w:val="20"/>
    </w:rPr>
  </w:style>
  <w:style w:type="paragraph" w:styleId="7">
    <w:name w:val="Plain Text"/>
    <w:basedOn w:val="1"/>
    <w:next w:val="4"/>
    <w:qFormat/>
    <w:uiPriority w:val="0"/>
    <w:rPr>
      <w:rFonts w:ascii="宋体" w:hAnsi="Courier New"/>
    </w:rPr>
  </w:style>
  <w:style w:type="paragraph" w:styleId="8">
    <w:name w:val="footer"/>
    <w:basedOn w:val="1"/>
    <w:autoRedefine/>
    <w:qFormat/>
    <w:uiPriority w:val="0"/>
    <w:pPr>
      <w:tabs>
        <w:tab w:val="center" w:pos="4153"/>
        <w:tab w:val="right" w:pos="8306"/>
      </w:tabs>
      <w:snapToGrid w:val="0"/>
      <w:jc w:val="left"/>
    </w:pPr>
    <w:rPr>
      <w:sz w:val="18"/>
    </w:rPr>
  </w:style>
  <w:style w:type="paragraph" w:styleId="9">
    <w:name w:val="header"/>
    <w:basedOn w:val="1"/>
    <w:next w:val="10"/>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10">
    <w:name w:val="样式5"/>
    <w:basedOn w:val="11"/>
    <w:next w:val="1"/>
    <w:autoRedefine/>
    <w:qFormat/>
    <w:uiPriority w:val="0"/>
    <w:pPr>
      <w:tabs>
        <w:tab w:val="left" w:pos="900"/>
      </w:tabs>
      <w:autoSpaceDE w:val="0"/>
      <w:autoSpaceDN w:val="0"/>
      <w:spacing w:line="400" w:lineRule="exact"/>
      <w:ind w:firstLine="200" w:firstLineChars="200"/>
      <w:jc w:val="left"/>
    </w:pPr>
    <w:rPr>
      <w:rFonts w:ascii="Gill Sans MT Condensed" w:hAnsi="Gill Sans MT Condensed" w:eastAsia="Gill Sans MT Condensed" w:cs="Gill Sans MT Condensed"/>
      <w:kern w:val="0"/>
      <w:sz w:val="24"/>
      <w:szCs w:val="20"/>
      <w:lang w:eastAsia="en-US"/>
    </w:rPr>
  </w:style>
  <w:style w:type="paragraph" w:customStyle="1" w:styleId="11">
    <w:name w:val="正文1"/>
    <w:basedOn w:val="12"/>
    <w:next w:val="1"/>
    <w:autoRedefine/>
    <w:qFormat/>
    <w:uiPriority w:val="0"/>
    <w:pPr>
      <w:adjustRightInd w:val="0"/>
      <w:snapToGrid w:val="0"/>
      <w:spacing w:line="500" w:lineRule="atLeast"/>
      <w:ind w:firstLine="567"/>
    </w:pPr>
    <w:rPr>
      <w:sz w:val="28"/>
    </w:rPr>
  </w:style>
  <w:style w:type="paragraph" w:customStyle="1" w:styleId="12">
    <w:name w:val="正文11"/>
    <w:basedOn w:val="1"/>
    <w:autoRedefine/>
    <w:qFormat/>
    <w:uiPriority w:val="0"/>
    <w:pPr>
      <w:adjustRightInd w:val="0"/>
      <w:snapToGrid w:val="0"/>
      <w:spacing w:line="360" w:lineRule="auto"/>
      <w:ind w:firstLine="420" w:firstLineChars="200"/>
    </w:pPr>
    <w:rPr>
      <w:color w:val="000000"/>
      <w:sz w:val="24"/>
    </w:rPr>
  </w:style>
  <w:style w:type="paragraph" w:styleId="13">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4">
    <w:name w:val="Body Text First Indent 2"/>
    <w:basedOn w:val="6"/>
    <w:next w:val="1"/>
    <w:unhideWhenUsed/>
    <w:qFormat/>
    <w:uiPriority w:val="99"/>
    <w:pPr>
      <w:spacing w:after="120"/>
      <w:ind w:left="420" w:leftChars="200" w:firstLine="420"/>
    </w:pPr>
    <w:rPr>
      <w:sz w:val="21"/>
      <w:szCs w:val="24"/>
    </w:rPr>
  </w:style>
  <w:style w:type="table" w:styleId="16">
    <w:name w:val="Table Grid"/>
    <w:basedOn w:val="15"/>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Hyperlink"/>
    <w:basedOn w:val="17"/>
    <w:qFormat/>
    <w:uiPriority w:val="0"/>
    <w:rPr>
      <w:color w:val="0000FF"/>
      <w:u w:val="single"/>
    </w:rPr>
  </w:style>
  <w:style w:type="paragraph" w:customStyle="1" w:styleId="19">
    <w:name w:val="样式 正文文本缩进 + 行距: 1.5 倍行距"/>
    <w:basedOn w:val="20"/>
    <w:next w:val="1"/>
    <w:qFormat/>
    <w:uiPriority w:val="0"/>
    <w:pPr>
      <w:spacing w:after="120" w:line="360" w:lineRule="auto"/>
      <w:ind w:left="90" w:leftChars="32" w:firstLine="560" w:firstLineChars="200"/>
    </w:pPr>
    <w:rPr>
      <w:rFonts w:cs="宋体"/>
      <w:sz w:val="24"/>
    </w:rPr>
  </w:style>
  <w:style w:type="paragraph" w:customStyle="1" w:styleId="20">
    <w:name w:val="正文文本缩进1"/>
    <w:basedOn w:val="1"/>
    <w:next w:val="19"/>
    <w:qFormat/>
    <w:uiPriority w:val="0"/>
    <w:pPr>
      <w:ind w:left="420" w:leftChars="200"/>
    </w:pPr>
    <w:rPr>
      <w:sz w:val="24"/>
    </w:rPr>
  </w:style>
  <w:style w:type="table" w:customStyle="1" w:styleId="21">
    <w:name w:val="Table Normal"/>
    <w:autoRedefine/>
    <w:semiHidden/>
    <w:unhideWhenUsed/>
    <w:qFormat/>
    <w:uiPriority w:val="0"/>
    <w:tblPr>
      <w:tblCellMar>
        <w:top w:w="0" w:type="dxa"/>
        <w:left w:w="0" w:type="dxa"/>
        <w:bottom w:w="0" w:type="dxa"/>
        <w:right w:w="0" w:type="dxa"/>
      </w:tblCellMar>
    </w:tblPr>
  </w:style>
  <w:style w:type="paragraph" w:customStyle="1" w:styleId="22">
    <w:name w:val="Table Text"/>
    <w:basedOn w:val="1"/>
    <w:autoRedefine/>
    <w:semiHidden/>
    <w:qFormat/>
    <w:uiPriority w:val="0"/>
    <w:rPr>
      <w:rFonts w:ascii="宋体" w:hAnsi="宋体" w:eastAsia="宋体" w:cs="宋体"/>
      <w:sz w:val="24"/>
      <w:szCs w:val="24"/>
      <w:lang w:val="en-US" w:eastAsia="en-US" w:bidi="ar-SA"/>
    </w:rPr>
  </w:style>
  <w:style w:type="paragraph" w:customStyle="1" w:styleId="23">
    <w:name w:val="Default"/>
    <w:basedOn w:val="24"/>
    <w:next w:val="5"/>
    <w:autoRedefine/>
    <w:qFormat/>
    <w:uiPriority w:val="0"/>
    <w:pPr>
      <w:widowControl w:val="0"/>
      <w:autoSpaceDE w:val="0"/>
      <w:autoSpaceDN w:val="0"/>
      <w:adjustRightInd w:val="0"/>
    </w:pPr>
    <w:rPr>
      <w:rFonts w:ascii="宋体" w:hAnsi="Calibri" w:cs="宋体"/>
      <w:color w:val="000000"/>
      <w:sz w:val="24"/>
      <w:szCs w:val="24"/>
      <w:lang w:val="en-US" w:eastAsia="zh-CN" w:bidi="ar-SA"/>
    </w:rPr>
  </w:style>
  <w:style w:type="paragraph" w:customStyle="1" w:styleId="24">
    <w:name w:val="纯文本1"/>
    <w:basedOn w:val="1"/>
    <w:autoRedefine/>
    <w:qFormat/>
    <w:uiPriority w:val="0"/>
    <w:pPr>
      <w:adjustRightInd w:val="0"/>
    </w:pPr>
    <w:rPr>
      <w:rFonts w:ascii="宋体" w:hAnsi="Courier New"/>
      <w:szCs w:val="20"/>
    </w:rPr>
  </w:style>
  <w:style w:type="paragraph" w:customStyle="1" w:styleId="25">
    <w:name w:val="正文 首行缩进:  2 字符"/>
    <w:basedOn w:val="1"/>
    <w:autoRedefine/>
    <w:qFormat/>
    <w:uiPriority w:val="0"/>
    <w:pPr>
      <w:adjustRightInd w:val="0"/>
      <w:snapToGrid w:val="0"/>
      <w:spacing w:line="500" w:lineRule="exact"/>
      <w:ind w:firstLine="200" w:firstLineChars="200"/>
      <w:jc w:val="left"/>
    </w:pPr>
    <w:rPr>
      <w:rFonts w:cs="宋体"/>
      <w:sz w:val="24"/>
      <w:szCs w:val="20"/>
    </w:rPr>
  </w:style>
  <w:style w:type="paragraph" w:customStyle="1" w:styleId="26">
    <w:name w:val="表格"/>
    <w:basedOn w:val="27"/>
    <w:next w:val="1"/>
    <w:qFormat/>
    <w:uiPriority w:val="0"/>
    <w:pPr>
      <w:adjustRightInd w:val="0"/>
      <w:snapToGrid w:val="0"/>
      <w:spacing w:beforeLines="22" w:afterLines="22" w:line="259" w:lineRule="auto"/>
      <w:jc w:val="center"/>
    </w:pPr>
    <w:rPr>
      <w:rFonts w:ascii="宋体"/>
      <w:kern w:val="0"/>
      <w:szCs w:val="20"/>
    </w:rPr>
  </w:style>
  <w:style w:type="paragraph" w:customStyle="1" w:styleId="27">
    <w:name w:val="表内宋5"/>
    <w:basedOn w:val="1"/>
    <w:qFormat/>
    <w:uiPriority w:val="99"/>
    <w:pPr>
      <w:adjustRightInd w:val="0"/>
      <w:snapToGrid w:val="0"/>
      <w:textAlignment w:val="baseline"/>
    </w:pPr>
    <w:rPr>
      <w:kern w:val="0"/>
      <w:sz w:val="28"/>
      <w:szCs w:val="28"/>
      <w:lang w:val="zh-CN"/>
    </w:rPr>
  </w:style>
  <w:style w:type="paragraph" w:customStyle="1" w:styleId="28">
    <w:name w:val="表格名称"/>
    <w:basedOn w:val="26"/>
    <w:qFormat/>
    <w:uiPriority w:val="0"/>
    <w:pPr>
      <w:spacing w:line="360" w:lineRule="auto"/>
    </w:pPr>
    <w:rPr>
      <w:b/>
      <w:sz w:val="24"/>
    </w:rPr>
  </w:style>
  <w:style w:type="character" w:customStyle="1" w:styleId="29">
    <w:name w:val="font51"/>
    <w:basedOn w:val="17"/>
    <w:qFormat/>
    <w:uiPriority w:val="0"/>
    <w:rPr>
      <w:rFonts w:hint="default" w:ascii="Times New Roman" w:hAnsi="Times New Roman" w:cs="Times New Roman"/>
      <w:color w:val="000000"/>
      <w:sz w:val="21"/>
      <w:szCs w:val="21"/>
      <w:u w:val="none"/>
      <w:vertAlign w:val="superscript"/>
    </w:rPr>
  </w:style>
  <w:style w:type="character" w:customStyle="1" w:styleId="30">
    <w:name w:val="font11"/>
    <w:basedOn w:val="17"/>
    <w:qFormat/>
    <w:uiPriority w:val="0"/>
    <w:rPr>
      <w:rFonts w:hint="eastAsia" w:ascii="宋体" w:hAnsi="宋体" w:eastAsia="宋体" w:cs="宋体"/>
      <w:color w:val="000000"/>
      <w:sz w:val="21"/>
      <w:szCs w:val="21"/>
      <w:u w:val="none"/>
    </w:rPr>
  </w:style>
  <w:style w:type="character" w:customStyle="1" w:styleId="31">
    <w:name w:val="font21"/>
    <w:basedOn w:val="17"/>
    <w:qFormat/>
    <w:uiPriority w:val="0"/>
    <w:rPr>
      <w:rFonts w:hint="default" w:ascii="Times New Roman" w:hAnsi="Times New Roman" w:cs="Times New Roman"/>
      <w:color w:val="000000"/>
      <w:sz w:val="21"/>
      <w:szCs w:val="21"/>
      <w:u w:val="none"/>
    </w:rPr>
  </w:style>
  <w:style w:type="paragraph" w:customStyle="1" w:styleId="32">
    <w:name w:val="报告正文"/>
    <w:basedOn w:val="1"/>
    <w:autoRedefine/>
    <w:qFormat/>
    <w:uiPriority w:val="99"/>
    <w:pPr>
      <w:adjustRightInd w:val="0"/>
      <w:snapToGrid w:val="0"/>
      <w:spacing w:line="360" w:lineRule="auto"/>
      <w:ind w:firstLine="200" w:firstLineChars="200"/>
    </w:pPr>
    <w:rPr>
      <w:sz w:val="24"/>
      <w:szCs w:val="20"/>
      <w:lang w:val="zh-CN"/>
    </w:rPr>
  </w:style>
  <w:style w:type="paragraph" w:customStyle="1" w:styleId="33">
    <w:name w:val="正文 + 仿宋_GB2312"/>
    <w:basedOn w:val="1"/>
    <w:qFormat/>
    <w:uiPriority w:val="99"/>
    <w:pPr>
      <w:ind w:firstLine="480" w:firstLineChars="200"/>
    </w:pPr>
    <w:rPr>
      <w:rFonts w:ascii="仿宋_GB2312" w:hAnsi="Calibri" w:eastAsia="仿宋_GB2312" w:cs="Times New Roman"/>
      <w:sz w:val="24"/>
    </w:rPr>
  </w:style>
  <w:style w:type="character" w:customStyle="1" w:styleId="34">
    <w:name w:val="font41"/>
    <w:basedOn w:val="17"/>
    <w:qFormat/>
    <w:uiPriority w:val="0"/>
    <w:rPr>
      <w:rFonts w:hint="default" w:ascii="Times New Roman" w:hAnsi="Times New Roman" w:cs="Times New Roman"/>
      <w:color w:val="000000"/>
      <w:sz w:val="21"/>
      <w:szCs w:val="21"/>
      <w:u w:val="none"/>
    </w:rPr>
  </w:style>
  <w:style w:type="character" w:customStyle="1" w:styleId="35">
    <w:name w:val="font12"/>
    <w:basedOn w:val="17"/>
    <w:qFormat/>
    <w:uiPriority w:val="0"/>
    <w:rPr>
      <w:rFonts w:hint="eastAsia" w:ascii="宋体" w:hAnsi="宋体" w:eastAsia="宋体" w:cs="宋体"/>
      <w:color w:val="000000"/>
      <w:sz w:val="21"/>
      <w:szCs w:val="21"/>
      <w:u w:val="none"/>
    </w:rPr>
  </w:style>
  <w:style w:type="character" w:customStyle="1" w:styleId="36">
    <w:name w:val="font91"/>
    <w:basedOn w:val="17"/>
    <w:qFormat/>
    <w:uiPriority w:val="0"/>
    <w:rPr>
      <w:rFonts w:hint="eastAsia" w:ascii="宋体" w:hAnsi="宋体" w:eastAsia="宋体" w:cs="宋体"/>
      <w:color w:val="FF0000"/>
      <w:sz w:val="21"/>
      <w:szCs w:val="21"/>
      <w:u w:val="none"/>
    </w:rPr>
  </w:style>
  <w:style w:type="paragraph" w:customStyle="1" w:styleId="37">
    <w:name w:val="中文报告书样式"/>
    <w:basedOn w:val="1"/>
    <w:qFormat/>
    <w:uiPriority w:val="99"/>
    <w:pPr>
      <w:adjustRightInd w:val="0"/>
      <w:spacing w:line="480" w:lineRule="atLeast"/>
      <w:ind w:firstLine="482"/>
      <w:textAlignment w:val="baseline"/>
    </w:pPr>
    <w:rPr>
      <w:kern w:val="24"/>
      <w:sz w:val="24"/>
      <w:szCs w:val="20"/>
    </w:rPr>
  </w:style>
  <w:style w:type="paragraph" w:customStyle="1" w:styleId="38">
    <w:name w:val="报告书表格"/>
    <w:basedOn w:val="1"/>
    <w:qFormat/>
    <w:uiPriority w:val="0"/>
    <w:pPr>
      <w:adjustRightInd w:val="0"/>
      <w:spacing w:before="60" w:beforeLines="0" w:after="60" w:afterLines="0" w:line="240" w:lineRule="atLeast"/>
      <w:jc w:val="center"/>
      <w:textAlignment w:val="baseline"/>
    </w:pPr>
    <w:rPr>
      <w:kern w:val="0"/>
      <w:szCs w:val="20"/>
    </w:rPr>
  </w:style>
  <w:style w:type="paragraph" w:customStyle="1" w:styleId="39">
    <w:name w:val="1正文"/>
    <w:basedOn w:val="1"/>
    <w:qFormat/>
    <w:uiPriority w:val="0"/>
    <w:pPr>
      <w:widowControl/>
      <w:spacing w:line="360" w:lineRule="auto"/>
      <w:ind w:firstLine="200" w:firstLineChars="200"/>
    </w:pPr>
    <w:rPr>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0" Type="http://schemas.openxmlformats.org/officeDocument/2006/relationships/fontTable" Target="fontTable.xml"/><Relationship Id="rId7" Type="http://schemas.openxmlformats.org/officeDocument/2006/relationships/footer" Target="footer3.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6.jpeg"/><Relationship Id="rId66" Type="http://schemas.openxmlformats.org/officeDocument/2006/relationships/image" Target="media/image55.png"/><Relationship Id="rId65" Type="http://schemas.openxmlformats.org/officeDocument/2006/relationships/image" Target="media/image54.jpe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jpeg"/><Relationship Id="rId60" Type="http://schemas.openxmlformats.org/officeDocument/2006/relationships/image" Target="media/image49.png"/><Relationship Id="rId6" Type="http://schemas.openxmlformats.org/officeDocument/2006/relationships/footer" Target="foot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png"/><Relationship Id="rId50" Type="http://schemas.openxmlformats.org/officeDocument/2006/relationships/image" Target="media/image39.jpe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114</Pages>
  <Words>21279</Words>
  <Characters>22803</Characters>
  <TotalTime>1</TotalTime>
  <ScaleCrop>false</ScaleCrop>
  <LinksUpToDate>false</LinksUpToDate>
  <CharactersWithSpaces>22908</CharactersWithSpaces>
  <Application>WPS Office_12.1.0.23542_F1E327BC-269C-435d-A152-05C5408002CA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2023-01-12T16:14:00Z</dcterms:created>
  <dc:creator>lhj</dc:creator>
  <cp:lastModifiedBy>瓜田里的猹</cp:lastModifiedBy>
  <cp:lastPrinted>2025-04-08T07:13:00Z</cp:lastPrinted>
  <dcterms:modified xsi:type="dcterms:W3CDTF">2025-11-26T05:50:25Z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2024-02-03T19:43:08Z</vt:filetime>
  </property>
  <property fmtid="{D5CDD505-2E9C-101B-9397-08002B2CF9AE}" pid="4" name="KSOProductBuildVer">
    <vt:lpwstr>2052-12.1.0.23542</vt:lpwstr>
  </property>
  <property fmtid="{D5CDD505-2E9C-101B-9397-08002B2CF9AE}" pid="5" name="ICV">
    <vt:lpwstr>D36310BBF9434DD1B8A5D9F9647B7B7A_13</vt:lpwstr>
  </property>
  <property fmtid="{D5CDD505-2E9C-101B-9397-08002B2CF9AE}" pid="6" name="KSOTemplateDocerSaveRecord">
    <vt:lpwstr>eyJoZGlkIjoiMzVmNWJiNjYwZWQwNjYxNjc1ODAzYmQ3YzUwMmVlMWUiLCJ1c2VySWQiOiI1MTAxNTM5ODEifQ==</vt:lpwstr>
  </property>
</Properties>
</file>